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pacing w:line="440" w:lineRule="exact"/>
        <w:jc w:val="center"/>
        <w:rPr>
          <w:rFonts w:ascii="仿宋_GB2312" w:hAnsi="宋体" w:eastAsia="仿宋_GB2312" w:cs="宋体"/>
          <w:b/>
          <w:bCs/>
          <w:color w:val="000000"/>
          <w:kern w:val="0"/>
          <w:sz w:val="28"/>
          <w:szCs w:val="28"/>
        </w:rPr>
      </w:pPr>
      <w:r>
        <w:rPr>
          <w:rFonts w:hint="eastAsia" w:ascii="仿宋_GB2312" w:hAnsi="宋体" w:eastAsia="仿宋_GB2312" w:cs="宋体"/>
          <w:b/>
          <w:bCs/>
          <w:color w:val="000000"/>
          <w:kern w:val="0"/>
          <w:sz w:val="28"/>
          <w:szCs w:val="28"/>
        </w:rPr>
        <w:t xml:space="preserve">乐山市市中区生态环境局关于建设项目环境影响评价文件受理情况的公示 </w:t>
      </w:r>
    </w:p>
    <w:p>
      <w:pPr>
        <w:widowControl/>
        <w:jc w:val="center"/>
        <w:rPr>
          <w:rFonts w:hint="default" w:ascii="宋体" w:hAnsi="宋体" w:eastAsia="宋体" w:cs="宋体"/>
          <w:color w:val="000000"/>
          <w:kern w:val="0"/>
          <w:sz w:val="24"/>
          <w:lang w:val="en-US" w:eastAsia="zh-CN"/>
        </w:rPr>
      </w:pPr>
      <w:r>
        <w:rPr>
          <w:rFonts w:hint="eastAsia" w:ascii="宋体" w:hAnsi="宋体" w:cs="宋体"/>
          <w:color w:val="000000"/>
          <w:kern w:val="0"/>
          <w:sz w:val="24"/>
        </w:rPr>
        <w:t>20</w:t>
      </w:r>
      <w:r>
        <w:rPr>
          <w:rFonts w:hint="eastAsia" w:ascii="宋体" w:hAnsi="宋体" w:cs="宋体"/>
          <w:color w:val="000000"/>
          <w:kern w:val="0"/>
          <w:sz w:val="24"/>
          <w:lang w:val="en-US" w:eastAsia="zh-CN"/>
        </w:rPr>
        <w:t>23</w:t>
      </w:r>
      <w:r>
        <w:rPr>
          <w:rFonts w:hint="eastAsia" w:ascii="宋体" w:hAnsi="宋体" w:cs="宋体"/>
          <w:color w:val="000000"/>
          <w:kern w:val="0"/>
          <w:sz w:val="24"/>
        </w:rPr>
        <w:t>-</w:t>
      </w:r>
      <w:r>
        <w:rPr>
          <w:rFonts w:hint="eastAsia" w:ascii="宋体" w:hAnsi="宋体" w:cs="宋体"/>
          <w:color w:val="000000"/>
          <w:kern w:val="0"/>
          <w:sz w:val="24"/>
          <w:lang w:val="en-US" w:eastAsia="zh-CN"/>
        </w:rPr>
        <w:t>5</w:t>
      </w:r>
      <w:r>
        <w:rPr>
          <w:rFonts w:hint="eastAsia" w:ascii="宋体" w:hAnsi="宋体" w:cs="宋体"/>
          <w:color w:val="000000"/>
          <w:kern w:val="0"/>
          <w:sz w:val="24"/>
        </w:rPr>
        <w:t>-</w:t>
      </w:r>
      <w:r>
        <w:rPr>
          <w:rFonts w:hint="eastAsia" w:ascii="宋体" w:hAnsi="宋体" w:cs="宋体"/>
          <w:color w:val="000000"/>
          <w:kern w:val="0"/>
          <w:sz w:val="24"/>
          <w:lang w:val="en-US" w:eastAsia="zh-CN"/>
        </w:rPr>
        <w:t>１7</w:t>
      </w:r>
    </w:p>
    <w:p>
      <w:pPr>
        <w:widowControl/>
        <w:ind w:firstLine="420"/>
        <w:jc w:val="left"/>
        <w:rPr>
          <w:rFonts w:ascii="宋体" w:hAnsi="宋体" w:cs="宋体"/>
          <w:color w:val="000000"/>
          <w:kern w:val="0"/>
          <w:sz w:val="24"/>
        </w:rPr>
      </w:pPr>
      <w:r>
        <w:rPr>
          <w:rFonts w:hint="eastAsia" w:ascii="宋体" w:hAnsi="宋体" w:cs="宋体"/>
          <w:color w:val="000000"/>
          <w:kern w:val="0"/>
          <w:sz w:val="24"/>
        </w:rPr>
        <w:t>根据建设项目环境影响评价审批程序的有关规定，20</w:t>
      </w:r>
      <w:r>
        <w:rPr>
          <w:rFonts w:hint="eastAsia" w:ascii="宋体" w:hAnsi="宋体" w:cs="宋体"/>
          <w:color w:val="000000"/>
          <w:kern w:val="0"/>
          <w:sz w:val="24"/>
          <w:lang w:val="en-US" w:eastAsia="zh-CN"/>
        </w:rPr>
        <w:t>23</w:t>
      </w:r>
      <w:r>
        <w:rPr>
          <w:rFonts w:hint="eastAsia" w:ascii="宋体" w:hAnsi="宋体" w:cs="宋体"/>
          <w:color w:val="000000"/>
          <w:kern w:val="0"/>
          <w:sz w:val="24"/>
        </w:rPr>
        <w:t>年</w:t>
      </w:r>
      <w:r>
        <w:rPr>
          <w:rFonts w:hint="eastAsia" w:ascii="宋体" w:hAnsi="宋体" w:cs="宋体"/>
          <w:color w:val="000000"/>
          <w:kern w:val="0"/>
          <w:sz w:val="24"/>
          <w:lang w:val="en-US" w:eastAsia="zh-CN"/>
        </w:rPr>
        <w:t>5</w:t>
      </w:r>
      <w:r>
        <w:rPr>
          <w:rFonts w:hint="eastAsia" w:ascii="宋体" w:hAnsi="宋体" w:cs="宋体"/>
          <w:color w:val="000000"/>
          <w:kern w:val="0"/>
          <w:sz w:val="24"/>
        </w:rPr>
        <w:t>月</w:t>
      </w:r>
      <w:r>
        <w:rPr>
          <w:rFonts w:hint="eastAsia" w:ascii="宋体" w:hAnsi="宋体" w:cs="宋体"/>
          <w:color w:val="000000"/>
          <w:kern w:val="0"/>
          <w:sz w:val="24"/>
          <w:lang w:val="en-US" w:eastAsia="zh-CN"/>
        </w:rPr>
        <w:t>１7</w:t>
      </w:r>
      <w:r>
        <w:rPr>
          <w:rFonts w:hint="eastAsia" w:ascii="宋体" w:hAnsi="宋体" w:cs="宋体"/>
          <w:color w:val="000000"/>
          <w:kern w:val="0"/>
          <w:sz w:val="24"/>
        </w:rPr>
        <w:t>日我局受理</w:t>
      </w:r>
      <w:r>
        <w:rPr>
          <w:rFonts w:hint="eastAsia" w:ascii="宋体" w:hAnsi="宋体" w:cs="宋体"/>
          <w:color w:val="000000"/>
          <w:kern w:val="0"/>
          <w:sz w:val="24"/>
          <w:lang w:val="en-US" w:eastAsia="zh-CN"/>
        </w:rPr>
        <w:t>2</w:t>
      </w:r>
      <w:r>
        <w:rPr>
          <w:rFonts w:hint="eastAsia" w:ascii="宋体" w:hAnsi="宋体" w:cs="宋体"/>
          <w:color w:val="000000"/>
          <w:kern w:val="0"/>
          <w:sz w:val="24"/>
        </w:rPr>
        <w:t>个建设项目环境影响评价文件。现将受理情况予以公示，公示期为20</w:t>
      </w:r>
      <w:r>
        <w:rPr>
          <w:rFonts w:hint="eastAsia" w:ascii="宋体" w:hAnsi="宋体" w:cs="宋体"/>
          <w:color w:val="000000"/>
          <w:kern w:val="0"/>
          <w:sz w:val="24"/>
          <w:lang w:val="en-US" w:eastAsia="zh-CN"/>
        </w:rPr>
        <w:t>23</w:t>
      </w:r>
      <w:r>
        <w:rPr>
          <w:rFonts w:hint="eastAsia" w:ascii="宋体" w:hAnsi="宋体" w:cs="宋体"/>
          <w:color w:val="000000"/>
          <w:kern w:val="0"/>
          <w:sz w:val="24"/>
        </w:rPr>
        <w:t>年</w:t>
      </w:r>
      <w:r>
        <w:rPr>
          <w:rFonts w:hint="eastAsia" w:ascii="宋体" w:hAnsi="宋体" w:cs="宋体"/>
          <w:color w:val="000000"/>
          <w:kern w:val="0"/>
          <w:sz w:val="24"/>
          <w:lang w:val="en-US" w:eastAsia="zh-CN"/>
        </w:rPr>
        <w:t>5</w:t>
      </w:r>
      <w:r>
        <w:rPr>
          <w:rFonts w:hint="eastAsia" w:ascii="宋体" w:hAnsi="宋体" w:cs="宋体"/>
          <w:color w:val="000000"/>
          <w:kern w:val="0"/>
          <w:sz w:val="24"/>
        </w:rPr>
        <w:t>月</w:t>
      </w:r>
      <w:r>
        <w:rPr>
          <w:rFonts w:hint="eastAsia" w:ascii="宋体" w:hAnsi="宋体" w:cs="宋体"/>
          <w:color w:val="000000"/>
          <w:kern w:val="0"/>
          <w:sz w:val="24"/>
          <w:lang w:val="en-US" w:eastAsia="zh-CN"/>
        </w:rPr>
        <w:t>１7</w:t>
      </w:r>
      <w:r>
        <w:rPr>
          <w:rFonts w:hint="eastAsia" w:ascii="宋体" w:hAnsi="宋体" w:cs="宋体"/>
          <w:color w:val="000000"/>
          <w:kern w:val="0"/>
          <w:sz w:val="24"/>
        </w:rPr>
        <w:t>日－20</w:t>
      </w:r>
      <w:r>
        <w:rPr>
          <w:rFonts w:hint="eastAsia" w:ascii="宋体" w:hAnsi="宋体" w:cs="宋体"/>
          <w:color w:val="000000"/>
          <w:kern w:val="0"/>
          <w:sz w:val="24"/>
          <w:lang w:val="en-US" w:eastAsia="zh-CN"/>
        </w:rPr>
        <w:t>23</w:t>
      </w:r>
      <w:r>
        <w:rPr>
          <w:rFonts w:hint="eastAsia" w:ascii="宋体" w:hAnsi="宋体" w:cs="宋体"/>
          <w:color w:val="000000"/>
          <w:kern w:val="0"/>
          <w:sz w:val="24"/>
        </w:rPr>
        <w:t>年</w:t>
      </w:r>
      <w:r>
        <w:rPr>
          <w:rFonts w:hint="eastAsia" w:ascii="宋体" w:hAnsi="宋体" w:cs="宋体"/>
          <w:color w:val="000000"/>
          <w:kern w:val="0"/>
          <w:sz w:val="24"/>
          <w:lang w:val="en-US" w:eastAsia="zh-CN"/>
        </w:rPr>
        <w:t>5</w:t>
      </w:r>
      <w:r>
        <w:rPr>
          <w:rFonts w:hint="eastAsia" w:ascii="宋体" w:hAnsi="宋体" w:cs="宋体"/>
          <w:color w:val="000000"/>
          <w:kern w:val="0"/>
          <w:sz w:val="24"/>
        </w:rPr>
        <w:t>月</w:t>
      </w:r>
      <w:r>
        <w:rPr>
          <w:rFonts w:hint="eastAsia" w:ascii="宋体" w:hAnsi="宋体" w:cs="宋体"/>
          <w:color w:val="000000"/>
          <w:kern w:val="0"/>
          <w:sz w:val="24"/>
          <w:lang w:val="en-US" w:eastAsia="zh-CN"/>
        </w:rPr>
        <w:t>23</w:t>
      </w:r>
      <w:r>
        <w:rPr>
          <w:rFonts w:hint="eastAsia" w:ascii="宋体" w:hAnsi="宋体" w:cs="宋体"/>
          <w:color w:val="000000"/>
          <w:kern w:val="0"/>
          <w:sz w:val="24"/>
        </w:rPr>
        <w:t>日（</w:t>
      </w:r>
      <w:r>
        <w:rPr>
          <w:rFonts w:hint="eastAsia" w:ascii="宋体" w:hAnsi="宋体" w:cs="宋体"/>
          <w:color w:val="000000"/>
          <w:kern w:val="0"/>
          <w:sz w:val="24"/>
          <w:lang w:val="en-US" w:eastAsia="zh-CN"/>
        </w:rPr>
        <w:t>5</w:t>
      </w:r>
      <w:r>
        <w:rPr>
          <w:rFonts w:hint="eastAsia" w:ascii="宋体" w:hAnsi="宋体" w:cs="宋体"/>
          <w:color w:val="000000"/>
          <w:kern w:val="0"/>
          <w:sz w:val="24"/>
        </w:rPr>
        <w:t>个工作日）。</w:t>
      </w:r>
    </w:p>
    <w:p>
      <w:pPr>
        <w:widowControl/>
        <w:ind w:firstLine="420"/>
        <w:jc w:val="left"/>
        <w:rPr>
          <w:rFonts w:ascii="宋体" w:hAnsi="宋体" w:cs="宋体"/>
          <w:color w:val="000000"/>
          <w:kern w:val="0"/>
          <w:sz w:val="24"/>
        </w:rPr>
      </w:pPr>
      <w:r>
        <w:rPr>
          <w:rFonts w:hint="eastAsia" w:ascii="宋体" w:hAnsi="宋体" w:cs="宋体"/>
          <w:color w:val="000000"/>
          <w:kern w:val="0"/>
          <w:sz w:val="24"/>
        </w:rPr>
        <w:t>　　联系电话：0833－2103779</w:t>
      </w:r>
    </w:p>
    <w:p>
      <w:pPr>
        <w:widowControl/>
        <w:ind w:firstLine="420"/>
        <w:jc w:val="left"/>
        <w:rPr>
          <w:rFonts w:ascii="宋体" w:hAnsi="宋体" w:cs="宋体"/>
          <w:color w:val="000000"/>
          <w:kern w:val="0"/>
          <w:sz w:val="24"/>
        </w:rPr>
      </w:pPr>
      <w:r>
        <w:rPr>
          <w:rFonts w:hint="eastAsia" w:ascii="宋体" w:hAnsi="宋体" w:cs="宋体"/>
          <w:color w:val="000000"/>
          <w:kern w:val="0"/>
          <w:sz w:val="24"/>
        </w:rPr>
        <w:t>　　传 　 真：0833-2133332</w:t>
      </w:r>
    </w:p>
    <w:p>
      <w:pPr>
        <w:widowControl/>
        <w:ind w:firstLine="420"/>
        <w:jc w:val="left"/>
        <w:rPr>
          <w:rFonts w:ascii="宋体" w:hAnsi="宋体" w:cs="宋体"/>
          <w:color w:val="000000"/>
          <w:kern w:val="0"/>
          <w:sz w:val="24"/>
        </w:rPr>
      </w:pPr>
      <w:r>
        <w:rPr>
          <w:rFonts w:hint="eastAsia" w:ascii="宋体" w:hAnsi="宋体" w:cs="宋体"/>
          <w:color w:val="000000"/>
          <w:kern w:val="0"/>
          <w:sz w:val="24"/>
        </w:rPr>
        <w:t>　　通讯地址：乐山市市中区白燕路830号</w:t>
      </w:r>
    </w:p>
    <w:p>
      <w:pPr>
        <w:widowControl/>
        <w:ind w:firstLine="900" w:firstLineChars="375"/>
        <w:jc w:val="left"/>
        <w:rPr>
          <w:rFonts w:ascii="宋体" w:hAnsi="宋体" w:cs="宋体"/>
          <w:color w:val="000000"/>
          <w:kern w:val="0"/>
          <w:sz w:val="24"/>
        </w:rPr>
      </w:pPr>
      <w:r>
        <w:rPr>
          <w:rFonts w:hint="eastAsia" w:ascii="宋体" w:hAnsi="宋体" w:cs="宋体"/>
          <w:color w:val="000000"/>
          <w:kern w:val="0"/>
          <w:sz w:val="24"/>
        </w:rPr>
        <w:t>邮政编码：614000</w:t>
      </w:r>
    </w:p>
    <w:tbl>
      <w:tblPr>
        <w:tblStyle w:val="41"/>
        <w:tblW w:w="15344" w:type="dxa"/>
        <w:jc w:val="center"/>
        <w:tblLayout w:type="fixed"/>
        <w:tblCellMar>
          <w:top w:w="0" w:type="dxa"/>
          <w:left w:w="0" w:type="dxa"/>
          <w:bottom w:w="0" w:type="dxa"/>
          <w:right w:w="0" w:type="dxa"/>
        </w:tblCellMar>
      </w:tblPr>
      <w:tblGrid>
        <w:gridCol w:w="722"/>
        <w:gridCol w:w="2806"/>
        <w:gridCol w:w="3245"/>
        <w:gridCol w:w="2976"/>
        <w:gridCol w:w="4218"/>
        <w:gridCol w:w="1377"/>
      </w:tblGrid>
      <w:tr>
        <w:tblPrEx>
          <w:tblCellMar>
            <w:top w:w="0" w:type="dxa"/>
            <w:left w:w="0" w:type="dxa"/>
            <w:bottom w:w="0" w:type="dxa"/>
            <w:right w:w="0" w:type="dxa"/>
          </w:tblCellMar>
        </w:tblPrEx>
        <w:trPr>
          <w:cantSplit/>
          <w:trHeight w:val="803" w:hRule="atLeast"/>
          <w:tblHeader/>
          <w:jc w:val="center"/>
        </w:trPr>
        <w:tc>
          <w:tcPr>
            <w:tcW w:w="722" w:type="dxa"/>
            <w:tcBorders>
              <w:top w:val="single" w:color="auto" w:sz="8" w:space="0"/>
              <w:left w:val="single" w:color="auto" w:sz="8" w:space="0"/>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序号</w:t>
            </w:r>
          </w:p>
        </w:tc>
        <w:tc>
          <w:tcPr>
            <w:tcW w:w="280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项目名称</w:t>
            </w:r>
          </w:p>
        </w:tc>
        <w:tc>
          <w:tcPr>
            <w:tcW w:w="3245"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建设地点</w:t>
            </w:r>
          </w:p>
        </w:tc>
        <w:tc>
          <w:tcPr>
            <w:tcW w:w="297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建设单位</w:t>
            </w:r>
          </w:p>
        </w:tc>
        <w:tc>
          <w:tcPr>
            <w:tcW w:w="4218"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环境影响评价机构</w:t>
            </w:r>
          </w:p>
        </w:tc>
        <w:tc>
          <w:tcPr>
            <w:tcW w:w="1377"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受理日期</w:t>
            </w:r>
          </w:p>
        </w:tc>
      </w:tr>
      <w:tr>
        <w:tblPrEx>
          <w:tblCellMar>
            <w:top w:w="0" w:type="dxa"/>
            <w:left w:w="0" w:type="dxa"/>
            <w:bottom w:w="0" w:type="dxa"/>
            <w:right w:w="0" w:type="dxa"/>
          </w:tblCellMar>
        </w:tblPrEx>
        <w:trPr>
          <w:cantSplit/>
          <w:trHeight w:val="925" w:hRule="atLeast"/>
          <w:tblHeader/>
          <w:jc w:val="center"/>
        </w:trPr>
        <w:tc>
          <w:tcPr>
            <w:tcW w:w="722" w:type="dxa"/>
            <w:tcBorders>
              <w:top w:val="single" w:color="auto" w:sz="8" w:space="0"/>
              <w:left w:val="single" w:color="auto" w:sz="8" w:space="0"/>
              <w:bottom w:val="single" w:color="auto" w:sz="8" w:space="0"/>
              <w:right w:val="single" w:color="auto" w:sz="8" w:space="0"/>
            </w:tcBorders>
            <w:noWrap w:val="0"/>
            <w:tcMar>
              <w:top w:w="0" w:type="dxa"/>
              <w:left w:w="108" w:type="dxa"/>
              <w:bottom w:w="0" w:type="dxa"/>
              <w:right w:w="108" w:type="dxa"/>
            </w:tcMar>
            <w:vAlign w:val="center"/>
          </w:tcPr>
          <w:p>
            <w:pPr>
              <w:spacing w:line="360" w:lineRule="auto"/>
              <w:jc w:val="center"/>
              <w:rPr>
                <w:bCs/>
                <w:color w:val="000000"/>
                <w:sz w:val="18"/>
                <w:szCs w:val="18"/>
              </w:rPr>
            </w:pPr>
            <w:r>
              <w:rPr>
                <w:rFonts w:hint="eastAsia"/>
                <w:bCs/>
                <w:color w:val="000000"/>
                <w:sz w:val="18"/>
                <w:szCs w:val="18"/>
              </w:rPr>
              <w:t>1</w:t>
            </w:r>
          </w:p>
        </w:tc>
        <w:tc>
          <w:tcPr>
            <w:tcW w:w="280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default" w:ascii="Times New Roman" w:hAnsi="Times New Roman" w:cs="Times New Roman"/>
                <w:lang w:val="en-US"/>
              </w:rPr>
            </w:pPr>
            <w:r>
              <w:rPr>
                <w:rFonts w:hint="default" w:ascii="Times New Roman" w:hAnsi="Times New Roman" w:cs="Times New Roman"/>
                <w:lang w:val="en-US"/>
              </w:rPr>
              <w:t>巴川精神病医院床位扩建项目</w:t>
            </w:r>
          </w:p>
        </w:tc>
        <w:tc>
          <w:tcPr>
            <w:tcW w:w="3245"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乐山市市中区水口镇徐月村7组456号</w:t>
            </w:r>
          </w:p>
        </w:tc>
        <w:tc>
          <w:tcPr>
            <w:tcW w:w="297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cs="Times New Roman"/>
              </w:rPr>
            </w:pPr>
            <w:r>
              <w:rPr>
                <w:rFonts w:hint="eastAsia" w:ascii="Times New Roman" w:hAnsi="Times New Roman" w:cs="Times New Roman"/>
              </w:rPr>
              <w:t>乐山巴川精神病专科医院有限公司</w:t>
            </w:r>
          </w:p>
        </w:tc>
        <w:tc>
          <w:tcPr>
            <w:tcW w:w="4218"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乐山市四维环保科技有限责任公司</w:t>
            </w:r>
          </w:p>
        </w:tc>
        <w:tc>
          <w:tcPr>
            <w:tcW w:w="1377"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default" w:ascii="Times New Roman" w:hAnsi="Times New Roman" w:eastAsia="宋体" w:cs="Times New Roman"/>
                <w:lang w:val="en-US" w:eastAsia="zh-CN"/>
              </w:rPr>
            </w:pPr>
            <w:r>
              <w:rPr>
                <w:rFonts w:hint="eastAsia" w:ascii="Times New Roman" w:hAnsi="Times New Roman" w:cs="Times New Roman"/>
              </w:rPr>
              <w:t>20</w:t>
            </w:r>
            <w:r>
              <w:rPr>
                <w:rFonts w:hint="eastAsia" w:ascii="Times New Roman" w:hAnsi="Times New Roman" w:cs="Times New Roman"/>
                <w:lang w:val="en-US" w:eastAsia="zh-CN"/>
              </w:rPr>
              <w:t>2</w:t>
            </w:r>
            <w:r>
              <w:rPr>
                <w:rFonts w:hint="eastAsia" w:cs="Times New Roman"/>
                <w:lang w:val="en-US" w:eastAsia="zh-CN"/>
              </w:rPr>
              <w:t>3</w:t>
            </w:r>
            <w:r>
              <w:rPr>
                <w:rFonts w:hint="eastAsia" w:ascii="Times New Roman" w:hAnsi="Times New Roman" w:cs="Times New Roman"/>
              </w:rPr>
              <w:t>-</w:t>
            </w:r>
            <w:r>
              <w:rPr>
                <w:rFonts w:hint="eastAsia" w:cs="Times New Roman"/>
                <w:lang w:val="en-US" w:eastAsia="zh-CN"/>
              </w:rPr>
              <w:t>5</w:t>
            </w:r>
            <w:r>
              <w:rPr>
                <w:rFonts w:hint="eastAsia" w:ascii="Times New Roman" w:hAnsi="Times New Roman" w:cs="Times New Roman"/>
              </w:rPr>
              <w:t>-</w:t>
            </w:r>
            <w:r>
              <w:rPr>
                <w:rFonts w:hint="eastAsia" w:cs="Times New Roman"/>
                <w:lang w:val="en-US" w:eastAsia="zh-CN"/>
              </w:rPr>
              <w:t>17</w:t>
            </w:r>
          </w:p>
        </w:tc>
      </w:tr>
      <w:tr>
        <w:tblPrEx>
          <w:tblCellMar>
            <w:top w:w="0" w:type="dxa"/>
            <w:left w:w="0" w:type="dxa"/>
            <w:bottom w:w="0" w:type="dxa"/>
            <w:right w:w="0" w:type="dxa"/>
          </w:tblCellMar>
        </w:tblPrEx>
        <w:trPr>
          <w:cantSplit/>
          <w:trHeight w:val="925" w:hRule="atLeast"/>
          <w:tblHeader/>
          <w:jc w:val="center"/>
        </w:trPr>
        <w:tc>
          <w:tcPr>
            <w:tcW w:w="722" w:type="dxa"/>
            <w:tcBorders>
              <w:top w:val="single" w:color="auto" w:sz="8" w:space="0"/>
              <w:left w:val="single" w:color="auto" w:sz="8" w:space="0"/>
              <w:bottom w:val="single" w:color="auto" w:sz="8" w:space="0"/>
              <w:right w:val="single" w:color="auto" w:sz="8" w:space="0"/>
            </w:tcBorders>
            <w:noWrap w:val="0"/>
            <w:tcMar>
              <w:top w:w="0" w:type="dxa"/>
              <w:left w:w="108" w:type="dxa"/>
              <w:bottom w:w="0" w:type="dxa"/>
              <w:right w:w="108" w:type="dxa"/>
            </w:tcMar>
            <w:vAlign w:val="center"/>
          </w:tcPr>
          <w:p>
            <w:pPr>
              <w:spacing w:line="360" w:lineRule="auto"/>
              <w:jc w:val="center"/>
              <w:rPr>
                <w:rFonts w:hint="eastAsia" w:eastAsia="宋体"/>
                <w:bCs/>
                <w:color w:val="000000"/>
                <w:sz w:val="18"/>
                <w:szCs w:val="18"/>
                <w:lang w:val="en-US" w:eastAsia="zh-CN"/>
              </w:rPr>
            </w:pPr>
            <w:r>
              <w:rPr>
                <w:rFonts w:hint="eastAsia"/>
                <w:bCs/>
                <w:color w:val="000000"/>
                <w:sz w:val="18"/>
                <w:szCs w:val="18"/>
                <w:lang w:val="en-US" w:eastAsia="zh-CN"/>
              </w:rPr>
              <w:t>2</w:t>
            </w:r>
          </w:p>
        </w:tc>
        <w:tc>
          <w:tcPr>
            <w:tcW w:w="280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default" w:ascii="Times New Roman" w:hAnsi="Times New Roman" w:cs="Times New Roman"/>
                <w:lang w:val="en-US"/>
              </w:rPr>
            </w:pPr>
            <w:r>
              <w:rPr>
                <w:rFonts w:hint="default" w:ascii="Times New Roman" w:hAnsi="Times New Roman" w:cs="Times New Roman"/>
                <w:lang w:val="en-US" w:eastAsia="zh-CN"/>
              </w:rPr>
              <w:t>乐山鼎智建材有限公司水稳拌合站项目</w:t>
            </w:r>
          </w:p>
          <w:p>
            <w:pPr>
              <w:rPr>
                <w:rFonts w:hint="default" w:ascii="Times New Roman" w:hAnsi="Times New Roman" w:cs="Times New Roman"/>
                <w:lang w:val="en-US"/>
              </w:rPr>
            </w:pPr>
          </w:p>
        </w:tc>
        <w:tc>
          <w:tcPr>
            <w:tcW w:w="3245"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四川省乐山市市中区悦来镇龙岩村</w:t>
            </w:r>
          </w:p>
          <w:p>
            <w:pPr>
              <w:rPr>
                <w:rFonts w:hint="eastAsia" w:ascii="Times New Roman" w:hAnsi="Times New Roman" w:eastAsia="宋体" w:cs="Times New Roman"/>
                <w:lang w:val="en-US" w:eastAsia="zh-CN"/>
              </w:rPr>
            </w:pPr>
          </w:p>
        </w:tc>
        <w:tc>
          <w:tcPr>
            <w:tcW w:w="297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cs="Times New Roman"/>
              </w:rPr>
            </w:pPr>
            <w:r>
              <w:rPr>
                <w:rFonts w:hint="eastAsia" w:ascii="Times New Roman" w:hAnsi="Times New Roman" w:cs="Times New Roman"/>
                <w:lang w:val="en-US" w:eastAsia="zh-CN"/>
              </w:rPr>
              <w:t>乐山鼎智建材有限公司</w:t>
            </w:r>
          </w:p>
          <w:p>
            <w:pPr>
              <w:rPr>
                <w:rFonts w:hint="eastAsia" w:ascii="Times New Roman" w:hAnsi="Times New Roman" w:cs="Times New Roman"/>
              </w:rPr>
            </w:pPr>
          </w:p>
        </w:tc>
        <w:tc>
          <w:tcPr>
            <w:tcW w:w="4218"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四川天和环境工程科技有限公司</w:t>
            </w:r>
          </w:p>
        </w:tc>
        <w:tc>
          <w:tcPr>
            <w:tcW w:w="1377"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cs="Times New Roman"/>
              </w:rPr>
            </w:pPr>
            <w:r>
              <w:rPr>
                <w:rFonts w:hint="eastAsia" w:ascii="Times New Roman" w:hAnsi="Times New Roman" w:cs="Times New Roman"/>
              </w:rPr>
              <w:t>20</w:t>
            </w:r>
            <w:r>
              <w:rPr>
                <w:rFonts w:hint="eastAsia" w:ascii="Times New Roman" w:hAnsi="Times New Roman" w:cs="Times New Roman"/>
                <w:lang w:val="en-US" w:eastAsia="zh-CN"/>
              </w:rPr>
              <w:t>2</w:t>
            </w:r>
            <w:r>
              <w:rPr>
                <w:rFonts w:hint="eastAsia" w:cs="Times New Roman"/>
                <w:lang w:val="en-US" w:eastAsia="zh-CN"/>
              </w:rPr>
              <w:t>3</w:t>
            </w:r>
            <w:r>
              <w:rPr>
                <w:rFonts w:hint="eastAsia" w:ascii="Times New Roman" w:hAnsi="Times New Roman" w:cs="Times New Roman"/>
              </w:rPr>
              <w:t>-</w:t>
            </w:r>
            <w:r>
              <w:rPr>
                <w:rFonts w:hint="eastAsia" w:cs="Times New Roman"/>
                <w:lang w:val="en-US" w:eastAsia="zh-CN"/>
              </w:rPr>
              <w:t>5</w:t>
            </w:r>
            <w:r>
              <w:rPr>
                <w:rFonts w:hint="eastAsia" w:ascii="Times New Roman" w:hAnsi="Times New Roman" w:cs="Times New Roman"/>
              </w:rPr>
              <w:t>-</w:t>
            </w:r>
            <w:r>
              <w:rPr>
                <w:rFonts w:hint="eastAsia" w:cs="Times New Roman"/>
                <w:lang w:val="en-US" w:eastAsia="zh-CN"/>
              </w:rPr>
              <w:t>17</w:t>
            </w:r>
          </w:p>
        </w:tc>
      </w:tr>
    </w:tbl>
    <w:p>
      <w:pPr>
        <w:spacing w:line="360" w:lineRule="auto"/>
        <w:rPr>
          <w:color w:val="000000"/>
          <w:sz w:val="72"/>
          <w:szCs w:val="72"/>
        </w:rPr>
        <w:sectPr>
          <w:endnotePr>
            <w:numFmt w:val="decimal"/>
          </w:endnotePr>
          <w:pgSz w:w="16838" w:h="11906" w:orient="landscape"/>
          <w:pgMar w:top="1800" w:right="1440" w:bottom="1800" w:left="1440" w:header="851" w:footer="992" w:gutter="0"/>
          <w:pgNumType w:fmt="numberInDash" w:start="1"/>
          <w:cols w:space="720" w:num="1"/>
          <w:docGrid w:type="lines" w:linePitch="312" w:charSpace="0"/>
        </w:sectPr>
      </w:pPr>
      <w:r>
        <w:rPr>
          <w:rFonts w:hint="eastAsia" w:ascii="宋体" w:hAnsi="宋体" w:cs="宋体"/>
          <w:color w:val="000000"/>
          <w:kern w:val="0"/>
          <w:szCs w:val="21"/>
        </w:rPr>
        <w:t>注：根据《建设项目环境影响评价政府信息公开指南（试行）》的有关规定，上述环境影响报告书、表不含涉及国家秘密、商业秘密、个人隐私以及涉及国家安全、公共安全、经济安全和社会稳定的内容。</w:t>
      </w:r>
    </w:p>
    <w:p>
      <w:pPr>
        <w:rPr>
          <w:rFonts w:hint="eastAsia" w:ascii="仿宋_GB2312" w:hAnsi="仿宋_GB2312" w:eastAsia="仿宋_GB2312" w:cs="仿宋_GB2312"/>
          <w:sz w:val="36"/>
          <w:szCs w:val="36"/>
        </w:rPr>
      </w:pPr>
    </w:p>
    <w:p>
      <w:pPr>
        <w:rPr>
          <w:rFonts w:hint="default" w:ascii="Times New Roman" w:hAnsi="Times New Roman" w:eastAsia="仿宋_GB2312" w:cs="Times New Roman"/>
          <w:color w:val="auto"/>
          <w:sz w:val="36"/>
          <w:szCs w:val="36"/>
          <w:highlight w:val="none"/>
        </w:rPr>
      </w:pPr>
    </w:p>
    <w:p>
      <w:pPr>
        <w:rPr>
          <w:rFonts w:hint="default" w:ascii="Times New Roman" w:hAnsi="Times New Roman" w:eastAsia="仿宋_GB2312" w:cs="Times New Roman"/>
          <w:color w:val="auto"/>
          <w:sz w:val="36"/>
          <w:szCs w:val="36"/>
          <w:highlight w:val="none"/>
        </w:rPr>
      </w:pPr>
    </w:p>
    <w:p>
      <w:pPr>
        <w:rPr>
          <w:rFonts w:ascii="仿宋_GB2312" w:hAnsi="仿宋_GB2312" w:eastAsia="仿宋_GB2312" w:cs="仿宋_GB2312"/>
          <w:color w:val="000000"/>
          <w:sz w:val="36"/>
          <w:szCs w:val="36"/>
        </w:rPr>
      </w:pPr>
      <w:r>
        <w:rPr>
          <w:rFonts w:hint="eastAsia" w:ascii="仿宋_GB2312" w:hAnsi="仿宋_GB2312" w:eastAsia="仿宋_GB2312" w:cs="仿宋_GB2312"/>
          <w:color w:val="000000"/>
          <w:sz w:val="36"/>
          <w:szCs w:val="36"/>
        </w:rPr>
        <w:t xml:space="preserve">     </w:t>
      </w:r>
    </w:p>
    <w:p>
      <w:pPr>
        <w:rPr>
          <w:rFonts w:ascii="仿宋_GB2312" w:hAnsi="仿宋_GB2312" w:eastAsia="仿宋_GB2312" w:cs="仿宋_GB2312"/>
          <w:color w:val="000000"/>
          <w:sz w:val="36"/>
          <w:szCs w:val="36"/>
        </w:rPr>
      </w:pPr>
    </w:p>
    <w:p>
      <w:pPr>
        <w:rPr>
          <w:rFonts w:ascii="仿宋_GB2312" w:hAnsi="仿宋_GB2312" w:eastAsia="仿宋_GB2312" w:cs="仿宋_GB2312"/>
          <w:color w:val="000000"/>
          <w:sz w:val="36"/>
          <w:szCs w:val="36"/>
        </w:rPr>
      </w:pPr>
    </w:p>
    <w:p>
      <w:pPr>
        <w:rPr>
          <w:rFonts w:hint="eastAsia" w:ascii="仿宋_GB2312" w:hAnsi="仿宋_GB2312" w:eastAsia="仿宋_GB2312" w:cs="仿宋_GB2312"/>
          <w:color w:val="000000"/>
          <w:sz w:val="36"/>
          <w:szCs w:val="36"/>
        </w:rPr>
      </w:pPr>
    </w:p>
    <w:p>
      <w:pPr>
        <w:adjustRightInd w:val="0"/>
        <w:snapToGrid w:val="0"/>
        <w:jc w:val="center"/>
        <w:outlineLvl w:val="0"/>
        <w:rPr>
          <w:rFonts w:hint="eastAsia" w:ascii="方正小标宋_GBK" w:eastAsia="方正小标宋_GBK"/>
          <w:bCs/>
          <w:color w:val="000000"/>
          <w:sz w:val="72"/>
          <w:szCs w:val="72"/>
        </w:rPr>
      </w:pPr>
      <w:r>
        <w:rPr>
          <w:rFonts w:hint="eastAsia" w:ascii="方正小标宋_GBK" w:eastAsia="方正小标宋_GBK"/>
          <w:bCs/>
          <w:color w:val="000000"/>
          <w:sz w:val="72"/>
          <w:szCs w:val="72"/>
        </w:rPr>
        <w:t>建设项目环境影响报告表</w:t>
      </w:r>
    </w:p>
    <w:p>
      <w:pPr>
        <w:adjustRightInd w:val="0"/>
        <w:snapToGrid w:val="0"/>
        <w:spacing w:before="192" w:beforeLines="80"/>
        <w:jc w:val="center"/>
        <w:rPr>
          <w:rFonts w:hint="eastAsia" w:ascii="楷体" w:hAnsi="楷体" w:eastAsia="楷体"/>
          <w:bCs/>
          <w:color w:val="000000"/>
          <w:sz w:val="48"/>
          <w:szCs w:val="48"/>
        </w:rPr>
      </w:pPr>
      <w:r>
        <w:rPr>
          <w:rFonts w:hint="eastAsia" w:ascii="楷体" w:hAnsi="楷体" w:eastAsia="楷体"/>
          <w:bCs/>
          <w:color w:val="000000"/>
          <w:sz w:val="48"/>
          <w:szCs w:val="48"/>
        </w:rPr>
        <w:t>（污染影响类）</w:t>
      </w:r>
    </w:p>
    <w:p>
      <w:pPr>
        <w:adjustRightInd w:val="0"/>
        <w:snapToGrid w:val="0"/>
        <w:spacing w:line="288" w:lineRule="auto"/>
        <w:jc w:val="center"/>
        <w:outlineLvl w:val="0"/>
        <w:rPr>
          <w:rFonts w:ascii="华文仿宋" w:hAnsi="华文仿宋" w:eastAsia="华文仿宋" w:cs="华文仿宋"/>
          <w:color w:val="000000"/>
          <w:kern w:val="44"/>
          <w:sz w:val="44"/>
          <w:szCs w:val="44"/>
        </w:rPr>
      </w:pPr>
    </w:p>
    <w:p>
      <w:pPr>
        <w:ind w:firstLine="1040"/>
        <w:rPr>
          <w:rFonts w:eastAsia="仿宋"/>
          <w:color w:val="000000"/>
          <w:sz w:val="44"/>
          <w:szCs w:val="44"/>
        </w:rPr>
      </w:pPr>
    </w:p>
    <w:p>
      <w:pPr>
        <w:ind w:firstLine="1040"/>
        <w:rPr>
          <w:rFonts w:eastAsia="仿宋"/>
          <w:color w:val="000000"/>
          <w:sz w:val="44"/>
          <w:szCs w:val="44"/>
        </w:rPr>
      </w:pPr>
    </w:p>
    <w:p>
      <w:pPr>
        <w:ind w:firstLine="1040"/>
        <w:rPr>
          <w:rFonts w:eastAsia="仿宋"/>
          <w:color w:val="000000"/>
          <w:sz w:val="44"/>
          <w:szCs w:val="44"/>
        </w:rPr>
      </w:pPr>
    </w:p>
    <w:p>
      <w:pPr>
        <w:ind w:firstLine="1040"/>
        <w:rPr>
          <w:rFonts w:eastAsia="仿宋"/>
          <w:color w:val="000000"/>
          <w:sz w:val="44"/>
          <w:szCs w:val="44"/>
        </w:rPr>
      </w:pPr>
    </w:p>
    <w:p>
      <w:pPr>
        <w:adjustRightInd w:val="0"/>
        <w:snapToGrid w:val="0"/>
        <w:spacing w:line="288" w:lineRule="auto"/>
        <w:rPr>
          <w:rFonts w:hint="default" w:ascii="仿宋" w:hAnsi="仿宋" w:eastAsia="仿宋"/>
          <w:color w:val="000000"/>
          <w:sz w:val="36"/>
          <w:szCs w:val="36"/>
          <w:u w:val="single"/>
          <w:lang w:val="en-US" w:eastAsia="zh-CN"/>
        </w:rPr>
      </w:pPr>
      <w:r>
        <w:rPr>
          <w:rFonts w:hint="eastAsia" w:ascii="仿宋" w:hAnsi="仿宋" w:eastAsia="仿宋"/>
          <w:color w:val="000000"/>
          <w:sz w:val="36"/>
          <w:szCs w:val="36"/>
        </w:rPr>
        <w:t>项目名称：</w:t>
      </w:r>
      <w:r>
        <w:rPr>
          <w:rFonts w:hint="eastAsia" w:ascii="仿宋" w:hAnsi="仿宋" w:eastAsia="仿宋"/>
          <w:color w:val="000000"/>
          <w:sz w:val="36"/>
          <w:szCs w:val="36"/>
          <w:u w:val="single"/>
          <w:lang w:val="en-US" w:eastAsia="zh-CN"/>
        </w:rPr>
        <w:t xml:space="preserve">      </w:t>
      </w:r>
      <w:r>
        <w:rPr>
          <w:rFonts w:hint="eastAsia" w:ascii="仿宋" w:hAnsi="仿宋" w:eastAsia="仿宋"/>
          <w:color w:val="000000"/>
          <w:sz w:val="36"/>
          <w:szCs w:val="36"/>
          <w:u w:val="single"/>
        </w:rPr>
        <w:t>巴川精神病医院床位扩建项目</w:t>
      </w:r>
      <w:r>
        <w:rPr>
          <w:rFonts w:hint="eastAsia" w:ascii="仿宋" w:hAnsi="仿宋" w:eastAsia="仿宋"/>
          <w:color w:val="000000"/>
          <w:sz w:val="36"/>
          <w:szCs w:val="36"/>
          <w:u w:val="single"/>
          <w:lang w:val="en-US" w:eastAsia="zh-CN"/>
        </w:rPr>
        <w:t xml:space="preserve">      </w:t>
      </w:r>
    </w:p>
    <w:p>
      <w:pPr>
        <w:adjustRightInd w:val="0"/>
        <w:snapToGrid w:val="0"/>
        <w:spacing w:line="288" w:lineRule="auto"/>
        <w:rPr>
          <w:rFonts w:ascii="仿宋" w:hAnsi="仿宋" w:eastAsia="仿宋"/>
          <w:color w:val="000000"/>
          <w:sz w:val="36"/>
          <w:szCs w:val="36"/>
          <w:u w:val="single"/>
        </w:rPr>
      </w:pPr>
      <w:r>
        <w:rPr>
          <w:rFonts w:hint="eastAsia" w:ascii="仿宋" w:hAnsi="仿宋" w:eastAsia="仿宋"/>
          <w:color w:val="000000"/>
          <w:sz w:val="36"/>
          <w:szCs w:val="36"/>
        </w:rPr>
        <w:t>建设单位：</w:t>
      </w:r>
      <w:r>
        <w:rPr>
          <w:rFonts w:hint="eastAsia" w:ascii="仿宋" w:hAnsi="仿宋" w:eastAsia="仿宋"/>
          <w:color w:val="000000"/>
          <w:sz w:val="36"/>
          <w:szCs w:val="36"/>
          <w:u w:val="single"/>
        </w:rPr>
        <w:t xml:space="preserve">    乐山巴川精神病专科医院有限公司</w:t>
      </w:r>
      <w:r>
        <w:rPr>
          <w:rFonts w:hint="eastAsia" w:ascii="仿宋" w:hAnsi="仿宋" w:eastAsia="仿宋"/>
          <w:color w:val="000000"/>
          <w:sz w:val="36"/>
          <w:szCs w:val="36"/>
          <w:u w:val="single"/>
          <w:lang w:val="en-US" w:eastAsia="zh-CN"/>
        </w:rPr>
        <w:t xml:space="preserve"> </w:t>
      </w:r>
      <w:r>
        <w:rPr>
          <w:rFonts w:hint="eastAsia" w:ascii="仿宋" w:hAnsi="仿宋" w:eastAsia="仿宋"/>
          <w:color w:val="000000"/>
          <w:sz w:val="36"/>
          <w:szCs w:val="36"/>
          <w:u w:val="single"/>
        </w:rPr>
        <w:t xml:space="preserve">   </w:t>
      </w:r>
    </w:p>
    <w:p>
      <w:pPr>
        <w:adjustRightInd w:val="0"/>
        <w:snapToGrid w:val="0"/>
        <w:spacing w:line="288" w:lineRule="auto"/>
        <w:rPr>
          <w:rFonts w:hint="eastAsia" w:ascii="仿宋" w:hAnsi="仿宋" w:eastAsia="仿宋"/>
          <w:color w:val="000000"/>
          <w:sz w:val="36"/>
          <w:szCs w:val="36"/>
          <w:u w:val="single"/>
        </w:rPr>
      </w:pPr>
      <w:r>
        <w:rPr>
          <w:rFonts w:hint="eastAsia" w:ascii="仿宋" w:hAnsi="仿宋" w:eastAsia="仿宋"/>
          <w:color w:val="000000"/>
          <w:sz w:val="36"/>
          <w:szCs w:val="36"/>
        </w:rPr>
        <w:t>编制日期：</w:t>
      </w:r>
      <w:r>
        <w:rPr>
          <w:rFonts w:hint="eastAsia" w:ascii="仿宋" w:hAnsi="仿宋" w:eastAsia="仿宋"/>
          <w:color w:val="000000"/>
          <w:sz w:val="36"/>
          <w:szCs w:val="36"/>
          <w:u w:val="single"/>
        </w:rPr>
        <w:t xml:space="preserve">           二</w:t>
      </w:r>
      <w:r>
        <w:rPr>
          <w:rFonts w:hint="eastAsia" w:ascii="仿宋" w:hAnsi="仿宋" w:eastAsia="仿宋" w:cs="宋体"/>
          <w:color w:val="000000"/>
          <w:sz w:val="36"/>
          <w:szCs w:val="36"/>
          <w:u w:val="single"/>
        </w:rPr>
        <w:t>〇</w:t>
      </w:r>
      <w:r>
        <w:rPr>
          <w:rFonts w:hint="eastAsia" w:ascii="仿宋" w:hAnsi="仿宋" w:eastAsia="仿宋"/>
          <w:color w:val="000000"/>
          <w:sz w:val="36"/>
          <w:szCs w:val="36"/>
          <w:u w:val="single"/>
        </w:rPr>
        <w:t>二</w:t>
      </w:r>
      <w:r>
        <w:rPr>
          <w:rFonts w:hint="eastAsia" w:ascii="仿宋" w:hAnsi="仿宋" w:eastAsia="仿宋"/>
          <w:color w:val="000000"/>
          <w:sz w:val="36"/>
          <w:szCs w:val="36"/>
          <w:u w:val="single"/>
          <w:lang w:eastAsia="zh-CN"/>
        </w:rPr>
        <w:t>三</w:t>
      </w:r>
      <w:r>
        <w:rPr>
          <w:rFonts w:hint="eastAsia" w:ascii="仿宋" w:hAnsi="仿宋" w:eastAsia="仿宋"/>
          <w:color w:val="000000"/>
          <w:sz w:val="36"/>
          <w:szCs w:val="36"/>
          <w:u w:val="single"/>
        </w:rPr>
        <w:t>年</w:t>
      </w:r>
      <w:r>
        <w:rPr>
          <w:rFonts w:hint="eastAsia" w:ascii="仿宋" w:hAnsi="仿宋" w:eastAsia="仿宋"/>
          <w:color w:val="000000"/>
          <w:sz w:val="36"/>
          <w:szCs w:val="36"/>
          <w:u w:val="single"/>
          <w:lang w:val="en-US" w:eastAsia="zh-CN"/>
        </w:rPr>
        <w:t>五</w:t>
      </w:r>
      <w:r>
        <w:rPr>
          <w:rFonts w:hint="eastAsia" w:ascii="仿宋" w:hAnsi="仿宋" w:eastAsia="仿宋"/>
          <w:color w:val="000000"/>
          <w:sz w:val="36"/>
          <w:szCs w:val="36"/>
          <w:u w:val="single"/>
        </w:rPr>
        <w:t>月</w:t>
      </w:r>
      <w:r>
        <w:rPr>
          <w:rFonts w:hint="eastAsia" w:ascii="仿宋" w:hAnsi="仿宋" w:eastAsia="仿宋"/>
          <w:color w:val="000000"/>
          <w:sz w:val="32"/>
          <w:szCs w:val="32"/>
          <w:u w:val="single"/>
        </w:rPr>
        <w:t xml:space="preserve">               </w:t>
      </w:r>
    </w:p>
    <w:p>
      <w:pPr>
        <w:adjustRightInd w:val="0"/>
        <w:snapToGrid w:val="0"/>
        <w:spacing w:line="288" w:lineRule="auto"/>
        <w:ind w:firstLine="1040"/>
        <w:rPr>
          <w:rFonts w:hint="eastAsia" w:ascii="仿宋_GB2312" w:eastAsia="仿宋_GB2312"/>
          <w:color w:val="000000"/>
          <w:sz w:val="36"/>
          <w:szCs w:val="36"/>
        </w:rPr>
      </w:pPr>
    </w:p>
    <w:p>
      <w:pPr>
        <w:adjustRightInd w:val="0"/>
        <w:snapToGrid w:val="0"/>
        <w:spacing w:line="288" w:lineRule="auto"/>
        <w:ind w:firstLine="1040"/>
        <w:rPr>
          <w:rFonts w:hint="eastAsia" w:ascii="仿宋_GB2312" w:eastAsia="仿宋_GB2312"/>
          <w:color w:val="000000"/>
          <w:sz w:val="36"/>
          <w:szCs w:val="36"/>
        </w:rPr>
      </w:pPr>
    </w:p>
    <w:p>
      <w:pPr>
        <w:adjustRightInd w:val="0"/>
        <w:snapToGrid w:val="0"/>
        <w:spacing w:line="288" w:lineRule="auto"/>
        <w:ind w:firstLine="1040"/>
        <w:rPr>
          <w:rFonts w:hint="eastAsia" w:ascii="仿宋_GB2312" w:eastAsia="仿宋_GB2312"/>
          <w:color w:val="000000"/>
          <w:sz w:val="36"/>
          <w:szCs w:val="36"/>
        </w:rPr>
      </w:pPr>
    </w:p>
    <w:p>
      <w:pPr>
        <w:adjustRightInd w:val="0"/>
        <w:snapToGrid w:val="0"/>
        <w:spacing w:line="288" w:lineRule="auto"/>
        <w:ind w:firstLine="1040"/>
        <w:rPr>
          <w:rFonts w:hint="eastAsia" w:ascii="仿宋_GB2312" w:eastAsia="仿宋_GB2312"/>
          <w:color w:val="000000"/>
          <w:sz w:val="36"/>
          <w:szCs w:val="36"/>
        </w:rPr>
      </w:pPr>
    </w:p>
    <w:p>
      <w:pPr>
        <w:adjustRightInd w:val="0"/>
        <w:snapToGrid w:val="0"/>
        <w:spacing w:line="288" w:lineRule="auto"/>
        <w:ind w:firstLine="1040"/>
        <w:jc w:val="center"/>
        <w:rPr>
          <w:rFonts w:hint="eastAsia" w:ascii="仿宋_GB2312" w:eastAsia="仿宋_GB2312"/>
          <w:color w:val="000000"/>
          <w:sz w:val="36"/>
          <w:szCs w:val="36"/>
        </w:rPr>
      </w:pPr>
    </w:p>
    <w:p>
      <w:pPr>
        <w:adjustRightInd w:val="0"/>
        <w:snapToGrid w:val="0"/>
        <w:spacing w:line="288" w:lineRule="auto"/>
        <w:ind w:firstLine="1040"/>
        <w:jc w:val="center"/>
        <w:rPr>
          <w:rFonts w:hint="eastAsia" w:ascii="仿宋_GB2312" w:eastAsia="仿宋_GB2312"/>
          <w:color w:val="000000"/>
          <w:sz w:val="36"/>
          <w:szCs w:val="36"/>
        </w:rPr>
      </w:pPr>
    </w:p>
    <w:p>
      <w:pPr>
        <w:adjustRightInd w:val="0"/>
        <w:snapToGrid w:val="0"/>
        <w:spacing w:line="288" w:lineRule="auto"/>
        <w:ind w:firstLine="1040"/>
        <w:jc w:val="center"/>
        <w:rPr>
          <w:rFonts w:hint="eastAsia" w:ascii="仿宋_GB2312" w:eastAsia="仿宋_GB2312"/>
          <w:color w:val="000000"/>
          <w:sz w:val="36"/>
          <w:szCs w:val="36"/>
        </w:rPr>
      </w:pPr>
    </w:p>
    <w:p>
      <w:pPr>
        <w:adjustRightInd w:val="0"/>
        <w:snapToGrid w:val="0"/>
        <w:spacing w:line="288" w:lineRule="auto"/>
        <w:ind w:firstLine="1040"/>
        <w:jc w:val="center"/>
        <w:rPr>
          <w:rFonts w:hint="eastAsia" w:ascii="仿宋_GB2312" w:eastAsia="仿宋_GB2312"/>
          <w:color w:val="000000"/>
          <w:sz w:val="36"/>
          <w:szCs w:val="36"/>
        </w:rPr>
      </w:pPr>
    </w:p>
    <w:p>
      <w:pPr>
        <w:adjustRightInd w:val="0"/>
        <w:snapToGrid w:val="0"/>
        <w:spacing w:line="288" w:lineRule="auto"/>
        <w:jc w:val="center"/>
        <w:rPr>
          <w:rFonts w:hint="eastAsia" w:ascii="仿宋_GB2312" w:eastAsia="仿宋_GB2312"/>
          <w:color w:val="000000"/>
          <w:sz w:val="36"/>
          <w:szCs w:val="36"/>
          <w:lang w:eastAsia="zh-CN"/>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ascii="仿宋" w:hAnsi="仿宋" w:eastAsia="仿宋"/>
          <w:color w:val="000000"/>
          <w:sz w:val="32"/>
          <w:szCs w:val="32"/>
        </w:rPr>
        <w:t>中华人民共和国生态环境部制</w:t>
      </w:r>
    </w:p>
    <w:p>
      <w:pPr>
        <w:adjustRightInd w:val="0"/>
        <w:snapToGrid w:val="0"/>
        <w:spacing w:line="288" w:lineRule="auto"/>
        <w:jc w:val="both"/>
      </w:pPr>
    </w:p>
    <w:p>
      <w:pPr>
        <w:adjustRightInd w:val="0"/>
        <w:snapToGrid w:val="0"/>
        <w:spacing w:line="288" w:lineRule="auto"/>
        <w:jc w:val="center"/>
      </w:pPr>
    </w:p>
    <w:p>
      <w:pPr>
        <w:adjustRightInd w:val="0"/>
        <w:snapToGrid w:val="0"/>
        <w:spacing w:line="288" w:lineRule="auto"/>
        <w:jc w:val="center"/>
      </w:pPr>
    </w:p>
    <w:p>
      <w:pPr>
        <w:adjustRightInd w:val="0"/>
        <w:snapToGrid w:val="0"/>
        <w:spacing w:line="288" w:lineRule="auto"/>
        <w:jc w:val="center"/>
      </w:pPr>
    </w:p>
    <w:p>
      <w:pPr>
        <w:adjustRightInd w:val="0"/>
        <w:snapToGrid w:val="0"/>
        <w:spacing w:line="288" w:lineRule="auto"/>
        <w:jc w:val="center"/>
      </w:pPr>
    </w:p>
    <w:p>
      <w:pPr>
        <w:adjustRightInd w:val="0"/>
        <w:snapToGrid w:val="0"/>
        <w:spacing w:line="288" w:lineRule="auto"/>
        <w:jc w:val="center"/>
      </w:pPr>
    </w:p>
    <w:p>
      <w:pPr>
        <w:adjustRightInd w:val="0"/>
        <w:snapToGrid w:val="0"/>
        <w:spacing w:line="288" w:lineRule="auto"/>
        <w:jc w:val="center"/>
      </w:pPr>
    </w:p>
    <w:p>
      <w:pPr>
        <w:adjustRightInd w:val="0"/>
        <w:snapToGrid w:val="0"/>
        <w:spacing w:line="288" w:lineRule="auto"/>
        <w:jc w:val="center"/>
        <w:rPr>
          <w:rFonts w:hint="eastAsia"/>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pPr>
        <w:pStyle w:val="37"/>
        <w:jc w:val="center"/>
        <w:outlineLvl w:val="0"/>
        <w:rPr>
          <w:rFonts w:hint="eastAsia" w:ascii="黑体" w:hAnsi="黑体" w:eastAsia="黑体"/>
          <w:snapToGrid w:val="0"/>
          <w:color w:val="000000"/>
          <w:sz w:val="30"/>
          <w:szCs w:val="30"/>
        </w:rPr>
      </w:pPr>
      <w:r>
        <w:rPr>
          <w:rFonts w:hint="eastAsia" w:ascii="黑体" w:hAnsi="黑体" w:eastAsia="黑体"/>
          <w:snapToGrid w:val="0"/>
          <w:color w:val="000000"/>
          <w:sz w:val="30"/>
          <w:szCs w:val="30"/>
        </w:rPr>
        <w:t>一、建设项目基本情况</w:t>
      </w:r>
    </w:p>
    <w:tbl>
      <w:tblPr>
        <w:tblStyle w:val="41"/>
        <w:tblW w:w="957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072"/>
        <w:gridCol w:w="3357"/>
        <w:gridCol w:w="1806"/>
        <w:gridCol w:w="406"/>
        <w:gridCol w:w="1351"/>
        <w:gridCol w:w="158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72" w:type="dxa"/>
            <w:noWrap w:val="0"/>
            <w:tcMar>
              <w:top w:w="16" w:type="dxa"/>
              <w:left w:w="16" w:type="dxa"/>
              <w:right w:w="16" w:type="dxa"/>
            </w:tcMar>
            <w:vAlign w:val="center"/>
          </w:tcPr>
          <w:p>
            <w:pPr>
              <w:adjustRightInd w:val="0"/>
              <w:snapToGrid w:val="0"/>
              <w:jc w:val="center"/>
              <w:rPr>
                <w:rFonts w:ascii="宋体" w:hAnsi="宋体" w:eastAsia="宋体" w:cs="宋体"/>
                <w:color w:val="000000"/>
                <w:sz w:val="24"/>
              </w:rPr>
            </w:pPr>
            <w:r>
              <w:rPr>
                <w:rFonts w:hint="eastAsia" w:ascii="宋体" w:hAnsi="宋体" w:eastAsia="宋体" w:cs="宋体"/>
                <w:color w:val="000000"/>
                <w:sz w:val="24"/>
              </w:rPr>
              <w:t>建设项目名称</w:t>
            </w:r>
          </w:p>
        </w:tc>
        <w:tc>
          <w:tcPr>
            <w:tcW w:w="8505" w:type="dxa"/>
            <w:gridSpan w:val="5"/>
            <w:noWrap w:val="0"/>
            <w:vAlign w:val="center"/>
          </w:tcPr>
          <w:p>
            <w:pPr>
              <w:adjustRightInd w:val="0"/>
              <w:snapToGrid w:val="0"/>
              <w:jc w:val="center"/>
              <w:rPr>
                <w:rFonts w:hint="eastAsia" w:ascii="宋体" w:hAnsi="宋体" w:eastAsia="宋体"/>
                <w:color w:val="000000"/>
                <w:sz w:val="24"/>
              </w:rPr>
            </w:pPr>
            <w:r>
              <w:rPr>
                <w:rFonts w:hint="eastAsia" w:ascii="宋体" w:hAnsi="宋体" w:eastAsia="宋体"/>
                <w:color w:val="000000"/>
                <w:sz w:val="24"/>
              </w:rPr>
              <w:t>巴川精神病医院床位扩建项目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72" w:type="dxa"/>
            <w:noWrap w:val="0"/>
            <w:tcMar>
              <w:top w:w="16" w:type="dxa"/>
              <w:left w:w="16" w:type="dxa"/>
              <w:right w:w="16" w:type="dxa"/>
            </w:tcMar>
            <w:vAlign w:val="center"/>
          </w:tcPr>
          <w:p>
            <w:pPr>
              <w:adjustRightInd w:val="0"/>
              <w:snapToGrid w:val="0"/>
              <w:jc w:val="center"/>
              <w:rPr>
                <w:rFonts w:ascii="宋体" w:hAnsi="宋体" w:eastAsia="宋体" w:cs="宋体"/>
                <w:color w:val="000000"/>
                <w:sz w:val="24"/>
              </w:rPr>
            </w:pPr>
            <w:r>
              <w:rPr>
                <w:rFonts w:hint="eastAsia" w:ascii="宋体" w:hAnsi="宋体" w:eastAsia="宋体" w:cs="宋体"/>
                <w:color w:val="000000"/>
                <w:sz w:val="24"/>
              </w:rPr>
              <w:t>项目代码</w:t>
            </w:r>
          </w:p>
        </w:tc>
        <w:tc>
          <w:tcPr>
            <w:tcW w:w="8505" w:type="dxa"/>
            <w:gridSpan w:val="5"/>
            <w:noWrap w:val="0"/>
            <w:vAlign w:val="center"/>
          </w:tcPr>
          <w:p>
            <w:pPr>
              <w:adjustRightInd w:val="0"/>
              <w:snapToGrid w:val="0"/>
              <w:jc w:val="center"/>
              <w:rPr>
                <w:rFonts w:ascii="Times New Roman" w:hAnsi="Times New Roman" w:eastAsia="宋体"/>
                <w:color w:val="000000"/>
                <w:sz w:val="24"/>
              </w:rPr>
            </w:pPr>
            <w:r>
              <w:rPr>
                <w:rFonts w:hint="eastAsia" w:ascii="Times New Roman" w:hAnsi="Times New Roman" w:eastAsia="宋体"/>
                <w:color w:val="000000"/>
                <w:sz w:val="24"/>
              </w:rPr>
              <w:t>2301-511102-04-01-574540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72" w:type="dxa"/>
            <w:noWrap w:val="0"/>
            <w:tcMar>
              <w:top w:w="16" w:type="dxa"/>
              <w:left w:w="16" w:type="dxa"/>
              <w:right w:w="16" w:type="dxa"/>
            </w:tcMar>
            <w:vAlign w:val="center"/>
          </w:tcPr>
          <w:p>
            <w:pPr>
              <w:adjustRightInd w:val="0"/>
              <w:snapToGrid w:val="0"/>
              <w:jc w:val="center"/>
              <w:rPr>
                <w:rFonts w:hint="eastAsia" w:ascii="宋体" w:hAnsi="宋体" w:eastAsia="宋体" w:cs="宋体"/>
                <w:color w:val="000000"/>
                <w:sz w:val="24"/>
              </w:rPr>
            </w:pPr>
            <w:r>
              <w:rPr>
                <w:rFonts w:hint="eastAsia" w:ascii="宋体" w:hAnsi="宋体" w:eastAsia="宋体" w:cs="宋体"/>
                <w:color w:val="000000"/>
                <w:sz w:val="24"/>
              </w:rPr>
              <w:t>建设单位联系人</w:t>
            </w:r>
          </w:p>
        </w:tc>
        <w:tc>
          <w:tcPr>
            <w:tcW w:w="3357" w:type="dxa"/>
            <w:noWrap w:val="0"/>
            <w:vAlign w:val="center"/>
          </w:tcPr>
          <w:p>
            <w:pPr>
              <w:adjustRightInd w:val="0"/>
              <w:snapToGrid w:val="0"/>
              <w:jc w:val="center"/>
              <w:rPr>
                <w:rFonts w:hint="eastAsia" w:ascii="宋体" w:hAnsi="宋体" w:eastAsia="宋体" w:cs="宋体"/>
                <w:color w:val="000000"/>
                <w:sz w:val="24"/>
              </w:rPr>
            </w:pPr>
            <w:r>
              <w:rPr>
                <w:rFonts w:hint="eastAsia" w:ascii="宋体" w:hAnsi="宋体" w:eastAsia="宋体" w:cs="宋体"/>
                <w:color w:val="000000"/>
                <w:sz w:val="24"/>
              </w:rPr>
              <w:t>唐园嘉</w:t>
            </w:r>
          </w:p>
        </w:tc>
        <w:tc>
          <w:tcPr>
            <w:tcW w:w="2212" w:type="dxa"/>
            <w:gridSpan w:val="2"/>
            <w:noWrap w:val="0"/>
            <w:vAlign w:val="center"/>
          </w:tcPr>
          <w:p>
            <w:pPr>
              <w:adjustRightInd w:val="0"/>
              <w:snapToGrid w:val="0"/>
              <w:jc w:val="center"/>
              <w:rPr>
                <w:rFonts w:ascii="宋体" w:hAnsi="宋体" w:eastAsia="宋体" w:cs="宋体"/>
                <w:color w:val="000000"/>
                <w:sz w:val="24"/>
              </w:rPr>
            </w:pPr>
            <w:r>
              <w:rPr>
                <w:rFonts w:hint="eastAsia" w:ascii="宋体" w:hAnsi="宋体" w:eastAsia="宋体" w:cs="宋体"/>
                <w:color w:val="000000"/>
                <w:sz w:val="24"/>
              </w:rPr>
              <w:t>联系方式</w:t>
            </w:r>
          </w:p>
        </w:tc>
        <w:tc>
          <w:tcPr>
            <w:tcW w:w="2936" w:type="dxa"/>
            <w:gridSpan w:val="2"/>
            <w:noWrap w:val="0"/>
            <w:vAlign w:val="center"/>
          </w:tcPr>
          <w:p>
            <w:pPr>
              <w:adjustRightInd w:val="0"/>
              <w:snapToGrid w:val="0"/>
              <w:jc w:val="center"/>
              <w:rPr>
                <w:rFonts w:ascii="Times New Roman" w:hAnsi="Times New Roman" w:eastAsia="宋体"/>
                <w:color w:val="000000"/>
                <w:sz w:val="24"/>
              </w:rPr>
            </w:pPr>
            <w:r>
              <w:rPr>
                <w:rFonts w:hint="eastAsia" w:ascii="Times New Roman" w:hAnsi="Times New Roman" w:eastAsia="宋体"/>
                <w:color w:val="000000"/>
                <w:sz w:val="24"/>
              </w:rPr>
              <w:t>18990617565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72" w:type="dxa"/>
            <w:noWrap w:val="0"/>
            <w:tcMar>
              <w:top w:w="16" w:type="dxa"/>
              <w:left w:w="16" w:type="dxa"/>
              <w:right w:w="16" w:type="dxa"/>
            </w:tcMar>
            <w:vAlign w:val="center"/>
          </w:tcPr>
          <w:p>
            <w:pPr>
              <w:adjustRightInd w:val="0"/>
              <w:snapToGrid w:val="0"/>
              <w:jc w:val="center"/>
              <w:rPr>
                <w:rFonts w:ascii="宋体" w:hAnsi="宋体" w:eastAsia="宋体" w:cs="宋体"/>
                <w:color w:val="000000"/>
                <w:sz w:val="24"/>
              </w:rPr>
            </w:pPr>
            <w:r>
              <w:rPr>
                <w:rFonts w:hint="eastAsia" w:ascii="宋体" w:hAnsi="宋体" w:eastAsia="宋体" w:cs="宋体"/>
                <w:color w:val="000000"/>
                <w:sz w:val="24"/>
              </w:rPr>
              <w:t>建设地点</w:t>
            </w:r>
          </w:p>
        </w:tc>
        <w:tc>
          <w:tcPr>
            <w:tcW w:w="8505" w:type="dxa"/>
            <w:gridSpan w:val="5"/>
            <w:noWrap w:val="0"/>
            <w:vAlign w:val="center"/>
          </w:tcPr>
          <w:p>
            <w:pPr>
              <w:adjustRightInd w:val="0"/>
              <w:snapToGrid w:val="0"/>
              <w:jc w:val="center"/>
              <w:rPr>
                <w:rFonts w:hint="eastAsia" w:ascii="宋体" w:hAnsi="宋体" w:eastAsia="宋体" w:cs="宋体"/>
                <w:color w:val="000000"/>
                <w:sz w:val="24"/>
                <w:u w:val="single"/>
              </w:rPr>
            </w:pPr>
            <w:r>
              <w:rPr>
                <w:rFonts w:hint="eastAsia" w:ascii="Times New Roman" w:hAnsi="Times New Roman" w:eastAsia="宋体" w:cs="Times New Roman"/>
                <w:color w:val="000000"/>
                <w:sz w:val="24"/>
              </w:rPr>
              <w:t>乐山市市中区水口镇徐月村7组456号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72" w:type="dxa"/>
            <w:noWrap w:val="0"/>
            <w:tcMar>
              <w:top w:w="16" w:type="dxa"/>
              <w:left w:w="16" w:type="dxa"/>
              <w:right w:w="16" w:type="dxa"/>
            </w:tcMar>
            <w:vAlign w:val="center"/>
          </w:tcPr>
          <w:p>
            <w:pPr>
              <w:adjustRightInd w:val="0"/>
              <w:snapToGrid w:val="0"/>
              <w:jc w:val="center"/>
              <w:rPr>
                <w:rFonts w:ascii="宋体" w:hAnsi="宋体" w:eastAsia="宋体" w:cs="宋体"/>
                <w:color w:val="000000"/>
                <w:sz w:val="24"/>
              </w:rPr>
            </w:pPr>
            <w:r>
              <w:rPr>
                <w:rFonts w:hint="eastAsia" w:ascii="宋体" w:hAnsi="宋体" w:eastAsia="宋体" w:cs="宋体"/>
                <w:color w:val="000000"/>
                <w:sz w:val="24"/>
              </w:rPr>
              <w:t>地理坐标</w:t>
            </w:r>
          </w:p>
        </w:tc>
        <w:tc>
          <w:tcPr>
            <w:tcW w:w="8505" w:type="dxa"/>
            <w:gridSpan w:val="5"/>
            <w:noWrap w:val="0"/>
            <w:vAlign w:val="center"/>
          </w:tcPr>
          <w:p>
            <w:pPr>
              <w:jc w:val="center"/>
              <w:rPr>
                <w:rFonts w:ascii="Times New Roman" w:hAnsi="Times New Roman" w:eastAsia="宋体"/>
                <w:color w:val="000000"/>
                <w:sz w:val="24"/>
              </w:rPr>
            </w:pPr>
            <w:r>
              <w:rPr>
                <w:rFonts w:hint="eastAsia" w:hAnsi="宋体"/>
                <w:sz w:val="24"/>
              </w:rPr>
              <w:t>（</w:t>
            </w:r>
            <w:r>
              <w:rPr>
                <w:rFonts w:hAnsi="宋体"/>
                <w:sz w:val="24"/>
                <w:u w:val="single"/>
              </w:rPr>
              <w:t xml:space="preserve"> </w:t>
            </w:r>
            <w:r>
              <w:rPr>
                <w:rFonts w:hint="eastAsia" w:hAnsi="宋体"/>
                <w:sz w:val="24"/>
                <w:u w:val="single"/>
              </w:rPr>
              <w:t xml:space="preserve">103 </w:t>
            </w:r>
            <w:r>
              <w:rPr>
                <w:rFonts w:hint="eastAsia" w:hAnsi="宋体"/>
                <w:sz w:val="24"/>
              </w:rPr>
              <w:t>度</w:t>
            </w:r>
            <w:r>
              <w:rPr>
                <w:rFonts w:hAnsi="宋体"/>
                <w:sz w:val="24"/>
                <w:u w:val="single"/>
              </w:rPr>
              <w:t xml:space="preserve"> </w:t>
            </w:r>
            <w:r>
              <w:rPr>
                <w:rFonts w:hint="eastAsia" w:hAnsi="宋体"/>
                <w:sz w:val="24"/>
                <w:u w:val="single"/>
              </w:rPr>
              <w:t>40</w:t>
            </w:r>
            <w:r>
              <w:rPr>
                <w:rFonts w:hAnsi="宋体"/>
                <w:sz w:val="24"/>
                <w:u w:val="single"/>
              </w:rPr>
              <w:t xml:space="preserve"> </w:t>
            </w:r>
            <w:r>
              <w:rPr>
                <w:rFonts w:hint="eastAsia" w:hAnsi="宋体"/>
                <w:sz w:val="24"/>
              </w:rPr>
              <w:t>分</w:t>
            </w:r>
            <w:r>
              <w:rPr>
                <w:rFonts w:hAnsi="宋体"/>
                <w:sz w:val="24"/>
                <w:u w:val="single"/>
              </w:rPr>
              <w:t xml:space="preserve"> </w:t>
            </w:r>
            <w:r>
              <w:rPr>
                <w:rFonts w:hint="eastAsia" w:hAnsi="宋体"/>
                <w:sz w:val="24"/>
                <w:u w:val="single"/>
              </w:rPr>
              <w:t xml:space="preserve">54.702 </w:t>
            </w:r>
            <w:r>
              <w:rPr>
                <w:rFonts w:hint="eastAsia" w:hAnsi="宋体"/>
                <w:sz w:val="24"/>
              </w:rPr>
              <w:t>秒，</w:t>
            </w:r>
            <w:r>
              <w:rPr>
                <w:rFonts w:hAnsi="宋体"/>
                <w:sz w:val="24"/>
                <w:u w:val="single"/>
              </w:rPr>
              <w:t xml:space="preserve"> </w:t>
            </w:r>
            <w:r>
              <w:rPr>
                <w:rFonts w:hint="eastAsia" w:hAnsi="宋体"/>
                <w:sz w:val="24"/>
                <w:u w:val="single"/>
              </w:rPr>
              <w:t>29</w:t>
            </w:r>
            <w:r>
              <w:rPr>
                <w:rFonts w:hAnsi="宋体"/>
                <w:sz w:val="24"/>
                <w:u w:val="single"/>
              </w:rPr>
              <w:t xml:space="preserve"> </w:t>
            </w:r>
            <w:r>
              <w:rPr>
                <w:rFonts w:hint="eastAsia" w:hAnsi="宋体"/>
                <w:sz w:val="24"/>
              </w:rPr>
              <w:t>度</w:t>
            </w:r>
            <w:r>
              <w:rPr>
                <w:rFonts w:hint="eastAsia" w:hAnsi="宋体"/>
                <w:sz w:val="24"/>
                <w:u w:val="single"/>
              </w:rPr>
              <w:t xml:space="preserve"> 33</w:t>
            </w:r>
            <w:r>
              <w:rPr>
                <w:rFonts w:hAnsi="宋体"/>
                <w:sz w:val="24"/>
                <w:u w:val="single"/>
              </w:rPr>
              <w:t xml:space="preserve"> </w:t>
            </w:r>
            <w:r>
              <w:rPr>
                <w:rFonts w:hint="eastAsia" w:hAnsi="宋体"/>
                <w:sz w:val="24"/>
              </w:rPr>
              <w:t>分</w:t>
            </w:r>
            <w:r>
              <w:rPr>
                <w:rFonts w:hAnsi="宋体"/>
                <w:sz w:val="24"/>
                <w:u w:val="single"/>
              </w:rPr>
              <w:t xml:space="preserve"> </w:t>
            </w:r>
            <w:r>
              <w:rPr>
                <w:rFonts w:hint="eastAsia" w:hAnsi="宋体"/>
                <w:sz w:val="24"/>
                <w:u w:val="single"/>
              </w:rPr>
              <w:t>28.951</w:t>
            </w:r>
            <w:r>
              <w:rPr>
                <w:rFonts w:hAnsi="宋体"/>
                <w:sz w:val="24"/>
                <w:u w:val="single"/>
              </w:rPr>
              <w:t xml:space="preserve"> </w:t>
            </w:r>
            <w:r>
              <w:rPr>
                <w:rFonts w:hint="eastAsia" w:hAnsi="宋体"/>
                <w:sz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072" w:type="dxa"/>
            <w:noWrap w:val="0"/>
            <w:tcMar>
              <w:top w:w="16" w:type="dxa"/>
              <w:left w:w="16" w:type="dxa"/>
              <w:right w:w="16" w:type="dxa"/>
            </w:tcMar>
            <w:vAlign w:val="center"/>
          </w:tcPr>
          <w:p>
            <w:pPr>
              <w:adjustRightInd w:val="0"/>
              <w:snapToGrid w:val="0"/>
              <w:jc w:val="center"/>
              <w:rPr>
                <w:rFonts w:hint="eastAsia" w:ascii="宋体" w:hAnsi="宋体" w:eastAsia="宋体" w:cs="宋体"/>
                <w:color w:val="000000"/>
                <w:sz w:val="24"/>
              </w:rPr>
            </w:pPr>
            <w:r>
              <w:rPr>
                <w:rFonts w:hint="eastAsia" w:ascii="宋体" w:hAnsi="宋体" w:eastAsia="宋体" w:cs="宋体"/>
                <w:color w:val="000000"/>
                <w:sz w:val="24"/>
              </w:rPr>
              <w:t>国民经济</w:t>
            </w:r>
          </w:p>
          <w:p>
            <w:pPr>
              <w:adjustRightInd w:val="0"/>
              <w:snapToGrid w:val="0"/>
              <w:jc w:val="center"/>
              <w:rPr>
                <w:rFonts w:ascii="宋体" w:hAnsi="宋体" w:eastAsia="宋体" w:cs="宋体"/>
                <w:color w:val="000000"/>
                <w:sz w:val="24"/>
              </w:rPr>
            </w:pPr>
            <w:r>
              <w:rPr>
                <w:rFonts w:hint="eastAsia" w:ascii="宋体" w:hAnsi="宋体" w:eastAsia="宋体" w:cs="宋体"/>
                <w:color w:val="000000"/>
                <w:sz w:val="24"/>
              </w:rPr>
              <w:t>行业类别</w:t>
            </w:r>
          </w:p>
        </w:tc>
        <w:tc>
          <w:tcPr>
            <w:tcW w:w="3357" w:type="dxa"/>
            <w:noWrap w:val="0"/>
            <w:vAlign w:val="center"/>
          </w:tcPr>
          <w:p>
            <w:pPr>
              <w:pStyle w:val="184"/>
              <w:rPr>
                <w:rFonts w:ascii="Times New Roman" w:hAnsi="Times New Roman" w:eastAsia="宋体"/>
                <w:color w:val="000000"/>
                <w:sz w:val="24"/>
                <w:szCs w:val="24"/>
              </w:rPr>
            </w:pPr>
            <w:r>
              <w:rPr>
                <w:rFonts w:hint="eastAsia" w:ascii="Times New Roman" w:hAnsi="Times New Roman" w:eastAsia="宋体"/>
                <w:color w:val="000000"/>
                <w:sz w:val="24"/>
                <w:szCs w:val="24"/>
              </w:rPr>
              <w:t>Q8415专科医院</w:t>
            </w:r>
          </w:p>
        </w:tc>
        <w:tc>
          <w:tcPr>
            <w:tcW w:w="2212" w:type="dxa"/>
            <w:gridSpan w:val="2"/>
            <w:noWrap w:val="0"/>
            <w:vAlign w:val="center"/>
          </w:tcPr>
          <w:p>
            <w:pPr>
              <w:adjustRightInd w:val="0"/>
              <w:snapToGrid w:val="0"/>
              <w:jc w:val="center"/>
              <w:rPr>
                <w:rFonts w:ascii="Times New Roman" w:hAnsi="Times New Roman" w:eastAsia="宋体"/>
                <w:color w:val="000000"/>
                <w:sz w:val="24"/>
              </w:rPr>
            </w:pPr>
            <w:bookmarkStart w:id="0" w:name="_Hlk49843745"/>
            <w:r>
              <w:rPr>
                <w:rFonts w:ascii="Times New Roman" w:hAnsi="Times New Roman" w:eastAsia="宋体"/>
                <w:color w:val="000000"/>
                <w:sz w:val="24"/>
              </w:rPr>
              <w:t>建设项目</w:t>
            </w:r>
          </w:p>
          <w:p>
            <w:pPr>
              <w:adjustRightInd w:val="0"/>
              <w:snapToGrid w:val="0"/>
              <w:jc w:val="center"/>
              <w:rPr>
                <w:rFonts w:ascii="Times New Roman" w:hAnsi="Times New Roman" w:eastAsia="宋体"/>
                <w:color w:val="000000"/>
                <w:sz w:val="24"/>
              </w:rPr>
            </w:pPr>
            <w:r>
              <w:rPr>
                <w:rFonts w:ascii="Times New Roman" w:hAnsi="Times New Roman" w:eastAsia="宋体"/>
                <w:color w:val="000000"/>
                <w:sz w:val="24"/>
              </w:rPr>
              <w:t>行业类别</w:t>
            </w:r>
            <w:bookmarkEnd w:id="0"/>
          </w:p>
        </w:tc>
        <w:tc>
          <w:tcPr>
            <w:tcW w:w="2936" w:type="dxa"/>
            <w:gridSpan w:val="2"/>
            <w:noWrap w:val="0"/>
            <w:vAlign w:val="center"/>
          </w:tcPr>
          <w:p>
            <w:pPr>
              <w:pStyle w:val="184"/>
              <w:rPr>
                <w:rFonts w:ascii="Times New Roman" w:hAnsi="Times New Roman" w:eastAsia="宋体"/>
                <w:color w:val="000000"/>
                <w:sz w:val="24"/>
                <w:szCs w:val="24"/>
              </w:rPr>
            </w:pPr>
            <w:r>
              <w:rPr>
                <w:rFonts w:hint="eastAsia" w:ascii="Times New Roman" w:hAnsi="Times New Roman" w:eastAsia="宋体"/>
                <w:color w:val="000000"/>
                <w:sz w:val="24"/>
                <w:szCs w:val="24"/>
              </w:rPr>
              <w:t>四十九_108专科疾病防治院（所、站）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072" w:type="dxa"/>
            <w:noWrap w:val="0"/>
            <w:tcMar>
              <w:top w:w="16" w:type="dxa"/>
              <w:left w:w="16" w:type="dxa"/>
              <w:right w:w="16" w:type="dxa"/>
            </w:tcMar>
            <w:vAlign w:val="center"/>
          </w:tcPr>
          <w:p>
            <w:pPr>
              <w:adjustRightInd w:val="0"/>
              <w:snapToGrid w:val="0"/>
              <w:jc w:val="center"/>
              <w:rPr>
                <w:rFonts w:ascii="宋体" w:hAnsi="宋体" w:eastAsia="宋体" w:cs="宋体"/>
                <w:color w:val="000000"/>
                <w:sz w:val="24"/>
              </w:rPr>
            </w:pPr>
            <w:r>
              <w:rPr>
                <w:rFonts w:hint="eastAsia" w:ascii="宋体" w:hAnsi="宋体" w:eastAsia="宋体" w:cs="宋体"/>
                <w:color w:val="000000"/>
                <w:sz w:val="24"/>
              </w:rPr>
              <w:t>建设性质</w:t>
            </w:r>
          </w:p>
        </w:tc>
        <w:tc>
          <w:tcPr>
            <w:tcW w:w="3357" w:type="dxa"/>
            <w:noWrap w:val="0"/>
            <w:vAlign w:val="center"/>
          </w:tcPr>
          <w:p>
            <w:pPr>
              <w:jc w:val="left"/>
              <w:rPr>
                <w:rFonts w:ascii="宋体" w:hAnsi="宋体" w:eastAsia="宋体" w:cs="宋体"/>
                <w:color w:val="000000"/>
                <w:sz w:val="24"/>
              </w:rPr>
            </w:pPr>
            <w:r>
              <w:rPr>
                <w:rFonts w:ascii="宋体" w:hAnsi="宋体" w:eastAsia="宋体"/>
                <w:color w:val="000000"/>
                <w:sz w:val="24"/>
              </w:rPr>
              <w:sym w:font="Wingdings 2" w:char="00A3"/>
            </w:r>
            <w:r>
              <w:rPr>
                <w:rFonts w:hint="eastAsia" w:ascii="宋体" w:hAnsi="宋体" w:eastAsia="宋体" w:cs="宋体"/>
                <w:color w:val="000000"/>
                <w:sz w:val="24"/>
              </w:rPr>
              <w:t>新建（迁建）</w:t>
            </w:r>
          </w:p>
          <w:p>
            <w:pPr>
              <w:jc w:val="left"/>
              <w:rPr>
                <w:rFonts w:hint="eastAsia" w:ascii="宋体" w:hAnsi="宋体" w:eastAsia="宋体" w:cs="宋体"/>
                <w:color w:val="000000"/>
                <w:sz w:val="24"/>
              </w:rPr>
            </w:pPr>
            <w:r>
              <w:rPr>
                <w:rFonts w:hint="eastAsia" w:ascii="宋体" w:hAnsi="宋体" w:eastAsia="宋体" w:cs="宋体"/>
                <w:color w:val="000000"/>
                <w:sz w:val="24"/>
              </w:rPr>
              <w:t>□改建</w:t>
            </w:r>
          </w:p>
          <w:p>
            <w:pPr>
              <w:jc w:val="left"/>
              <w:rPr>
                <w:rFonts w:hint="eastAsia" w:ascii="宋体" w:hAnsi="宋体" w:eastAsia="宋体" w:cs="宋体"/>
                <w:color w:val="000000"/>
                <w:sz w:val="24"/>
              </w:rPr>
            </w:pPr>
            <w:r>
              <w:rPr>
                <w:rFonts w:hint="eastAsia" w:ascii="宋体" w:hAnsi="宋体" w:eastAsia="宋体" w:cs="宋体"/>
                <w:color w:val="000000"/>
                <w:sz w:val="24"/>
              </w:rPr>
              <w:sym w:font="Wingdings 2" w:char="0052"/>
            </w:r>
            <w:r>
              <w:rPr>
                <w:rFonts w:hint="eastAsia" w:ascii="宋体" w:hAnsi="宋体" w:eastAsia="宋体" w:cs="宋体"/>
                <w:color w:val="000000"/>
                <w:sz w:val="24"/>
              </w:rPr>
              <w:t>扩建</w:t>
            </w:r>
          </w:p>
          <w:p>
            <w:pPr>
              <w:jc w:val="left"/>
              <w:rPr>
                <w:rFonts w:ascii="宋体" w:hAnsi="宋体" w:eastAsia="宋体" w:cs="宋体"/>
                <w:color w:val="000000"/>
                <w:sz w:val="24"/>
              </w:rPr>
            </w:pPr>
            <w:r>
              <w:rPr>
                <w:rFonts w:hint="eastAsia" w:ascii="宋体" w:hAnsi="宋体" w:eastAsia="宋体" w:cs="宋体"/>
                <w:color w:val="000000"/>
                <w:sz w:val="24"/>
              </w:rPr>
              <w:t>□技术改造</w:t>
            </w:r>
          </w:p>
        </w:tc>
        <w:tc>
          <w:tcPr>
            <w:tcW w:w="2212" w:type="dxa"/>
            <w:gridSpan w:val="2"/>
            <w:noWrap w:val="0"/>
            <w:vAlign w:val="center"/>
          </w:tcPr>
          <w:p>
            <w:pPr>
              <w:adjustRightInd w:val="0"/>
              <w:snapToGrid w:val="0"/>
              <w:jc w:val="center"/>
              <w:rPr>
                <w:rFonts w:hint="eastAsia" w:ascii="宋体" w:hAnsi="宋体" w:eastAsia="宋体" w:cs="宋体"/>
                <w:color w:val="000000"/>
                <w:sz w:val="24"/>
              </w:rPr>
            </w:pPr>
            <w:r>
              <w:rPr>
                <w:rFonts w:hint="eastAsia" w:ascii="宋体" w:hAnsi="宋体" w:eastAsia="宋体" w:cs="宋体"/>
                <w:color w:val="000000"/>
                <w:sz w:val="24"/>
              </w:rPr>
              <w:t>建设项目</w:t>
            </w:r>
          </w:p>
          <w:p>
            <w:pPr>
              <w:adjustRightInd w:val="0"/>
              <w:snapToGrid w:val="0"/>
              <w:jc w:val="center"/>
              <w:rPr>
                <w:rFonts w:ascii="宋体" w:hAnsi="宋体" w:eastAsia="宋体" w:cs="宋体"/>
                <w:color w:val="000000"/>
                <w:sz w:val="24"/>
              </w:rPr>
            </w:pPr>
            <w:r>
              <w:rPr>
                <w:rFonts w:hint="eastAsia" w:ascii="宋体" w:hAnsi="宋体" w:eastAsia="宋体" w:cs="宋体"/>
                <w:color w:val="000000"/>
                <w:sz w:val="24"/>
              </w:rPr>
              <w:t>申报情形</w:t>
            </w:r>
          </w:p>
        </w:tc>
        <w:tc>
          <w:tcPr>
            <w:tcW w:w="2936" w:type="dxa"/>
            <w:gridSpan w:val="2"/>
            <w:noWrap w:val="0"/>
            <w:vAlign w:val="center"/>
          </w:tcPr>
          <w:p>
            <w:pPr>
              <w:jc w:val="left"/>
              <w:rPr>
                <w:rFonts w:ascii="宋体" w:hAnsi="宋体" w:eastAsia="宋体" w:cs="宋体"/>
                <w:color w:val="000000"/>
                <w:sz w:val="24"/>
              </w:rPr>
            </w:pPr>
            <w:r>
              <w:rPr>
                <w:rFonts w:ascii="宋体" w:hAnsi="宋体" w:eastAsia="宋体"/>
                <w:color w:val="000000"/>
                <w:sz w:val="24"/>
              </w:rPr>
              <w:sym w:font="Wingdings 2" w:char="0052"/>
            </w:r>
            <w:r>
              <w:rPr>
                <w:rFonts w:hint="eastAsia" w:ascii="宋体" w:hAnsi="宋体" w:eastAsia="宋体" w:cs="宋体"/>
                <w:color w:val="000000"/>
                <w:sz w:val="24"/>
              </w:rPr>
              <w:t>首次申报项目</w:t>
            </w:r>
            <w:r>
              <w:rPr>
                <w:rFonts w:ascii="宋体" w:hAnsi="宋体" w:eastAsia="宋体" w:cs="宋体"/>
                <w:color w:val="000000"/>
                <w:sz w:val="24"/>
              </w:rPr>
              <w:t xml:space="preserve">             </w:t>
            </w:r>
          </w:p>
          <w:p>
            <w:pPr>
              <w:jc w:val="left"/>
              <w:rPr>
                <w:rFonts w:ascii="宋体" w:hAnsi="宋体" w:eastAsia="宋体" w:cs="宋体"/>
                <w:color w:val="000000"/>
                <w:sz w:val="24"/>
              </w:rPr>
            </w:pPr>
            <w:r>
              <w:rPr>
                <w:rFonts w:hint="eastAsia" w:ascii="宋体" w:hAnsi="宋体" w:eastAsia="宋体" w:cs="宋体"/>
                <w:color w:val="000000"/>
                <w:sz w:val="24"/>
                <w:lang w:eastAsia="zh-CN"/>
              </w:rPr>
              <w:t>□</w:t>
            </w:r>
            <w:r>
              <w:rPr>
                <w:rFonts w:hint="eastAsia" w:ascii="宋体" w:hAnsi="宋体" w:eastAsia="宋体" w:cs="宋体"/>
                <w:color w:val="000000"/>
                <w:sz w:val="24"/>
              </w:rPr>
              <w:t>不予批准后再次申报项目</w:t>
            </w:r>
          </w:p>
          <w:p>
            <w:pPr>
              <w:jc w:val="left"/>
              <w:rPr>
                <w:rFonts w:ascii="宋体" w:hAnsi="宋体" w:eastAsia="宋体" w:cs="宋体"/>
                <w:color w:val="000000"/>
                <w:sz w:val="24"/>
              </w:rPr>
            </w:pPr>
            <w:r>
              <w:rPr>
                <w:rFonts w:hint="eastAsia" w:ascii="宋体" w:hAnsi="宋体" w:eastAsia="宋体" w:cs="宋体"/>
                <w:color w:val="000000"/>
                <w:sz w:val="24"/>
              </w:rPr>
              <w:sym w:font="Wingdings 2" w:char="00A3"/>
            </w:r>
            <w:r>
              <w:rPr>
                <w:rFonts w:hint="eastAsia" w:ascii="宋体" w:hAnsi="宋体" w:eastAsia="宋体" w:cs="宋体"/>
                <w:color w:val="000000"/>
                <w:sz w:val="24"/>
              </w:rPr>
              <w:t>超五年重新审核项目</w:t>
            </w:r>
            <w:r>
              <w:rPr>
                <w:rFonts w:ascii="宋体" w:hAnsi="宋体" w:eastAsia="宋体" w:cs="宋体"/>
                <w:color w:val="000000"/>
                <w:sz w:val="24"/>
              </w:rPr>
              <w:t xml:space="preserve">     </w:t>
            </w:r>
          </w:p>
          <w:p>
            <w:pPr>
              <w:jc w:val="left"/>
              <w:rPr>
                <w:rFonts w:ascii="宋体" w:hAnsi="宋体" w:eastAsia="宋体" w:cs="宋体"/>
                <w:color w:val="000000"/>
                <w:sz w:val="24"/>
              </w:rPr>
            </w:pPr>
            <w:r>
              <w:rPr>
                <w:rFonts w:hint="eastAsia" w:ascii="宋体" w:hAnsi="宋体" w:eastAsia="宋体" w:cs="宋体"/>
                <w:color w:val="000000"/>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072" w:type="dxa"/>
            <w:noWrap w:val="0"/>
            <w:tcMar>
              <w:top w:w="16" w:type="dxa"/>
              <w:left w:w="16" w:type="dxa"/>
              <w:right w:w="16" w:type="dxa"/>
            </w:tcMar>
            <w:vAlign w:val="center"/>
          </w:tcPr>
          <w:p>
            <w:pPr>
              <w:adjustRightInd w:val="0"/>
              <w:snapToGrid w:val="0"/>
              <w:jc w:val="center"/>
              <w:rPr>
                <w:rFonts w:hint="eastAsia" w:ascii="宋体" w:hAnsi="宋体" w:eastAsia="宋体" w:cs="宋体"/>
                <w:color w:val="000000"/>
                <w:sz w:val="24"/>
              </w:rPr>
            </w:pPr>
            <w:r>
              <w:rPr>
                <w:rFonts w:hint="eastAsia" w:ascii="宋体" w:hAnsi="宋体" w:eastAsia="宋体" w:cs="宋体"/>
                <w:color w:val="000000"/>
                <w:sz w:val="24"/>
              </w:rPr>
              <w:t>项目审批（核准</w:t>
            </w:r>
            <w:r>
              <w:rPr>
                <w:rFonts w:ascii="宋体" w:hAnsi="宋体" w:eastAsia="宋体" w:cs="宋体"/>
                <w:color w:val="000000"/>
                <w:sz w:val="24"/>
              </w:rPr>
              <w:t>/</w:t>
            </w:r>
          </w:p>
          <w:p>
            <w:pPr>
              <w:adjustRightInd w:val="0"/>
              <w:snapToGrid w:val="0"/>
              <w:jc w:val="center"/>
              <w:rPr>
                <w:rFonts w:ascii="宋体" w:hAnsi="宋体" w:eastAsia="宋体" w:cs="宋体"/>
                <w:color w:val="000000"/>
                <w:sz w:val="24"/>
              </w:rPr>
            </w:pPr>
            <w:r>
              <w:rPr>
                <w:rFonts w:hint="eastAsia" w:ascii="宋体" w:hAnsi="宋体" w:eastAsia="宋体" w:cs="宋体"/>
                <w:color w:val="000000"/>
                <w:sz w:val="24"/>
              </w:rPr>
              <w:t>备案）部门（选填）</w:t>
            </w:r>
          </w:p>
        </w:tc>
        <w:tc>
          <w:tcPr>
            <w:tcW w:w="3357" w:type="dxa"/>
            <w:noWrap w:val="0"/>
            <w:vAlign w:val="center"/>
          </w:tcPr>
          <w:p>
            <w:pPr>
              <w:adjustRightInd w:val="0"/>
              <w:snapToGrid w:val="0"/>
              <w:jc w:val="center"/>
              <w:rPr>
                <w:rFonts w:hint="eastAsia" w:ascii="宋体" w:hAnsi="宋体" w:eastAsia="宋体"/>
                <w:color w:val="000000"/>
                <w:sz w:val="24"/>
                <w:szCs w:val="24"/>
              </w:rPr>
            </w:pPr>
            <w:r>
              <w:rPr>
                <w:rFonts w:hint="eastAsia" w:hAnsi="宋体"/>
                <w:sz w:val="24"/>
              </w:rPr>
              <w:t>乐山市中区发展和改革局</w:t>
            </w:r>
          </w:p>
        </w:tc>
        <w:tc>
          <w:tcPr>
            <w:tcW w:w="2212" w:type="dxa"/>
            <w:gridSpan w:val="2"/>
            <w:noWrap w:val="0"/>
            <w:vAlign w:val="center"/>
          </w:tcPr>
          <w:p>
            <w:pPr>
              <w:adjustRightInd w:val="0"/>
              <w:snapToGrid w:val="0"/>
              <w:jc w:val="center"/>
              <w:rPr>
                <w:rFonts w:hint="eastAsia" w:ascii="宋体" w:hAnsi="宋体" w:eastAsia="宋体" w:cs="宋体"/>
                <w:color w:val="000000"/>
                <w:sz w:val="24"/>
              </w:rPr>
            </w:pPr>
            <w:r>
              <w:rPr>
                <w:rFonts w:hint="eastAsia" w:ascii="宋体" w:hAnsi="宋体" w:eastAsia="宋体" w:cs="宋体"/>
                <w:color w:val="000000"/>
                <w:sz w:val="24"/>
              </w:rPr>
              <w:t>项目审批（核准</w:t>
            </w:r>
            <w:r>
              <w:rPr>
                <w:rFonts w:ascii="宋体" w:hAnsi="宋体" w:eastAsia="宋体" w:cs="宋体"/>
                <w:color w:val="000000"/>
                <w:sz w:val="24"/>
              </w:rPr>
              <w:t>/</w:t>
            </w:r>
          </w:p>
          <w:p>
            <w:pPr>
              <w:adjustRightInd w:val="0"/>
              <w:snapToGrid w:val="0"/>
              <w:jc w:val="center"/>
              <w:rPr>
                <w:rFonts w:hint="eastAsia" w:ascii="宋体" w:hAnsi="宋体" w:eastAsia="宋体" w:cs="宋体"/>
                <w:color w:val="000000"/>
                <w:sz w:val="24"/>
              </w:rPr>
            </w:pPr>
            <w:r>
              <w:rPr>
                <w:rFonts w:hint="eastAsia" w:ascii="宋体" w:hAnsi="宋体" w:eastAsia="宋体" w:cs="宋体"/>
                <w:color w:val="000000"/>
                <w:sz w:val="24"/>
              </w:rPr>
              <w:t>备案）文号（选填）</w:t>
            </w:r>
          </w:p>
        </w:tc>
        <w:tc>
          <w:tcPr>
            <w:tcW w:w="2936" w:type="dxa"/>
            <w:gridSpan w:val="2"/>
            <w:noWrap w:val="0"/>
            <w:vAlign w:val="center"/>
          </w:tcPr>
          <w:p>
            <w:pPr>
              <w:adjustRightInd w:val="0"/>
              <w:snapToGrid w:val="0"/>
              <w:jc w:val="center"/>
              <w:rPr>
                <w:rFonts w:ascii="Times New Roman" w:hAnsi="Times New Roman" w:eastAsia="宋体"/>
                <w:color w:val="000000"/>
                <w:sz w:val="24"/>
                <w:szCs w:val="24"/>
              </w:rPr>
            </w:pPr>
            <w:r>
              <w:rPr>
                <w:rFonts w:hAnsi="宋体"/>
                <w:sz w:val="24"/>
              </w:rPr>
              <w:t>川投资备</w:t>
            </w:r>
            <w:r>
              <w:rPr>
                <w:rFonts w:hint="eastAsia" w:hAnsi="宋体"/>
                <w:sz w:val="24"/>
              </w:rPr>
              <w:t>【2301-511102-04-01-574540】FGQB-0007号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72" w:type="dxa"/>
            <w:noWrap w:val="0"/>
            <w:tcMar>
              <w:top w:w="16" w:type="dxa"/>
              <w:left w:w="16" w:type="dxa"/>
              <w:right w:w="16" w:type="dxa"/>
            </w:tcMar>
            <w:vAlign w:val="center"/>
          </w:tcPr>
          <w:p>
            <w:pPr>
              <w:adjustRightInd w:val="0"/>
              <w:snapToGrid w:val="0"/>
              <w:jc w:val="center"/>
              <w:rPr>
                <w:rFonts w:ascii="宋体" w:hAnsi="宋体" w:eastAsia="宋体" w:cs="宋体"/>
                <w:color w:val="000000"/>
                <w:sz w:val="24"/>
              </w:rPr>
            </w:pPr>
            <w:r>
              <w:rPr>
                <w:rFonts w:hint="eastAsia" w:ascii="宋体" w:hAnsi="宋体" w:eastAsia="宋体" w:cs="宋体"/>
                <w:color w:val="000000"/>
                <w:sz w:val="24"/>
              </w:rPr>
              <w:t>总投资（万元）</w:t>
            </w:r>
          </w:p>
        </w:tc>
        <w:tc>
          <w:tcPr>
            <w:tcW w:w="3357" w:type="dxa"/>
            <w:noWrap w:val="0"/>
            <w:vAlign w:val="center"/>
          </w:tcPr>
          <w:p>
            <w:pPr>
              <w:adjustRightInd w:val="0"/>
              <w:snapToGrid w:val="0"/>
              <w:jc w:val="center"/>
              <w:rPr>
                <w:rFonts w:ascii="Times New Roman" w:hAnsi="Times New Roman" w:eastAsia="宋体"/>
                <w:color w:val="000000"/>
                <w:sz w:val="24"/>
                <w:szCs w:val="24"/>
              </w:rPr>
            </w:pPr>
            <w:r>
              <w:rPr>
                <w:rFonts w:hint="eastAsia"/>
                <w:sz w:val="24"/>
              </w:rPr>
              <w:t>300</w:t>
            </w:r>
          </w:p>
        </w:tc>
        <w:tc>
          <w:tcPr>
            <w:tcW w:w="2212" w:type="dxa"/>
            <w:gridSpan w:val="2"/>
            <w:noWrap w:val="0"/>
            <w:tcMar>
              <w:top w:w="16" w:type="dxa"/>
              <w:left w:w="16" w:type="dxa"/>
              <w:right w:w="16" w:type="dxa"/>
            </w:tcMar>
            <w:vAlign w:val="center"/>
          </w:tcPr>
          <w:p>
            <w:pPr>
              <w:adjustRightInd w:val="0"/>
              <w:snapToGrid w:val="0"/>
              <w:jc w:val="center"/>
              <w:rPr>
                <w:rFonts w:ascii="Times New Roman" w:hAnsi="Times New Roman" w:eastAsia="宋体"/>
                <w:color w:val="000000"/>
                <w:sz w:val="24"/>
              </w:rPr>
            </w:pPr>
            <w:r>
              <w:rPr>
                <w:rFonts w:ascii="Times New Roman" w:hAnsi="Times New Roman" w:eastAsia="宋体"/>
                <w:color w:val="000000"/>
                <w:sz w:val="24"/>
              </w:rPr>
              <w:t>环保投资（万元）</w:t>
            </w:r>
          </w:p>
        </w:tc>
        <w:tc>
          <w:tcPr>
            <w:tcW w:w="2936" w:type="dxa"/>
            <w:gridSpan w:val="2"/>
            <w:noWrap w:val="0"/>
            <w:vAlign w:val="center"/>
          </w:tcPr>
          <w:p>
            <w:pPr>
              <w:adjustRightInd w:val="0"/>
              <w:snapToGrid w:val="0"/>
              <w:jc w:val="center"/>
              <w:rPr>
                <w:rFonts w:hint="default" w:ascii="Times New Roman" w:hAnsi="Times New Roman" w:eastAsia="宋体"/>
                <w:color w:val="000000"/>
                <w:sz w:val="24"/>
                <w:szCs w:val="24"/>
                <w:lang w:val="en-US"/>
              </w:rPr>
            </w:pPr>
            <w:r>
              <w:rPr>
                <w:rFonts w:hint="eastAsia"/>
                <w:sz w:val="24"/>
                <w:lang w:val="en-US" w:eastAsia="zh-CN"/>
              </w:rPr>
              <w:t>19.0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72" w:type="dxa"/>
            <w:noWrap w:val="0"/>
            <w:tcMar>
              <w:top w:w="16" w:type="dxa"/>
              <w:left w:w="16" w:type="dxa"/>
              <w:right w:w="16" w:type="dxa"/>
            </w:tcMar>
            <w:vAlign w:val="center"/>
          </w:tcPr>
          <w:p>
            <w:pPr>
              <w:adjustRightInd w:val="0"/>
              <w:snapToGrid w:val="0"/>
              <w:jc w:val="center"/>
              <w:rPr>
                <w:rFonts w:ascii="宋体" w:hAnsi="宋体" w:eastAsia="宋体" w:cs="宋体"/>
                <w:color w:val="000000"/>
                <w:sz w:val="24"/>
              </w:rPr>
            </w:pPr>
            <w:r>
              <w:rPr>
                <w:rFonts w:hint="eastAsia" w:ascii="宋体" w:hAnsi="宋体" w:eastAsia="宋体" w:cs="宋体"/>
                <w:color w:val="000000"/>
                <w:sz w:val="24"/>
              </w:rPr>
              <w:t>环保投资占比（</w:t>
            </w:r>
            <w:r>
              <w:rPr>
                <w:rFonts w:ascii="宋体" w:hAnsi="宋体" w:eastAsia="宋体" w:cs="宋体"/>
                <w:color w:val="000000"/>
                <w:sz w:val="24"/>
              </w:rPr>
              <w:t>%</w:t>
            </w:r>
            <w:r>
              <w:rPr>
                <w:rFonts w:hint="eastAsia" w:ascii="宋体" w:hAnsi="宋体" w:eastAsia="宋体" w:cs="宋体"/>
                <w:color w:val="000000"/>
                <w:sz w:val="24"/>
              </w:rPr>
              <w:t>）</w:t>
            </w:r>
          </w:p>
        </w:tc>
        <w:tc>
          <w:tcPr>
            <w:tcW w:w="3357" w:type="dxa"/>
            <w:noWrap w:val="0"/>
            <w:vAlign w:val="center"/>
          </w:tcPr>
          <w:p>
            <w:pPr>
              <w:adjustRightInd w:val="0"/>
              <w:snapToGrid w:val="0"/>
              <w:jc w:val="center"/>
              <w:rPr>
                <w:rFonts w:ascii="Times New Roman" w:hAnsi="Times New Roman" w:eastAsia="宋体"/>
                <w:color w:val="000000"/>
                <w:sz w:val="24"/>
                <w:szCs w:val="24"/>
              </w:rPr>
            </w:pPr>
            <w:r>
              <w:rPr>
                <w:rFonts w:hint="eastAsia"/>
                <w:sz w:val="24"/>
                <w:lang w:val="en-US" w:eastAsia="zh-CN"/>
              </w:rPr>
              <w:t>6.3</w:t>
            </w:r>
            <w:r>
              <w:rPr>
                <w:rFonts w:hint="eastAsia"/>
                <w:sz w:val="24"/>
              </w:rPr>
              <w:t>%</w:t>
            </w:r>
          </w:p>
        </w:tc>
        <w:tc>
          <w:tcPr>
            <w:tcW w:w="2212" w:type="dxa"/>
            <w:gridSpan w:val="2"/>
            <w:noWrap w:val="0"/>
            <w:tcMar>
              <w:top w:w="16" w:type="dxa"/>
              <w:left w:w="16" w:type="dxa"/>
              <w:right w:w="16" w:type="dxa"/>
            </w:tcMar>
            <w:vAlign w:val="center"/>
          </w:tcPr>
          <w:p>
            <w:pPr>
              <w:adjustRightInd w:val="0"/>
              <w:snapToGrid w:val="0"/>
              <w:jc w:val="center"/>
              <w:rPr>
                <w:rFonts w:ascii="Times New Roman" w:hAnsi="Times New Roman" w:eastAsia="宋体"/>
                <w:color w:val="000000"/>
                <w:sz w:val="24"/>
              </w:rPr>
            </w:pPr>
            <w:r>
              <w:rPr>
                <w:rFonts w:ascii="Times New Roman" w:hAnsi="Times New Roman" w:eastAsia="宋体"/>
                <w:color w:val="000000"/>
                <w:sz w:val="24"/>
              </w:rPr>
              <w:t>施工工期</w:t>
            </w:r>
          </w:p>
        </w:tc>
        <w:tc>
          <w:tcPr>
            <w:tcW w:w="2936" w:type="dxa"/>
            <w:gridSpan w:val="2"/>
            <w:noWrap w:val="0"/>
            <w:vAlign w:val="center"/>
          </w:tcPr>
          <w:p>
            <w:pPr>
              <w:adjustRightInd w:val="0"/>
              <w:snapToGrid w:val="0"/>
              <w:jc w:val="center"/>
              <w:rPr>
                <w:rFonts w:ascii="Times New Roman" w:hAnsi="Times New Roman" w:eastAsia="宋体"/>
                <w:color w:val="000000"/>
                <w:sz w:val="24"/>
              </w:rPr>
            </w:pPr>
            <w:r>
              <w:rPr>
                <w:rFonts w:ascii="Times New Roman" w:hAnsi="Times New Roman" w:eastAsia="宋体"/>
                <w:color w:val="000000"/>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72" w:type="dxa"/>
            <w:noWrap w:val="0"/>
            <w:tcMar>
              <w:top w:w="16" w:type="dxa"/>
              <w:left w:w="16" w:type="dxa"/>
              <w:right w:w="16" w:type="dxa"/>
            </w:tcMar>
            <w:vAlign w:val="center"/>
          </w:tcPr>
          <w:p>
            <w:pPr>
              <w:adjustRightInd w:val="0"/>
              <w:snapToGrid w:val="0"/>
              <w:jc w:val="center"/>
              <w:rPr>
                <w:rFonts w:hint="eastAsia" w:ascii="宋体" w:hAnsi="宋体" w:eastAsia="宋体" w:cs="宋体"/>
                <w:color w:val="000000"/>
                <w:sz w:val="24"/>
              </w:rPr>
            </w:pPr>
            <w:r>
              <w:rPr>
                <w:rFonts w:hint="eastAsia" w:ascii="宋体" w:hAnsi="宋体" w:eastAsia="宋体" w:cs="宋体"/>
                <w:color w:val="000000"/>
                <w:sz w:val="24"/>
              </w:rPr>
              <w:t>是否开工建设</w:t>
            </w:r>
          </w:p>
        </w:tc>
        <w:tc>
          <w:tcPr>
            <w:tcW w:w="5163" w:type="dxa"/>
            <w:gridSpan w:val="2"/>
            <w:noWrap w:val="0"/>
            <w:vAlign w:val="center"/>
          </w:tcPr>
          <w:p>
            <w:pPr>
              <w:adjustRightInd w:val="0"/>
              <w:snapToGrid w:val="0"/>
              <w:rPr>
                <w:rFonts w:ascii="Times New Roman" w:hAnsi="Times New Roman" w:eastAsia="宋体"/>
                <w:color w:val="000000"/>
                <w:sz w:val="24"/>
              </w:rPr>
            </w:pPr>
            <w:r>
              <w:rPr>
                <w:rFonts w:ascii="Times New Roman" w:hAnsi="Times New Roman" w:eastAsia="宋体"/>
                <w:color w:val="000000"/>
                <w:sz w:val="24"/>
              </w:rPr>
              <w:sym w:font="Wingdings 2" w:char="0052"/>
            </w:r>
            <w:r>
              <w:rPr>
                <w:rFonts w:ascii="Times New Roman" w:hAnsi="Times New Roman" w:eastAsia="宋体"/>
                <w:color w:val="000000"/>
                <w:sz w:val="24"/>
              </w:rPr>
              <w:t>否</w:t>
            </w:r>
          </w:p>
          <w:p>
            <w:pPr>
              <w:adjustRightInd w:val="0"/>
              <w:snapToGrid w:val="0"/>
              <w:rPr>
                <w:rFonts w:ascii="Times New Roman" w:hAnsi="Times New Roman" w:eastAsia="宋体"/>
                <w:color w:val="000000"/>
                <w:sz w:val="24"/>
                <w:u w:val="single"/>
              </w:rPr>
            </w:pPr>
            <w:r>
              <w:rPr>
                <w:rFonts w:ascii="Times New Roman" w:hAnsi="Times New Roman" w:eastAsia="宋体"/>
                <w:color w:val="000000"/>
                <w:sz w:val="24"/>
              </w:rPr>
              <w:sym w:font="Wingdings 2" w:char="00A3"/>
            </w:r>
            <w:r>
              <w:rPr>
                <w:rFonts w:ascii="Times New Roman" w:hAnsi="Times New Roman" w:eastAsia="宋体"/>
                <w:color w:val="000000"/>
                <w:sz w:val="24"/>
              </w:rPr>
              <w:t>是：</w:t>
            </w:r>
          </w:p>
        </w:tc>
        <w:tc>
          <w:tcPr>
            <w:tcW w:w="1757" w:type="dxa"/>
            <w:gridSpan w:val="2"/>
            <w:noWrap w:val="0"/>
            <w:tcMar>
              <w:top w:w="16" w:type="dxa"/>
              <w:left w:w="16" w:type="dxa"/>
              <w:right w:w="16" w:type="dxa"/>
            </w:tcMar>
            <w:vAlign w:val="center"/>
          </w:tcPr>
          <w:p>
            <w:pPr>
              <w:adjustRightInd w:val="0"/>
              <w:snapToGrid w:val="0"/>
              <w:jc w:val="center"/>
              <w:rPr>
                <w:rFonts w:ascii="Times New Roman" w:hAnsi="Times New Roman" w:eastAsia="宋体"/>
                <w:color w:val="000000"/>
                <w:spacing w:val="-6"/>
                <w:sz w:val="24"/>
              </w:rPr>
            </w:pPr>
            <w:r>
              <w:rPr>
                <w:rFonts w:ascii="Times New Roman" w:hAnsi="Times New Roman" w:eastAsia="宋体"/>
                <w:color w:val="000000"/>
                <w:spacing w:val="-6"/>
                <w:sz w:val="24"/>
              </w:rPr>
              <w:t>用地（用海）</w:t>
            </w:r>
          </w:p>
          <w:p>
            <w:pPr>
              <w:adjustRightInd w:val="0"/>
              <w:snapToGrid w:val="0"/>
              <w:jc w:val="center"/>
              <w:rPr>
                <w:rFonts w:ascii="Times New Roman" w:hAnsi="Times New Roman" w:eastAsia="宋体"/>
                <w:color w:val="000000"/>
                <w:sz w:val="24"/>
              </w:rPr>
            </w:pPr>
            <w:r>
              <w:rPr>
                <w:rFonts w:ascii="Times New Roman" w:hAnsi="Times New Roman" w:eastAsia="宋体"/>
                <w:color w:val="000000"/>
                <w:spacing w:val="-6"/>
                <w:sz w:val="24"/>
              </w:rPr>
              <w:t>面积（m</w:t>
            </w:r>
            <w:r>
              <w:rPr>
                <w:rFonts w:ascii="Times New Roman" w:hAnsi="Times New Roman" w:eastAsia="宋体"/>
                <w:color w:val="000000"/>
                <w:spacing w:val="-6"/>
                <w:sz w:val="24"/>
                <w:vertAlign w:val="superscript"/>
              </w:rPr>
              <w:t>2</w:t>
            </w:r>
            <w:r>
              <w:rPr>
                <w:rFonts w:ascii="Times New Roman" w:hAnsi="Times New Roman" w:eastAsia="宋体"/>
                <w:color w:val="000000"/>
                <w:spacing w:val="-6"/>
                <w:sz w:val="24"/>
              </w:rPr>
              <w:t>）</w:t>
            </w:r>
          </w:p>
        </w:tc>
        <w:tc>
          <w:tcPr>
            <w:tcW w:w="1585" w:type="dxa"/>
            <w:noWrap w:val="0"/>
            <w:vAlign w:val="center"/>
          </w:tcPr>
          <w:p>
            <w:pPr>
              <w:pStyle w:val="184"/>
              <w:rPr>
                <w:rFonts w:hint="default" w:ascii="Times New Roman" w:hAnsi="Times New Roman" w:eastAsia="宋体"/>
                <w:color w:val="000000"/>
                <w:sz w:val="24"/>
                <w:szCs w:val="24"/>
                <w:lang w:val="en-US" w:eastAsia="zh-CN"/>
              </w:rPr>
            </w:pPr>
            <w:r>
              <w:rPr>
                <w:rFonts w:hint="eastAsia" w:ascii="Times New Roman" w:hAnsi="Times New Roman" w:eastAsia="宋体"/>
                <w:color w:val="000000"/>
                <w:sz w:val="24"/>
                <w:szCs w:val="24"/>
                <w:lang w:val="en-US" w:eastAsia="zh-CN"/>
              </w:rPr>
              <w:t>3576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072" w:type="dxa"/>
            <w:noWrap w:val="0"/>
            <w:vAlign w:val="center"/>
          </w:tcPr>
          <w:p>
            <w:pPr>
              <w:autoSpaceDE w:val="0"/>
              <w:autoSpaceDN w:val="0"/>
              <w:adjustRightInd w:val="0"/>
              <w:snapToGrid w:val="0"/>
              <w:jc w:val="center"/>
              <w:rPr>
                <w:rFonts w:ascii="宋体" w:hAnsi="宋体" w:eastAsia="宋体" w:cs="宋体"/>
                <w:color w:val="000000"/>
                <w:kern w:val="0"/>
                <w:szCs w:val="21"/>
              </w:rPr>
            </w:pPr>
            <w:r>
              <w:rPr>
                <w:rFonts w:hint="eastAsia" w:ascii="宋体" w:hAnsi="宋体" w:eastAsia="宋体" w:cs="宋体"/>
                <w:color w:val="000000"/>
                <w:kern w:val="0"/>
                <w:szCs w:val="21"/>
              </w:rPr>
              <w:t>专项评价设置情况</w:t>
            </w:r>
          </w:p>
        </w:tc>
        <w:tc>
          <w:tcPr>
            <w:tcW w:w="8505" w:type="dxa"/>
            <w:gridSpan w:val="5"/>
            <w:noWrap w:val="0"/>
            <w:vAlign w:val="center"/>
          </w:tcPr>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1"/>
              <w:gridCol w:w="4958"/>
              <w:gridCol w:w="14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1" w:type="dxa"/>
                  <w:noWrap w:val="0"/>
                  <w:vAlign w:val="center"/>
                </w:tcPr>
                <w:p>
                  <w:pPr>
                    <w:pStyle w:val="184"/>
                    <w:jc w:val="center"/>
                    <w:rPr>
                      <w:rFonts w:hint="eastAsia" w:ascii="宋体" w:hAnsi="宋体" w:eastAsia="宋体"/>
                      <w:color w:val="000000"/>
                    </w:rPr>
                  </w:pPr>
                  <w:r>
                    <w:rPr>
                      <w:rFonts w:hint="eastAsia" w:ascii="宋体" w:hAnsi="宋体" w:eastAsia="宋体"/>
                      <w:color w:val="000000"/>
                    </w:rPr>
                    <w:t>专项评价类别</w:t>
                  </w:r>
                </w:p>
              </w:tc>
              <w:tc>
                <w:tcPr>
                  <w:tcW w:w="4958" w:type="dxa"/>
                  <w:noWrap w:val="0"/>
                  <w:vAlign w:val="center"/>
                </w:tcPr>
                <w:p>
                  <w:pPr>
                    <w:pStyle w:val="184"/>
                    <w:jc w:val="center"/>
                    <w:rPr>
                      <w:rFonts w:hint="eastAsia" w:ascii="宋体" w:hAnsi="宋体" w:eastAsia="宋体"/>
                      <w:color w:val="000000"/>
                    </w:rPr>
                  </w:pPr>
                  <w:r>
                    <w:rPr>
                      <w:rFonts w:hint="eastAsia" w:ascii="宋体" w:hAnsi="宋体" w:eastAsia="宋体"/>
                      <w:color w:val="000000"/>
                    </w:rPr>
                    <w:t>设置原则</w:t>
                  </w:r>
                </w:p>
              </w:tc>
              <w:tc>
                <w:tcPr>
                  <w:tcW w:w="1416" w:type="dxa"/>
                  <w:noWrap w:val="0"/>
                  <w:vAlign w:val="center"/>
                </w:tcPr>
                <w:p>
                  <w:pPr>
                    <w:pStyle w:val="184"/>
                    <w:jc w:val="center"/>
                    <w:rPr>
                      <w:rFonts w:hint="eastAsia" w:ascii="宋体" w:hAnsi="宋体" w:eastAsia="宋体"/>
                      <w:color w:val="000000"/>
                    </w:rPr>
                  </w:pPr>
                  <w:r>
                    <w:rPr>
                      <w:rFonts w:hint="eastAsia" w:ascii="宋体" w:hAnsi="宋体" w:eastAsia="宋体"/>
                      <w:color w:val="000000"/>
                    </w:rPr>
                    <w:t>本项目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1" w:type="dxa"/>
                  <w:noWrap w:val="0"/>
                  <w:vAlign w:val="center"/>
                </w:tcPr>
                <w:p>
                  <w:pPr>
                    <w:pStyle w:val="184"/>
                    <w:jc w:val="center"/>
                    <w:rPr>
                      <w:rFonts w:hint="eastAsia" w:ascii="宋体" w:hAnsi="宋体" w:eastAsia="宋体"/>
                      <w:color w:val="000000"/>
                    </w:rPr>
                  </w:pPr>
                  <w:r>
                    <w:rPr>
                      <w:rFonts w:hint="eastAsia" w:ascii="宋体" w:hAnsi="宋体" w:eastAsia="宋体"/>
                      <w:color w:val="000000"/>
                    </w:rPr>
                    <w:t>大气</w:t>
                  </w:r>
                </w:p>
              </w:tc>
              <w:tc>
                <w:tcPr>
                  <w:tcW w:w="4958" w:type="dxa"/>
                  <w:noWrap w:val="0"/>
                  <w:vAlign w:val="center"/>
                </w:tcPr>
                <w:p>
                  <w:pPr>
                    <w:pStyle w:val="184"/>
                    <w:jc w:val="both"/>
                    <w:rPr>
                      <w:rFonts w:ascii="Times New Roman" w:hAnsi="Times New Roman" w:eastAsia="宋体"/>
                      <w:color w:val="000000"/>
                    </w:rPr>
                  </w:pPr>
                  <w:r>
                    <w:rPr>
                      <w:rFonts w:ascii="Times New Roman" w:hAnsi="Times New Roman" w:eastAsia="宋体"/>
                      <w:color w:val="000000"/>
                    </w:rPr>
                    <w:t>排放废气含有毒有害污染物</w:t>
                  </w:r>
                  <w:r>
                    <w:rPr>
                      <w:rFonts w:ascii="Times New Roman" w:hAnsi="Times New Roman" w:eastAsia="宋体"/>
                      <w:color w:val="000000"/>
                      <w:vertAlign w:val="superscript"/>
                    </w:rPr>
                    <w:t>1</w:t>
                  </w:r>
                  <w:r>
                    <w:rPr>
                      <w:rFonts w:ascii="Times New Roman" w:hAnsi="Times New Roman" w:eastAsia="宋体"/>
                      <w:color w:val="000000"/>
                    </w:rPr>
                    <w:t>、二噁英、苯并[a]芘、氰化物、氯气且场界外500米范围内有环境空气保护目标</w:t>
                  </w:r>
                  <w:r>
                    <w:rPr>
                      <w:rFonts w:ascii="Times New Roman" w:hAnsi="Times New Roman" w:eastAsia="宋体"/>
                      <w:color w:val="000000"/>
                      <w:vertAlign w:val="superscript"/>
                    </w:rPr>
                    <w:t>2</w:t>
                  </w:r>
                  <w:r>
                    <w:rPr>
                      <w:rFonts w:ascii="Times New Roman" w:hAnsi="Times New Roman" w:eastAsia="宋体"/>
                      <w:color w:val="000000"/>
                    </w:rPr>
                    <w:t>的建设项目</w:t>
                  </w:r>
                </w:p>
              </w:tc>
              <w:tc>
                <w:tcPr>
                  <w:tcW w:w="1416" w:type="dxa"/>
                  <w:noWrap w:val="0"/>
                  <w:vAlign w:val="center"/>
                </w:tcPr>
                <w:p>
                  <w:pPr>
                    <w:pStyle w:val="184"/>
                    <w:jc w:val="center"/>
                    <w:rPr>
                      <w:rFonts w:hint="eastAsia" w:ascii="宋体" w:hAnsi="宋体" w:eastAsia="宋体"/>
                      <w:color w:val="000000"/>
                    </w:rPr>
                  </w:pPr>
                  <w:r>
                    <w:rPr>
                      <w:rFonts w:hint="eastAsia" w:ascii="宋体" w:hAnsi="宋体" w:eastAsia="宋体"/>
                      <w:color w:val="000000"/>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1" w:type="dxa"/>
                  <w:noWrap w:val="0"/>
                  <w:vAlign w:val="center"/>
                </w:tcPr>
                <w:p>
                  <w:pPr>
                    <w:pStyle w:val="184"/>
                    <w:jc w:val="center"/>
                    <w:rPr>
                      <w:rFonts w:hint="eastAsia" w:ascii="宋体" w:hAnsi="宋体" w:eastAsia="宋体"/>
                      <w:color w:val="000000"/>
                    </w:rPr>
                  </w:pPr>
                  <w:r>
                    <w:rPr>
                      <w:rFonts w:hint="eastAsia" w:ascii="宋体" w:hAnsi="宋体" w:eastAsia="宋体"/>
                      <w:color w:val="000000"/>
                    </w:rPr>
                    <w:t>地表水</w:t>
                  </w:r>
                </w:p>
              </w:tc>
              <w:tc>
                <w:tcPr>
                  <w:tcW w:w="4958" w:type="dxa"/>
                  <w:noWrap w:val="0"/>
                  <w:vAlign w:val="center"/>
                </w:tcPr>
                <w:p>
                  <w:pPr>
                    <w:pStyle w:val="184"/>
                    <w:jc w:val="both"/>
                    <w:rPr>
                      <w:rFonts w:ascii="Times New Roman" w:hAnsi="Times New Roman" w:eastAsia="宋体"/>
                      <w:color w:val="000000"/>
                    </w:rPr>
                  </w:pPr>
                  <w:r>
                    <w:rPr>
                      <w:rFonts w:ascii="Times New Roman" w:hAnsi="Times New Roman" w:eastAsia="宋体"/>
                      <w:color w:val="000000"/>
                    </w:rPr>
                    <w:t>新增工业废水直排建设项目（槽罐车外送污水处理厂的除外）；新增废水直排的污水集中处理厂</w:t>
                  </w:r>
                </w:p>
              </w:tc>
              <w:tc>
                <w:tcPr>
                  <w:tcW w:w="1416" w:type="dxa"/>
                  <w:noWrap w:val="0"/>
                  <w:vAlign w:val="center"/>
                </w:tcPr>
                <w:p>
                  <w:pPr>
                    <w:pStyle w:val="184"/>
                    <w:jc w:val="center"/>
                    <w:rPr>
                      <w:rFonts w:hint="eastAsia" w:ascii="宋体" w:hAnsi="宋体" w:eastAsia="宋体"/>
                      <w:color w:val="000000"/>
                    </w:rPr>
                  </w:pPr>
                  <w:r>
                    <w:rPr>
                      <w:rFonts w:hint="eastAsia" w:ascii="宋体" w:hAnsi="宋体" w:eastAsia="宋体"/>
                      <w:color w:val="000000"/>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1" w:type="dxa"/>
                  <w:noWrap w:val="0"/>
                  <w:vAlign w:val="center"/>
                </w:tcPr>
                <w:p>
                  <w:pPr>
                    <w:pStyle w:val="184"/>
                    <w:jc w:val="center"/>
                    <w:rPr>
                      <w:rFonts w:hint="eastAsia" w:ascii="宋体" w:hAnsi="宋体" w:eastAsia="宋体"/>
                      <w:color w:val="000000"/>
                    </w:rPr>
                  </w:pPr>
                  <w:r>
                    <w:rPr>
                      <w:rFonts w:hint="eastAsia" w:ascii="宋体" w:hAnsi="宋体" w:eastAsia="宋体"/>
                      <w:color w:val="000000"/>
                    </w:rPr>
                    <w:t>环境风险</w:t>
                  </w:r>
                </w:p>
              </w:tc>
              <w:tc>
                <w:tcPr>
                  <w:tcW w:w="4958" w:type="dxa"/>
                  <w:noWrap w:val="0"/>
                  <w:vAlign w:val="center"/>
                </w:tcPr>
                <w:p>
                  <w:pPr>
                    <w:pStyle w:val="184"/>
                    <w:jc w:val="both"/>
                    <w:rPr>
                      <w:rFonts w:ascii="Times New Roman" w:hAnsi="Times New Roman" w:eastAsia="宋体"/>
                      <w:color w:val="000000"/>
                    </w:rPr>
                  </w:pPr>
                  <w:r>
                    <w:rPr>
                      <w:rFonts w:ascii="Times New Roman" w:hAnsi="Times New Roman" w:eastAsia="宋体"/>
                      <w:color w:val="000000"/>
                    </w:rPr>
                    <w:t>有毒有害和易燃易爆危险物质存储量超过临界量</w:t>
                  </w:r>
                  <w:r>
                    <w:rPr>
                      <w:rFonts w:ascii="Times New Roman" w:hAnsi="Times New Roman" w:eastAsia="宋体"/>
                      <w:color w:val="000000"/>
                      <w:vertAlign w:val="superscript"/>
                    </w:rPr>
                    <w:t>3</w:t>
                  </w:r>
                  <w:r>
                    <w:rPr>
                      <w:rFonts w:ascii="Times New Roman" w:hAnsi="Times New Roman" w:eastAsia="宋体"/>
                      <w:color w:val="000000"/>
                    </w:rPr>
                    <w:t>的建设项目</w:t>
                  </w:r>
                </w:p>
              </w:tc>
              <w:tc>
                <w:tcPr>
                  <w:tcW w:w="1416" w:type="dxa"/>
                  <w:noWrap w:val="0"/>
                  <w:vAlign w:val="center"/>
                </w:tcPr>
                <w:p>
                  <w:pPr>
                    <w:pStyle w:val="184"/>
                    <w:jc w:val="center"/>
                    <w:rPr>
                      <w:rFonts w:hint="eastAsia" w:ascii="宋体" w:hAnsi="宋体" w:eastAsia="宋体"/>
                      <w:color w:val="000000"/>
                    </w:rPr>
                  </w:pPr>
                  <w:r>
                    <w:rPr>
                      <w:rFonts w:hint="eastAsia" w:ascii="宋体" w:hAnsi="宋体" w:eastAsia="宋体"/>
                      <w:color w:val="000000"/>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1" w:type="dxa"/>
                  <w:noWrap w:val="0"/>
                  <w:vAlign w:val="center"/>
                </w:tcPr>
                <w:p>
                  <w:pPr>
                    <w:pStyle w:val="184"/>
                    <w:jc w:val="center"/>
                    <w:rPr>
                      <w:rFonts w:hint="eastAsia" w:ascii="宋体" w:hAnsi="宋体" w:eastAsia="宋体"/>
                      <w:color w:val="000000"/>
                    </w:rPr>
                  </w:pPr>
                  <w:r>
                    <w:rPr>
                      <w:rFonts w:hint="eastAsia" w:ascii="宋体" w:hAnsi="宋体" w:eastAsia="宋体"/>
                      <w:color w:val="000000"/>
                    </w:rPr>
                    <w:t>生态</w:t>
                  </w:r>
                </w:p>
              </w:tc>
              <w:tc>
                <w:tcPr>
                  <w:tcW w:w="4958" w:type="dxa"/>
                  <w:noWrap w:val="0"/>
                  <w:vAlign w:val="center"/>
                </w:tcPr>
                <w:p>
                  <w:pPr>
                    <w:pStyle w:val="184"/>
                    <w:jc w:val="both"/>
                    <w:rPr>
                      <w:rFonts w:ascii="Times New Roman" w:hAnsi="Times New Roman" w:eastAsia="宋体"/>
                      <w:color w:val="000000"/>
                    </w:rPr>
                  </w:pPr>
                  <w:r>
                    <w:rPr>
                      <w:rFonts w:ascii="Times New Roman" w:hAnsi="Times New Roman" w:eastAsia="宋体"/>
                      <w:color w:val="000000"/>
                    </w:rPr>
                    <w:t>取水口下游500米范围内有重要水生生物的自然产卵场、索饵场、越冬场和洄游通道的新增河道取水的污染类建设项目</w:t>
                  </w:r>
                </w:p>
              </w:tc>
              <w:tc>
                <w:tcPr>
                  <w:tcW w:w="1416" w:type="dxa"/>
                  <w:noWrap w:val="0"/>
                  <w:vAlign w:val="center"/>
                </w:tcPr>
                <w:p>
                  <w:pPr>
                    <w:pStyle w:val="184"/>
                    <w:jc w:val="center"/>
                    <w:rPr>
                      <w:rFonts w:hint="eastAsia" w:ascii="宋体" w:hAnsi="宋体" w:eastAsia="宋体"/>
                      <w:color w:val="000000"/>
                    </w:rPr>
                  </w:pPr>
                  <w:r>
                    <w:rPr>
                      <w:rFonts w:hint="eastAsia" w:ascii="宋体" w:hAnsi="宋体" w:eastAsia="宋体"/>
                      <w:color w:val="000000"/>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1" w:type="dxa"/>
                  <w:noWrap w:val="0"/>
                  <w:vAlign w:val="center"/>
                </w:tcPr>
                <w:p>
                  <w:pPr>
                    <w:pStyle w:val="184"/>
                    <w:jc w:val="center"/>
                    <w:rPr>
                      <w:rFonts w:hint="eastAsia" w:ascii="宋体" w:hAnsi="宋体" w:eastAsia="宋体"/>
                      <w:color w:val="000000"/>
                    </w:rPr>
                  </w:pPr>
                  <w:r>
                    <w:rPr>
                      <w:rFonts w:hint="eastAsia" w:ascii="宋体" w:hAnsi="宋体" w:eastAsia="宋体"/>
                      <w:color w:val="000000"/>
                    </w:rPr>
                    <w:t>海洋</w:t>
                  </w:r>
                </w:p>
              </w:tc>
              <w:tc>
                <w:tcPr>
                  <w:tcW w:w="4958" w:type="dxa"/>
                  <w:noWrap w:val="0"/>
                  <w:vAlign w:val="center"/>
                </w:tcPr>
                <w:p>
                  <w:pPr>
                    <w:pStyle w:val="184"/>
                    <w:jc w:val="both"/>
                    <w:rPr>
                      <w:rFonts w:ascii="Times New Roman" w:hAnsi="Times New Roman" w:eastAsia="宋体"/>
                      <w:color w:val="000000"/>
                    </w:rPr>
                  </w:pPr>
                  <w:r>
                    <w:rPr>
                      <w:rFonts w:ascii="Times New Roman" w:hAnsi="Times New Roman" w:eastAsia="宋体"/>
                      <w:color w:val="000000"/>
                    </w:rPr>
                    <w:t>直接向海排放污染物的海洋工程建设项目</w:t>
                  </w:r>
                </w:p>
              </w:tc>
              <w:tc>
                <w:tcPr>
                  <w:tcW w:w="1416" w:type="dxa"/>
                  <w:noWrap w:val="0"/>
                  <w:vAlign w:val="center"/>
                </w:tcPr>
                <w:p>
                  <w:pPr>
                    <w:pStyle w:val="184"/>
                    <w:jc w:val="center"/>
                    <w:rPr>
                      <w:rFonts w:hint="eastAsia" w:ascii="宋体" w:hAnsi="宋体" w:eastAsia="宋体"/>
                      <w:color w:val="000000"/>
                    </w:rPr>
                  </w:pPr>
                  <w:r>
                    <w:rPr>
                      <w:rFonts w:hint="eastAsia" w:ascii="宋体" w:hAnsi="宋体" w:eastAsia="宋体"/>
                      <w:color w:val="000000"/>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65" w:type="dxa"/>
                  <w:gridSpan w:val="3"/>
                  <w:noWrap w:val="0"/>
                  <w:vAlign w:val="center"/>
                </w:tcPr>
                <w:p>
                  <w:pPr>
                    <w:pStyle w:val="184"/>
                    <w:jc w:val="both"/>
                    <w:rPr>
                      <w:rFonts w:ascii="Times New Roman" w:hAnsi="Times New Roman" w:eastAsia="宋体"/>
                      <w:color w:val="000000"/>
                    </w:rPr>
                  </w:pPr>
                  <w:r>
                    <w:rPr>
                      <w:rFonts w:ascii="Times New Roman" w:hAnsi="Times New Roman" w:eastAsia="宋体"/>
                      <w:color w:val="000000"/>
                    </w:rPr>
                    <w:t>注：1.废气中有毒有害污染物指纳入《有毒有害大气污染物名录》的污染物（不包括无排放标准的污染物）。</w:t>
                  </w:r>
                </w:p>
                <w:p>
                  <w:pPr>
                    <w:pStyle w:val="184"/>
                    <w:jc w:val="both"/>
                    <w:rPr>
                      <w:rFonts w:ascii="Times New Roman" w:hAnsi="Times New Roman" w:eastAsia="宋体"/>
                      <w:color w:val="000000"/>
                    </w:rPr>
                  </w:pPr>
                  <w:r>
                    <w:rPr>
                      <w:rFonts w:ascii="Times New Roman" w:hAnsi="Times New Roman" w:eastAsia="宋体"/>
                      <w:color w:val="000000"/>
                    </w:rPr>
                    <w:t>2.环境空气保护目标指自然保护区、风景名胜区、居住区、文化区和农村地区中人群较集中的区域。</w:t>
                  </w:r>
                </w:p>
                <w:p>
                  <w:pPr>
                    <w:pStyle w:val="184"/>
                    <w:jc w:val="both"/>
                    <w:rPr>
                      <w:rFonts w:ascii="Times New Roman" w:hAnsi="Times New Roman" w:eastAsia="宋体"/>
                      <w:color w:val="000000"/>
                    </w:rPr>
                  </w:pPr>
                  <w:r>
                    <w:rPr>
                      <w:rFonts w:ascii="Times New Roman" w:hAnsi="Times New Roman" w:eastAsia="宋体"/>
                      <w:color w:val="000000"/>
                    </w:rPr>
                    <w:t>3.临界量及其计算方法可参考《建设项目环境风险评价技术导则》（HJ169）附录B、附录C。</w:t>
                  </w:r>
                </w:p>
              </w:tc>
            </w:tr>
          </w:tbl>
          <w:p>
            <w:pPr>
              <w:pStyle w:val="185"/>
              <w:ind w:firstLine="480"/>
              <w:jc w:val="both"/>
              <w:rPr>
                <w:rFonts w:ascii="宋体" w:hAnsi="宋体" w:eastAsia="宋体"/>
                <w:color w:val="000000"/>
              </w:rPr>
            </w:pPr>
            <w:r>
              <w:rPr>
                <w:rFonts w:hint="eastAsia" w:ascii="Times New Roman" w:hAnsi="Times New Roman" w:eastAsia="宋体" w:cs="Times New Roman"/>
                <w:kern w:val="2"/>
                <w:sz w:val="24"/>
                <w:szCs w:val="24"/>
                <w:lang w:val="en-US" w:eastAsia="zh-CN" w:bidi="ar-SA"/>
              </w:rPr>
              <w:t>拟建项目位于乐山市市中区水口镇徐月村7组456号。项目运营期大气污染物不涉及有毒有害气体的排放，因此本项目不设置大气专项评价；本项目运营期产生的废水主要为食堂废水、生活污水、医疗废水（包含检验室废水）和洗涤废水，本项目产生的废水进入院内污水处理站处理达到《医疗机构水污染物排放标准》（GB18466-2005）表2中预处理标准后，排入市政污水管网，进入乐山市第三污水处理厂处理达标后排放，因此本项目不设置地表水专项评价。根据工程分析，本项目运营过程中有毒有害和易燃易爆危险物质的存储量未超过临界量，因此本项目不设置环境风险专项评价；本项目生产及生活用水来源于市政供水，不涉及河道取水，因此本项目不设置生态专项评价。综上，本项目不涉及专项评价的设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072" w:type="dxa"/>
            <w:noWrap w:val="0"/>
            <w:vAlign w:val="center"/>
          </w:tcPr>
          <w:p>
            <w:pPr>
              <w:autoSpaceDE w:val="0"/>
              <w:autoSpaceDN w:val="0"/>
              <w:adjustRightInd w:val="0"/>
              <w:snapToGrid w:val="0"/>
              <w:jc w:val="center"/>
              <w:rPr>
                <w:rFonts w:hint="eastAsia" w:ascii="宋体" w:hAnsi="宋体" w:eastAsia="宋体" w:cs="宋体"/>
                <w:color w:val="000000"/>
                <w:kern w:val="0"/>
                <w:szCs w:val="21"/>
              </w:rPr>
            </w:pPr>
            <w:r>
              <w:rPr>
                <w:rFonts w:hint="eastAsia" w:ascii="宋体" w:hAnsi="宋体" w:eastAsia="宋体" w:cs="宋体"/>
                <w:color w:val="000000"/>
                <w:szCs w:val="21"/>
              </w:rPr>
              <w:t>规划情况</w:t>
            </w:r>
          </w:p>
        </w:tc>
        <w:tc>
          <w:tcPr>
            <w:tcW w:w="8505" w:type="dxa"/>
            <w:gridSpan w:val="5"/>
            <w:noWrap w:val="0"/>
            <w:vAlign w:val="center"/>
          </w:tcPr>
          <w:p>
            <w:pPr>
              <w:pStyle w:val="184"/>
              <w:ind w:left="0" w:leftChars="0" w:right="0" w:rightChars="0" w:firstLine="0" w:firstLineChars="0"/>
              <w:jc w:val="center"/>
              <w:rPr>
                <w:rFonts w:ascii="宋体" w:hAnsi="宋体" w:eastAsia="宋体"/>
                <w:color w:val="000000"/>
              </w:rPr>
            </w:pPr>
            <w:r>
              <w:rPr>
                <w:rFonts w:hint="eastAsia" w:ascii="宋体" w:hAnsi="宋体" w:eastAsia="宋体"/>
                <w:color w:val="000000"/>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072" w:type="dxa"/>
            <w:noWrap w:val="0"/>
            <w:vAlign w:val="center"/>
          </w:tcPr>
          <w:p>
            <w:pPr>
              <w:adjustRightInd w:val="0"/>
              <w:snapToGrid w:val="0"/>
              <w:jc w:val="center"/>
              <w:rPr>
                <w:rFonts w:hint="eastAsia" w:ascii="宋体" w:hAnsi="宋体" w:eastAsia="宋体" w:cs="宋体"/>
                <w:color w:val="000000"/>
                <w:kern w:val="0"/>
                <w:szCs w:val="21"/>
              </w:rPr>
            </w:pPr>
            <w:r>
              <w:rPr>
                <w:rFonts w:hint="eastAsia" w:ascii="宋体" w:hAnsi="宋体" w:eastAsia="宋体" w:cs="宋体"/>
                <w:color w:val="000000"/>
                <w:szCs w:val="21"/>
              </w:rPr>
              <w:t>规划环境影响评价情况</w:t>
            </w:r>
          </w:p>
        </w:tc>
        <w:tc>
          <w:tcPr>
            <w:tcW w:w="8505" w:type="dxa"/>
            <w:gridSpan w:val="5"/>
            <w:noWrap w:val="0"/>
            <w:vAlign w:val="center"/>
          </w:tcPr>
          <w:p>
            <w:pPr>
              <w:pStyle w:val="184"/>
              <w:rPr>
                <w:rFonts w:ascii="宋体" w:hAnsi="宋体" w:eastAsia="宋体"/>
                <w:color w:val="000000"/>
              </w:rPr>
            </w:pPr>
            <w:r>
              <w:rPr>
                <w:rFonts w:hint="eastAsia" w:ascii="宋体" w:hAnsi="宋体" w:eastAsia="宋体"/>
                <w:color w:val="000000"/>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072" w:type="dxa"/>
            <w:noWrap w:val="0"/>
            <w:vAlign w:val="center"/>
          </w:tcPr>
          <w:p>
            <w:pPr>
              <w:autoSpaceDE w:val="0"/>
              <w:autoSpaceDN w:val="0"/>
              <w:adjustRightInd w:val="0"/>
              <w:snapToGrid w:val="0"/>
              <w:jc w:val="center"/>
              <w:rPr>
                <w:rFonts w:ascii="宋体" w:hAnsi="宋体" w:eastAsia="宋体" w:cs="宋体"/>
                <w:color w:val="000000"/>
                <w:kern w:val="0"/>
                <w:szCs w:val="21"/>
              </w:rPr>
            </w:pPr>
            <w:r>
              <w:rPr>
                <w:rFonts w:hint="eastAsia" w:ascii="宋体" w:hAnsi="宋体" w:eastAsia="宋体" w:cs="宋体"/>
                <w:color w:val="000000"/>
                <w:kern w:val="0"/>
                <w:szCs w:val="21"/>
              </w:rPr>
              <w:t>规划及规划环境影响评价符合性分析</w:t>
            </w:r>
          </w:p>
        </w:tc>
        <w:tc>
          <w:tcPr>
            <w:tcW w:w="8505" w:type="dxa"/>
            <w:gridSpan w:val="5"/>
            <w:noWrap w:val="0"/>
            <w:vAlign w:val="center"/>
          </w:tcPr>
          <w:p>
            <w:pPr>
              <w:pStyle w:val="184"/>
              <w:rPr>
                <w:rFonts w:ascii="宋体" w:hAnsi="宋体" w:eastAsia="宋体"/>
                <w:color w:val="000000"/>
              </w:rPr>
            </w:pPr>
            <w:r>
              <w:rPr>
                <w:rFonts w:hint="eastAsia" w:ascii="宋体" w:hAnsi="宋体" w:eastAsia="宋体"/>
                <w:color w:val="000000"/>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2" w:type="dxa"/>
            <w:noWrap w:val="0"/>
            <w:vAlign w:val="center"/>
          </w:tcPr>
          <w:p>
            <w:pPr>
              <w:autoSpaceDE w:val="0"/>
              <w:autoSpaceDN w:val="0"/>
              <w:adjustRightInd w:val="0"/>
              <w:snapToGrid w:val="0"/>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其他符合性分析</w:t>
            </w:r>
          </w:p>
        </w:tc>
        <w:tc>
          <w:tcPr>
            <w:tcW w:w="8505" w:type="dxa"/>
            <w:gridSpan w:val="5"/>
            <w:noWrap w:val="0"/>
            <w:vAlign w:val="center"/>
          </w:tcPr>
          <w:p>
            <w:pPr>
              <w:pStyle w:val="185"/>
              <w:ind w:firstLine="0" w:firstLineChars="0"/>
              <w:rPr>
                <w:rFonts w:ascii="Times New Roman" w:hAnsi="Times New Roman" w:eastAsia="宋体"/>
                <w:b/>
                <w:kern w:val="0"/>
                <w:sz w:val="28"/>
                <w:szCs w:val="28"/>
              </w:rPr>
            </w:pPr>
            <w:r>
              <w:rPr>
                <w:rFonts w:hint="eastAsia" w:ascii="Times New Roman" w:hAnsi="Times New Roman" w:eastAsia="宋体"/>
                <w:b/>
                <w:kern w:val="0"/>
                <w:sz w:val="28"/>
                <w:szCs w:val="28"/>
                <w:lang w:val="en-US" w:eastAsia="zh-CN"/>
              </w:rPr>
              <w:t>1、产业</w:t>
            </w:r>
            <w:r>
              <w:rPr>
                <w:rFonts w:ascii="Times New Roman" w:hAnsi="Times New Roman" w:eastAsia="宋体"/>
                <w:b/>
                <w:kern w:val="0"/>
                <w:sz w:val="28"/>
                <w:szCs w:val="28"/>
              </w:rPr>
              <w:t>政策符合性分析</w:t>
            </w:r>
          </w:p>
          <w:p>
            <w:pPr>
              <w:pStyle w:val="185"/>
              <w:numPr>
                <w:ilvl w:val="0"/>
                <w:numId w:val="0"/>
              </w:numPr>
              <w:ind w:firstLine="480" w:firstLineChars="200"/>
              <w:jc w:val="both"/>
              <w:rPr>
                <w:rFonts w:hint="eastAsia" w:ascii="Times New Roman" w:hAnsi="Times New Roman" w:eastAsia="宋体"/>
                <w:color w:val="000000"/>
              </w:rPr>
            </w:pPr>
            <w:r>
              <w:rPr>
                <w:rFonts w:hint="eastAsia" w:ascii="Times New Roman" w:hAnsi="Times New Roman" w:eastAsia="宋体"/>
                <w:color w:val="000000"/>
              </w:rPr>
              <w:t>乐山巴川精神病专科医院是以精神科为主，兼有预防、保健、康复和疗养性质的二级精神病专科医院，其经营性质为营利性医疗机构。根据《产业结构调整指导目录（2019 年本）》（中华人民共和国发展和改革委员会令第29号）：本项目属于鼓励类中第三十七条：“卫生健康”中第5款“医疗卫生服务设施建设”，符合现行国家产业政策。</w:t>
            </w:r>
          </w:p>
          <w:p>
            <w:pPr>
              <w:pStyle w:val="185"/>
              <w:numPr>
                <w:ilvl w:val="0"/>
                <w:numId w:val="0"/>
              </w:numPr>
              <w:ind w:firstLine="480" w:firstLineChars="200"/>
              <w:jc w:val="both"/>
              <w:rPr>
                <w:rFonts w:hint="eastAsia" w:ascii="Times New Roman" w:hAnsi="Times New Roman" w:eastAsia="宋体"/>
                <w:color w:val="000000"/>
              </w:rPr>
            </w:pPr>
            <w:r>
              <w:rPr>
                <w:rFonts w:hint="eastAsia" w:ascii="Times New Roman" w:hAnsi="Times New Roman" w:eastAsia="宋体"/>
                <w:color w:val="000000"/>
              </w:rPr>
              <w:t>本项目于2023年1月13日取得了乐山市中区发改局备案（备案号：川投资备案【2301-511102-04-01-574540】FGQB-0007号）；乐山市卫生健康委员会于2022年12月颁发新的《医疗机构执业许可证》（登记号：PDY81864751110217A5202）。</w:t>
            </w:r>
          </w:p>
          <w:p>
            <w:pPr>
              <w:pStyle w:val="185"/>
              <w:numPr>
                <w:ilvl w:val="0"/>
                <w:numId w:val="0"/>
              </w:numPr>
              <w:ind w:firstLine="480" w:firstLineChars="200"/>
              <w:jc w:val="both"/>
              <w:rPr>
                <w:rFonts w:ascii="Times New Roman" w:hAnsi="Times New Roman" w:eastAsia="宋体"/>
                <w:b/>
                <w:kern w:val="0"/>
              </w:rPr>
            </w:pPr>
            <w:r>
              <w:rPr>
                <w:rFonts w:hint="eastAsia" w:ascii="Times New Roman" w:hAnsi="Times New Roman" w:eastAsia="宋体"/>
                <w:color w:val="000000"/>
              </w:rPr>
              <w:t>因此，该项目符合国家产业政策。</w:t>
            </w:r>
          </w:p>
          <w:p>
            <w:pPr>
              <w:pStyle w:val="185"/>
              <w:numPr>
                <w:ilvl w:val="0"/>
                <w:numId w:val="0"/>
              </w:numPr>
              <w:jc w:val="both"/>
              <w:rPr>
                <w:rFonts w:hint="eastAsia" w:ascii="Times New Roman" w:hAnsi="Times New Roman" w:eastAsia="宋体"/>
                <w:b/>
                <w:bCs/>
                <w:color w:val="000000"/>
                <w:lang w:eastAsia="zh-CN"/>
              </w:rPr>
            </w:pPr>
            <w:r>
              <w:rPr>
                <w:rFonts w:hint="eastAsia" w:ascii="Times New Roman" w:hAnsi="Times New Roman" w:eastAsia="宋体"/>
                <w:b/>
                <w:bCs/>
                <w:color w:val="000000"/>
                <w:lang w:val="en-US" w:eastAsia="zh-CN"/>
              </w:rPr>
              <w:t>2、</w:t>
            </w:r>
            <w:r>
              <w:rPr>
                <w:rFonts w:ascii="Times New Roman" w:hAnsi="Times New Roman" w:eastAsia="宋体"/>
                <w:b/>
                <w:bCs/>
                <w:color w:val="000000"/>
              </w:rPr>
              <w:t>规划符合性</w:t>
            </w:r>
            <w:r>
              <w:rPr>
                <w:rFonts w:hint="eastAsia" w:ascii="Times New Roman" w:hAnsi="Times New Roman" w:eastAsia="宋体"/>
                <w:b/>
                <w:bCs/>
                <w:color w:val="000000"/>
                <w:lang w:eastAsia="zh-CN"/>
              </w:rPr>
              <w:t>分析</w:t>
            </w:r>
          </w:p>
          <w:p>
            <w:pPr>
              <w:pStyle w:val="185"/>
              <w:ind w:firstLine="480"/>
              <w:rPr>
                <w:rFonts w:ascii="Times New Roman" w:hAnsi="Times New Roman" w:eastAsia="宋体"/>
                <w:color w:val="000000"/>
                <w:kern w:val="0"/>
              </w:rPr>
            </w:pPr>
            <w:r>
              <w:rPr>
                <w:rFonts w:hint="eastAsia" w:ascii="Times New Roman" w:hAnsi="Times New Roman" w:eastAsia="宋体"/>
                <w:color w:val="000000"/>
                <w:kern w:val="0"/>
              </w:rPr>
              <w:t>本项目位于乐山市市中区水口镇徐月村7组456号，占地面积3576m</w:t>
            </w:r>
            <w:r>
              <w:rPr>
                <w:rFonts w:hint="eastAsia" w:ascii="Times New Roman" w:hAnsi="Times New Roman" w:eastAsia="宋体"/>
                <w:color w:val="000000"/>
                <w:kern w:val="0"/>
                <w:vertAlign w:val="superscript"/>
              </w:rPr>
              <w:t>2</w:t>
            </w:r>
            <w:r>
              <w:rPr>
                <w:rFonts w:hint="eastAsia" w:ascii="Times New Roman" w:hAnsi="Times New Roman" w:eastAsia="宋体"/>
                <w:color w:val="000000"/>
                <w:kern w:val="0"/>
              </w:rPr>
              <w:t>，为床位扩建项目，在原门诊</w:t>
            </w:r>
            <w:r>
              <w:rPr>
                <w:rFonts w:hint="eastAsia" w:ascii="Times New Roman" w:hAnsi="Times New Roman" w:eastAsia="宋体"/>
                <w:color w:val="000000"/>
                <w:kern w:val="0"/>
                <w:lang w:eastAsia="zh-CN"/>
              </w:rPr>
              <w:t>楼（</w:t>
            </w:r>
            <w:r>
              <w:rPr>
                <w:rFonts w:hint="eastAsia" w:ascii="Times New Roman" w:hAnsi="Times New Roman" w:eastAsia="宋体"/>
                <w:color w:val="000000"/>
                <w:kern w:val="0"/>
                <w:lang w:val="en-US" w:eastAsia="zh-CN"/>
              </w:rPr>
              <w:t>1号楼</w:t>
            </w:r>
            <w:r>
              <w:rPr>
                <w:rFonts w:hint="eastAsia" w:ascii="Times New Roman" w:hAnsi="Times New Roman" w:eastAsia="宋体"/>
                <w:color w:val="000000"/>
                <w:kern w:val="0"/>
                <w:lang w:eastAsia="zh-CN"/>
              </w:rPr>
              <w:t>）和住院楼（</w:t>
            </w:r>
            <w:r>
              <w:rPr>
                <w:rFonts w:hint="eastAsia" w:ascii="Times New Roman" w:hAnsi="Times New Roman" w:eastAsia="宋体"/>
                <w:color w:val="000000"/>
                <w:kern w:val="0"/>
                <w:lang w:val="en-US" w:eastAsia="zh-CN"/>
              </w:rPr>
              <w:t>2号楼</w:t>
            </w:r>
            <w:r>
              <w:rPr>
                <w:rFonts w:hint="eastAsia" w:ascii="Times New Roman" w:hAnsi="Times New Roman" w:eastAsia="宋体"/>
                <w:color w:val="000000"/>
                <w:kern w:val="0"/>
                <w:lang w:eastAsia="zh-CN"/>
              </w:rPr>
              <w:t>）</w:t>
            </w:r>
            <w:r>
              <w:rPr>
                <w:rFonts w:hint="eastAsia" w:ascii="Times New Roman" w:hAnsi="Times New Roman" w:eastAsia="宋体"/>
                <w:color w:val="000000"/>
                <w:kern w:val="0"/>
              </w:rPr>
              <w:t>中扩建床位，不新增占地，项目所用地类型为商业住宅用地，符合乐山市土地利用总体规划要求。</w:t>
            </w:r>
          </w:p>
          <w:p>
            <w:pPr>
              <w:pStyle w:val="185"/>
              <w:ind w:left="0" w:leftChars="0" w:firstLine="0" w:firstLineChars="0"/>
              <w:rPr>
                <w:rFonts w:hint="eastAsia" w:ascii="Times New Roman" w:hAnsi="Times New Roman" w:eastAsia="宋体"/>
                <w:b/>
                <w:color w:val="000000"/>
                <w:kern w:val="0"/>
                <w:lang w:eastAsia="zh-CN"/>
              </w:rPr>
            </w:pPr>
            <w:r>
              <w:rPr>
                <w:rFonts w:hint="eastAsia" w:ascii="Times New Roman" w:hAnsi="Times New Roman" w:eastAsia="宋体"/>
                <w:b/>
                <w:bCs/>
                <w:kern w:val="0"/>
                <w:lang w:val="en-US" w:eastAsia="zh-CN"/>
              </w:rPr>
              <w:t>3、</w:t>
            </w:r>
            <w:r>
              <w:rPr>
                <w:rFonts w:ascii="Times New Roman" w:hAnsi="Times New Roman" w:eastAsia="宋体"/>
                <w:b/>
                <w:bCs/>
                <w:kern w:val="0"/>
              </w:rPr>
              <w:t>选址合理性</w:t>
            </w:r>
            <w:r>
              <w:rPr>
                <w:rFonts w:hint="eastAsia" w:ascii="Times New Roman" w:hAnsi="Times New Roman" w:eastAsia="宋体"/>
                <w:b/>
                <w:bCs/>
                <w:kern w:val="0"/>
                <w:lang w:eastAsia="zh-CN"/>
              </w:rPr>
              <w:t>分析</w:t>
            </w:r>
          </w:p>
          <w:p>
            <w:pPr>
              <w:pStyle w:val="185"/>
              <w:ind w:firstLine="480"/>
              <w:jc w:val="both"/>
              <w:rPr>
                <w:rFonts w:hint="eastAsia" w:ascii="Times New Roman" w:hAnsi="Times New Roman" w:eastAsia="宋体"/>
                <w:color w:val="000000"/>
                <w:kern w:val="0"/>
              </w:rPr>
            </w:pPr>
            <w:r>
              <w:rPr>
                <w:rFonts w:hint="eastAsia" w:ascii="Times New Roman" w:hAnsi="Times New Roman" w:eastAsia="宋体"/>
                <w:color w:val="000000"/>
                <w:kern w:val="0"/>
              </w:rPr>
              <w:t>本项目位于乐山市市中区水口镇徐月村7组456号，根据现场踏勘，其外环境关系主要如下：</w:t>
            </w:r>
          </w:p>
          <w:p>
            <w:pPr>
              <w:pStyle w:val="185"/>
              <w:ind w:firstLine="480"/>
              <w:jc w:val="both"/>
              <w:rPr>
                <w:rFonts w:hint="eastAsia" w:ascii="Times New Roman" w:hAnsi="Times New Roman" w:eastAsia="宋体"/>
                <w:color w:val="000000"/>
                <w:kern w:val="0"/>
              </w:rPr>
            </w:pPr>
            <w:r>
              <w:rPr>
                <w:rFonts w:hint="eastAsia" w:ascii="Times New Roman" w:hAnsi="Times New Roman" w:eastAsia="宋体"/>
                <w:color w:val="000000"/>
                <w:kern w:val="0"/>
              </w:rPr>
              <w:t>厂区东、南面均临场镇道路，交通方便，项目南面隔场镇道路为徐月村居民聚集区，项目南面60m处为临江河，自西向东流入大渡河，最终汇入青衣江；项目西面紧邻徐月村村民聚集区；项目东面隔场镇道路为徐月村居民聚集区；项目北面为居民菜地和零散住户。</w:t>
            </w:r>
          </w:p>
          <w:p>
            <w:pPr>
              <w:spacing w:line="360" w:lineRule="auto"/>
              <w:ind w:firstLine="480" w:firstLineChars="200"/>
              <w:rPr>
                <w:sz w:val="24"/>
              </w:rPr>
            </w:pPr>
            <w:r>
              <w:rPr>
                <w:rFonts w:hint="eastAsia" w:ascii="宋体" w:hAnsi="宋体" w:cs="宋体"/>
                <w:bCs/>
                <w:sz w:val="24"/>
                <w:shd w:val="clear" w:color="auto" w:fill="FFFFFF"/>
              </w:rPr>
              <w:t>根据</w:t>
            </w:r>
            <w:r>
              <w:rPr>
                <w:rFonts w:hint="default" w:ascii="Times New Roman" w:hAnsi="Times New Roman" w:cs="Times New Roman"/>
                <w:bCs/>
                <w:sz w:val="24"/>
                <w:shd w:val="clear" w:color="auto" w:fill="FFFFFF"/>
              </w:rPr>
              <w:t>《精神专科医院建筑设计规范》（GB 51058-2014），精神专科医院</w:t>
            </w:r>
            <w:r>
              <w:rPr>
                <w:kern w:val="0"/>
                <w:sz w:val="24"/>
              </w:rPr>
              <w:t>选址</w:t>
            </w:r>
            <w:r>
              <w:rPr>
                <w:rFonts w:hint="default"/>
                <w:kern w:val="0"/>
                <w:sz w:val="24"/>
              </w:rPr>
              <w:t>应满足</w:t>
            </w:r>
            <w:r>
              <w:rPr>
                <w:kern w:val="0"/>
                <w:sz w:val="24"/>
              </w:rPr>
              <w:t>如下要求：</w:t>
            </w:r>
          </w:p>
          <w:p>
            <w:pPr>
              <w:jc w:val="center"/>
              <w:rPr>
                <w:rFonts w:hint="eastAsia" w:ascii="黑体" w:hAnsi="黑体" w:eastAsia="黑体" w:cs="黑体"/>
                <w:szCs w:val="21"/>
              </w:rPr>
            </w:pPr>
            <w:r>
              <w:rPr>
                <w:rFonts w:hint="default" w:ascii="Times New Roman" w:hAnsi="Times New Roman" w:eastAsia="黑体" w:cs="Times New Roman"/>
                <w:szCs w:val="21"/>
              </w:rPr>
              <w:t>表1-</w:t>
            </w:r>
            <w:r>
              <w:rPr>
                <w:rFonts w:hint="eastAsia" w:ascii="Times New Roman" w:hAnsi="Times New Roman" w:eastAsia="黑体" w:cs="Times New Roman"/>
                <w:szCs w:val="21"/>
                <w:lang w:val="en-US" w:eastAsia="zh-CN"/>
              </w:rPr>
              <w:t>1</w:t>
            </w:r>
            <w:r>
              <w:rPr>
                <w:rFonts w:hint="default" w:ascii="Times New Roman" w:hAnsi="Times New Roman" w:eastAsia="黑体" w:cs="Times New Roman"/>
                <w:szCs w:val="21"/>
              </w:rPr>
              <w:t xml:space="preserve">  项目选</w:t>
            </w:r>
            <w:r>
              <w:rPr>
                <w:rFonts w:hint="eastAsia" w:ascii="黑体" w:hAnsi="黑体" w:eastAsia="黑体" w:cs="黑体"/>
                <w:szCs w:val="21"/>
              </w:rPr>
              <w:t>址合理性分析</w:t>
            </w:r>
          </w:p>
          <w:tbl>
            <w:tblPr>
              <w:tblStyle w:val="41"/>
              <w:tblW w:w="8258" w:type="dxa"/>
              <w:jc w:val="center"/>
              <w:tblBorders>
                <w:top w:val="single" w:color="auto" w:sz="8" w:space="0"/>
                <w:left w:val="none" w:color="auto" w:sz="0" w:space="0"/>
                <w:bottom w:val="single" w:color="auto" w:sz="8" w:space="0"/>
                <w:right w:val="none" w:color="auto" w:sz="0" w:space="0"/>
                <w:insideH w:val="single" w:color="auto" w:sz="8" w:space="0"/>
                <w:insideV w:val="single" w:color="auto" w:sz="6" w:space="0"/>
              </w:tblBorders>
              <w:tblLayout w:type="fixed"/>
              <w:tblCellMar>
                <w:top w:w="0" w:type="dxa"/>
                <w:left w:w="108" w:type="dxa"/>
                <w:bottom w:w="0" w:type="dxa"/>
                <w:right w:w="108" w:type="dxa"/>
              </w:tblCellMar>
            </w:tblPr>
            <w:tblGrid>
              <w:gridCol w:w="3594"/>
              <w:gridCol w:w="3533"/>
              <w:gridCol w:w="1131"/>
            </w:tblGrid>
            <w:tr>
              <w:tblPrEx>
                <w:tblBorders>
                  <w:top w:val="single" w:color="auto" w:sz="8" w:space="0"/>
                  <w:left w:val="none" w:color="auto" w:sz="0" w:space="0"/>
                  <w:bottom w:val="single" w:color="auto" w:sz="8" w:space="0"/>
                  <w:right w:val="none" w:color="auto" w:sz="0" w:space="0"/>
                  <w:insideH w:val="single" w:color="auto" w:sz="8" w:space="0"/>
                  <w:insideV w:val="single" w:color="auto" w:sz="6" w:space="0"/>
                </w:tblBorders>
                <w:tblCellMar>
                  <w:top w:w="0" w:type="dxa"/>
                  <w:left w:w="108" w:type="dxa"/>
                  <w:bottom w:w="0" w:type="dxa"/>
                  <w:right w:w="108" w:type="dxa"/>
                </w:tblCellMar>
              </w:tblPrEx>
              <w:trPr>
                <w:trHeight w:val="112" w:hRule="atLeast"/>
                <w:jc w:val="center"/>
              </w:trPr>
              <w:tc>
                <w:tcPr>
                  <w:tcW w:w="3594" w:type="dxa"/>
                  <w:noWrap w:val="0"/>
                  <w:vAlign w:val="center"/>
                </w:tcPr>
                <w:p>
                  <w:pPr>
                    <w:jc w:val="center"/>
                    <w:rPr>
                      <w:szCs w:val="21"/>
                    </w:rPr>
                  </w:pPr>
                  <w:r>
                    <w:rPr>
                      <w:rFonts w:hint="eastAsia"/>
                      <w:szCs w:val="21"/>
                    </w:rPr>
                    <w:t>标准选址要求</w:t>
                  </w:r>
                </w:p>
              </w:tc>
              <w:tc>
                <w:tcPr>
                  <w:tcW w:w="3533" w:type="dxa"/>
                  <w:noWrap w:val="0"/>
                  <w:vAlign w:val="center"/>
                </w:tcPr>
                <w:p>
                  <w:pPr>
                    <w:jc w:val="center"/>
                    <w:rPr>
                      <w:szCs w:val="21"/>
                    </w:rPr>
                  </w:pPr>
                  <w:r>
                    <w:rPr>
                      <w:rFonts w:hint="eastAsia"/>
                      <w:szCs w:val="21"/>
                    </w:rPr>
                    <w:t>本项目情况</w:t>
                  </w:r>
                </w:p>
              </w:tc>
              <w:tc>
                <w:tcPr>
                  <w:tcW w:w="1131" w:type="dxa"/>
                  <w:noWrap w:val="0"/>
                  <w:vAlign w:val="center"/>
                </w:tcPr>
                <w:p>
                  <w:pPr>
                    <w:jc w:val="center"/>
                    <w:rPr>
                      <w:szCs w:val="21"/>
                    </w:rPr>
                  </w:pPr>
                  <w:r>
                    <w:rPr>
                      <w:rFonts w:hint="eastAsia"/>
                      <w:szCs w:val="21"/>
                    </w:rPr>
                    <w:t>符合情况</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6" w:space="0"/>
                </w:tblBorders>
                <w:tblCellMar>
                  <w:top w:w="0" w:type="dxa"/>
                  <w:left w:w="108" w:type="dxa"/>
                  <w:bottom w:w="0" w:type="dxa"/>
                  <w:right w:w="108" w:type="dxa"/>
                </w:tblCellMar>
              </w:tblPrEx>
              <w:trPr>
                <w:trHeight w:val="90" w:hRule="atLeast"/>
                <w:jc w:val="center"/>
              </w:trPr>
              <w:tc>
                <w:tcPr>
                  <w:tcW w:w="3594" w:type="dxa"/>
                  <w:noWrap w:val="0"/>
                  <w:vAlign w:val="center"/>
                </w:tcPr>
                <w:p>
                  <w:pPr>
                    <w:jc w:val="center"/>
                    <w:rPr>
                      <w:rFonts w:hint="eastAsia"/>
                      <w:szCs w:val="21"/>
                    </w:rPr>
                  </w:pPr>
                  <w:r>
                    <w:rPr>
                      <w:rFonts w:hint="eastAsia"/>
                      <w:kern w:val="0"/>
                      <w:szCs w:val="21"/>
                    </w:rPr>
                    <w:t>交通便利</w:t>
                  </w:r>
                </w:p>
              </w:tc>
              <w:tc>
                <w:tcPr>
                  <w:tcW w:w="3533" w:type="dxa"/>
                  <w:noWrap w:val="0"/>
                  <w:vAlign w:val="center"/>
                </w:tcPr>
                <w:p>
                  <w:pPr>
                    <w:jc w:val="center"/>
                    <w:rPr>
                      <w:szCs w:val="21"/>
                    </w:rPr>
                  </w:pPr>
                  <w:r>
                    <w:rPr>
                      <w:rFonts w:hint="eastAsia"/>
                      <w:kern w:val="0"/>
                      <w:szCs w:val="21"/>
                    </w:rPr>
                    <w:t>乡道、国道等，交通便利</w:t>
                  </w:r>
                </w:p>
              </w:tc>
              <w:tc>
                <w:tcPr>
                  <w:tcW w:w="1131" w:type="dxa"/>
                  <w:noWrap w:val="0"/>
                  <w:vAlign w:val="center"/>
                </w:tcPr>
                <w:p>
                  <w:pPr>
                    <w:jc w:val="center"/>
                    <w:rPr>
                      <w:szCs w:val="21"/>
                    </w:rPr>
                  </w:pPr>
                  <w:r>
                    <w:rPr>
                      <w:rFonts w:hint="eastAsia"/>
                      <w:szCs w:val="21"/>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6" w:space="0"/>
                </w:tblBorders>
                <w:tblCellMar>
                  <w:top w:w="0" w:type="dxa"/>
                  <w:left w:w="108" w:type="dxa"/>
                  <w:bottom w:w="0" w:type="dxa"/>
                  <w:right w:w="108" w:type="dxa"/>
                </w:tblCellMar>
              </w:tblPrEx>
              <w:trPr>
                <w:trHeight w:val="90" w:hRule="atLeast"/>
                <w:jc w:val="center"/>
              </w:trPr>
              <w:tc>
                <w:tcPr>
                  <w:tcW w:w="3594" w:type="dxa"/>
                  <w:noWrap w:val="0"/>
                  <w:vAlign w:val="center"/>
                </w:tcPr>
                <w:p>
                  <w:pPr>
                    <w:jc w:val="center"/>
                    <w:rPr>
                      <w:rFonts w:hint="eastAsia" w:ascii="宋体" w:hAnsi="宋体"/>
                      <w:szCs w:val="21"/>
                    </w:rPr>
                  </w:pPr>
                  <w:r>
                    <w:rPr>
                      <w:rFonts w:hint="eastAsia" w:ascii="宋体" w:hAnsi="宋体"/>
                      <w:szCs w:val="21"/>
                    </w:rPr>
                    <w:t>便于利用城镇基础设施</w:t>
                  </w:r>
                </w:p>
              </w:tc>
              <w:tc>
                <w:tcPr>
                  <w:tcW w:w="3533" w:type="dxa"/>
                  <w:noWrap w:val="0"/>
                  <w:vAlign w:val="center"/>
                </w:tcPr>
                <w:p>
                  <w:pPr>
                    <w:jc w:val="center"/>
                    <w:rPr>
                      <w:rFonts w:hint="eastAsia" w:ascii="宋体" w:hAnsi="宋体"/>
                      <w:szCs w:val="21"/>
                    </w:rPr>
                  </w:pPr>
                  <w:r>
                    <w:rPr>
                      <w:rFonts w:hint="eastAsia" w:ascii="宋体" w:hAnsi="宋体" w:cs="宋体"/>
                      <w:bCs/>
                      <w:szCs w:val="21"/>
                      <w:shd w:val="clear" w:color="auto" w:fill="FFFFFF"/>
                    </w:rPr>
                    <w:t>水、电、气、通讯等基础设施齐全</w:t>
                  </w:r>
                </w:p>
              </w:tc>
              <w:tc>
                <w:tcPr>
                  <w:tcW w:w="1131" w:type="dxa"/>
                  <w:noWrap w:val="0"/>
                  <w:vAlign w:val="center"/>
                </w:tcPr>
                <w:p>
                  <w:pPr>
                    <w:jc w:val="center"/>
                    <w:rPr>
                      <w:szCs w:val="21"/>
                    </w:rPr>
                  </w:pPr>
                  <w:r>
                    <w:rPr>
                      <w:rFonts w:hint="eastAsia"/>
                      <w:szCs w:val="21"/>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6" w:space="0"/>
                </w:tblBorders>
                <w:tblCellMar>
                  <w:top w:w="0" w:type="dxa"/>
                  <w:left w:w="108" w:type="dxa"/>
                  <w:bottom w:w="0" w:type="dxa"/>
                  <w:right w:w="108" w:type="dxa"/>
                </w:tblCellMar>
              </w:tblPrEx>
              <w:trPr>
                <w:trHeight w:val="90" w:hRule="atLeast"/>
                <w:jc w:val="center"/>
              </w:trPr>
              <w:tc>
                <w:tcPr>
                  <w:tcW w:w="3594" w:type="dxa"/>
                  <w:noWrap w:val="0"/>
                  <w:vAlign w:val="center"/>
                </w:tcPr>
                <w:p>
                  <w:pPr>
                    <w:jc w:val="center"/>
                    <w:rPr>
                      <w:rFonts w:hint="eastAsia"/>
                      <w:szCs w:val="21"/>
                    </w:rPr>
                  </w:pPr>
                  <w:r>
                    <w:rPr>
                      <w:rFonts w:hint="eastAsia"/>
                      <w:kern w:val="0"/>
                      <w:szCs w:val="21"/>
                    </w:rPr>
                    <w:t>地形宜规整平坦，地质宜构造稳定，地势应较高且不受洪水威胁</w:t>
                  </w:r>
                </w:p>
              </w:tc>
              <w:tc>
                <w:tcPr>
                  <w:tcW w:w="3533" w:type="dxa"/>
                  <w:noWrap w:val="0"/>
                  <w:vAlign w:val="center"/>
                </w:tcPr>
                <w:p>
                  <w:pPr>
                    <w:jc w:val="center"/>
                    <w:rPr>
                      <w:szCs w:val="21"/>
                    </w:rPr>
                  </w:pPr>
                  <w:r>
                    <w:rPr>
                      <w:rFonts w:hint="eastAsia"/>
                      <w:kern w:val="0"/>
                      <w:szCs w:val="21"/>
                    </w:rPr>
                    <w:t>地形规整平坦，地质构造稳定，地势应较高且不受洪水威胁</w:t>
                  </w:r>
                </w:p>
              </w:tc>
              <w:tc>
                <w:tcPr>
                  <w:tcW w:w="1131" w:type="dxa"/>
                  <w:noWrap w:val="0"/>
                  <w:vAlign w:val="center"/>
                </w:tcPr>
                <w:p>
                  <w:pPr>
                    <w:jc w:val="center"/>
                    <w:rPr>
                      <w:szCs w:val="21"/>
                    </w:rPr>
                  </w:pPr>
                  <w:r>
                    <w:rPr>
                      <w:rFonts w:hint="eastAsia"/>
                      <w:szCs w:val="21"/>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6" w:space="0"/>
                </w:tblBorders>
                <w:tblCellMar>
                  <w:top w:w="0" w:type="dxa"/>
                  <w:left w:w="108" w:type="dxa"/>
                  <w:bottom w:w="0" w:type="dxa"/>
                  <w:right w:w="108" w:type="dxa"/>
                </w:tblCellMar>
              </w:tblPrEx>
              <w:trPr>
                <w:trHeight w:val="90" w:hRule="atLeast"/>
                <w:jc w:val="center"/>
              </w:trPr>
              <w:tc>
                <w:tcPr>
                  <w:tcW w:w="3594" w:type="dxa"/>
                  <w:noWrap w:val="0"/>
                  <w:vAlign w:val="center"/>
                </w:tcPr>
                <w:p>
                  <w:pPr>
                    <w:jc w:val="center"/>
                    <w:rPr>
                      <w:rFonts w:hint="eastAsia"/>
                      <w:szCs w:val="21"/>
                    </w:rPr>
                  </w:pPr>
                  <w:r>
                    <w:rPr>
                      <w:rFonts w:hint="eastAsia"/>
                      <w:kern w:val="0"/>
                      <w:szCs w:val="21"/>
                    </w:rPr>
                    <w:t>远离易燃、易爆物品的生产和储存区</w:t>
                  </w:r>
                </w:p>
              </w:tc>
              <w:tc>
                <w:tcPr>
                  <w:tcW w:w="3533" w:type="dxa"/>
                  <w:noWrap w:val="0"/>
                  <w:vAlign w:val="center"/>
                </w:tcPr>
                <w:p>
                  <w:pPr>
                    <w:jc w:val="center"/>
                    <w:rPr>
                      <w:rFonts w:hint="eastAsia"/>
                      <w:szCs w:val="21"/>
                    </w:rPr>
                  </w:pPr>
                  <w:r>
                    <w:rPr>
                      <w:rFonts w:hint="eastAsia"/>
                      <w:szCs w:val="21"/>
                    </w:rPr>
                    <w:t>周边不存在</w:t>
                  </w:r>
                  <w:r>
                    <w:rPr>
                      <w:rFonts w:hint="eastAsia"/>
                      <w:kern w:val="0"/>
                      <w:szCs w:val="21"/>
                    </w:rPr>
                    <w:t>易燃、易爆物品</w:t>
                  </w:r>
                </w:p>
              </w:tc>
              <w:tc>
                <w:tcPr>
                  <w:tcW w:w="1131" w:type="dxa"/>
                  <w:noWrap w:val="0"/>
                  <w:vAlign w:val="center"/>
                </w:tcPr>
                <w:p>
                  <w:pPr>
                    <w:jc w:val="center"/>
                    <w:rPr>
                      <w:szCs w:val="21"/>
                    </w:rPr>
                  </w:pPr>
                  <w:r>
                    <w:rPr>
                      <w:rFonts w:hint="eastAsia"/>
                      <w:szCs w:val="21"/>
                    </w:rPr>
                    <w:t>符合</w:t>
                  </w:r>
                </w:p>
              </w:tc>
            </w:tr>
          </w:tbl>
          <w:p>
            <w:pPr>
              <w:pStyle w:val="185"/>
              <w:ind w:firstLine="482"/>
              <w:rPr>
                <w:rFonts w:hint="eastAsia" w:ascii="Times New Roman" w:hAnsi="Times New Roman" w:eastAsia="宋体"/>
                <w:color w:val="000000"/>
                <w:kern w:val="0"/>
              </w:rPr>
            </w:pPr>
            <w:r>
              <w:rPr>
                <w:rFonts w:hint="eastAsia" w:ascii="Times New Roman" w:hAnsi="Times New Roman" w:eastAsia="宋体"/>
                <w:color w:val="000000"/>
                <w:kern w:val="0"/>
              </w:rPr>
              <w:t>项目周边主要为居住用地、农田等，区域交通便利、水、电、气、通讯等基础设施齐全，建设条件良好、同时，项目周边不涉及自然保护区及野生动物保护区、森林公园、风景名胜区、重点文物及名胜古迹、生态敏感区，外环境对本项目的影响主要为乡村道路运输产生的噪声，通过采取围墙隔离等相关措施，其对医院的环境影响能够得到有效控制，项目建设及运营过程中，产生的废水、废气、场尘、噪声等环境影响因子通过系列保护及治理措施得以有效控制，使其对周边外环境的影响较小。</w:t>
            </w:r>
          </w:p>
          <w:p>
            <w:pPr>
              <w:pStyle w:val="185"/>
              <w:ind w:firstLine="482"/>
              <w:rPr>
                <w:rFonts w:hint="eastAsia" w:ascii="Times New Roman" w:hAnsi="Times New Roman" w:eastAsia="宋体"/>
                <w:b/>
                <w:bCs/>
                <w:color w:val="000000"/>
                <w:kern w:val="0"/>
              </w:rPr>
            </w:pPr>
            <w:r>
              <w:rPr>
                <w:rFonts w:hint="eastAsia" w:ascii="Times New Roman" w:hAnsi="Times New Roman" w:eastAsia="宋体"/>
                <w:b/>
                <w:bCs/>
                <w:color w:val="000000"/>
                <w:kern w:val="0"/>
              </w:rPr>
              <w:t>综上，项目符合国家产业政策、符合当地规划要求，项目建设无明显的环境制约因素，项目选址合理。</w:t>
            </w:r>
          </w:p>
          <w:p>
            <w:pPr>
              <w:pStyle w:val="185"/>
              <w:ind w:left="0" w:leftChars="0" w:firstLine="0" w:firstLineChars="0"/>
              <w:jc w:val="both"/>
              <w:rPr>
                <w:rFonts w:hint="eastAsia" w:ascii="Times New Roman" w:hAnsi="Times New Roman" w:eastAsia="宋体"/>
                <w:b/>
                <w:color w:val="000000"/>
                <w:kern w:val="0"/>
              </w:rPr>
            </w:pPr>
            <w:r>
              <w:rPr>
                <w:rFonts w:hint="eastAsia" w:ascii="Times New Roman" w:hAnsi="Times New Roman" w:eastAsia="宋体"/>
                <w:b/>
                <w:color w:val="000000"/>
                <w:kern w:val="0"/>
                <w:lang w:val="en-US" w:eastAsia="zh-CN"/>
              </w:rPr>
              <w:t>4</w:t>
            </w:r>
            <w:r>
              <w:rPr>
                <w:rFonts w:ascii="Times New Roman" w:hAnsi="Times New Roman" w:eastAsia="宋体"/>
                <w:b/>
                <w:color w:val="000000"/>
                <w:kern w:val="0"/>
              </w:rPr>
              <w:t>、</w:t>
            </w:r>
            <w:r>
              <w:rPr>
                <w:rFonts w:hint="eastAsia" w:ascii="Times New Roman" w:hAnsi="Times New Roman" w:eastAsia="宋体"/>
                <w:b/>
                <w:color w:val="000000"/>
                <w:kern w:val="0"/>
              </w:rPr>
              <w:t>与《乐山市市中区国民经济和社会发展第十四个五年规划和二○三五年远景目标纲要》符合性分析</w:t>
            </w:r>
          </w:p>
          <w:p>
            <w:pPr>
              <w:pStyle w:val="185"/>
              <w:ind w:firstLine="482"/>
              <w:jc w:val="both"/>
              <w:rPr>
                <w:rFonts w:hint="eastAsia" w:ascii="Times New Roman" w:hAnsi="Times New Roman" w:eastAsia="宋体"/>
                <w:b w:val="0"/>
                <w:bCs/>
                <w:color w:val="000000"/>
                <w:kern w:val="0"/>
              </w:rPr>
            </w:pPr>
            <w:r>
              <w:rPr>
                <w:rFonts w:hint="eastAsia" w:ascii="Times New Roman" w:hAnsi="Times New Roman" w:eastAsia="宋体"/>
                <w:b w:val="0"/>
                <w:bCs/>
                <w:color w:val="000000"/>
                <w:kern w:val="0"/>
              </w:rPr>
              <w:t>《乐山市市中区国民经济和社会发展第十四个五年规划和二○三五年远景目标纲要》提出，要主动适应国内外发展环境和条件的深刻变化，在把握“新发展阶段”中发挥极核引领作用，在融入“新发展格局”中展现市中区作为，在践行“新发展理念”中推进市中区变革，全方位推动高质量发展，开启全面建设社会主义现代化市中区新征程。推进健康市中区建设，把保障人民群众健康放在优先发展的战略位置，坚持预防为主的方针，深入实施健康市中区行动，织牢公共卫生防护网，全方位全生命周期保障人民群众健康。完善慢性病综合防控体系，</w:t>
            </w:r>
            <w:r>
              <w:rPr>
                <w:rFonts w:hint="eastAsia" w:ascii="Times New Roman" w:hAnsi="Times New Roman" w:eastAsia="宋体"/>
                <w:b/>
                <w:bCs w:val="0"/>
                <w:color w:val="000000"/>
                <w:kern w:val="0"/>
              </w:rPr>
              <w:t>加强精神障碍患者救治管理</w:t>
            </w:r>
            <w:r>
              <w:rPr>
                <w:rFonts w:hint="eastAsia" w:ascii="Times New Roman" w:hAnsi="Times New Roman" w:eastAsia="宋体"/>
                <w:b w:val="0"/>
                <w:bCs/>
                <w:color w:val="000000"/>
                <w:kern w:val="0"/>
              </w:rPr>
              <w:t>，提升综合防控水平。</w:t>
            </w:r>
          </w:p>
          <w:p>
            <w:pPr>
              <w:pStyle w:val="185"/>
              <w:ind w:firstLine="482"/>
              <w:jc w:val="both"/>
              <w:rPr>
                <w:rFonts w:ascii="Times New Roman" w:hAnsi="Times New Roman" w:eastAsia="宋体"/>
                <w:b w:val="0"/>
                <w:bCs/>
                <w:color w:val="000000"/>
                <w:kern w:val="0"/>
              </w:rPr>
            </w:pPr>
            <w:r>
              <w:rPr>
                <w:rFonts w:hint="eastAsia" w:ascii="Times New Roman" w:hAnsi="Times New Roman" w:eastAsia="宋体"/>
                <w:b w:val="0"/>
                <w:bCs/>
                <w:color w:val="000000"/>
                <w:kern w:val="0"/>
              </w:rPr>
              <w:t>乐山巴川精神病专科医院是以精神专科医疗服务为主，兼有预防、保健、康复和疗养等重要任务的二级精神病专科医院，其经营性质为营利性医疗机构。本项目亦是一项惠民工程，项目的建成将为周边地区50公里左右区域提供精神诊疗服务，将在一定程度上改变人民的生活水平和质量，符合《乐山市市中区国民经济和社会发展第十四个五年规划和二○三五年远景目标纲要》要求。</w:t>
            </w:r>
          </w:p>
          <w:p>
            <w:pPr>
              <w:pStyle w:val="185"/>
              <w:numPr>
                <w:ilvl w:val="0"/>
                <w:numId w:val="0"/>
              </w:numPr>
              <w:ind w:leftChars="0"/>
              <w:jc w:val="both"/>
              <w:rPr>
                <w:rFonts w:hint="eastAsia" w:ascii="Times New Roman" w:hAnsi="Times New Roman" w:eastAsia="宋体"/>
                <w:b/>
                <w:color w:val="000000"/>
                <w:kern w:val="0"/>
              </w:rPr>
            </w:pPr>
            <w:r>
              <w:rPr>
                <w:rFonts w:hint="eastAsia" w:ascii="Times New Roman" w:hAnsi="Times New Roman" w:eastAsia="宋体"/>
                <w:b/>
                <w:color w:val="000000"/>
                <w:kern w:val="0"/>
                <w:lang w:val="en-US" w:eastAsia="zh-CN"/>
              </w:rPr>
              <w:t>5、</w:t>
            </w:r>
            <w:r>
              <w:rPr>
                <w:rFonts w:hint="eastAsia" w:ascii="Times New Roman" w:hAnsi="Times New Roman" w:eastAsia="宋体"/>
                <w:b/>
                <w:color w:val="000000"/>
                <w:kern w:val="0"/>
              </w:rPr>
              <w:t>与《乐山市“十三五”医疗机构设置规划（2016-2020年）》符合性分析</w:t>
            </w:r>
          </w:p>
          <w:p>
            <w:pPr>
              <w:pStyle w:val="185"/>
              <w:ind w:left="0" w:leftChars="0" w:firstLine="480" w:firstLineChars="200"/>
              <w:jc w:val="both"/>
              <w:rPr>
                <w:rFonts w:hint="eastAsia" w:ascii="Times New Roman" w:hAnsi="Times New Roman" w:eastAsia="宋体"/>
                <w:b w:val="0"/>
                <w:bCs/>
                <w:color w:val="000000"/>
                <w:kern w:val="0"/>
              </w:rPr>
            </w:pPr>
            <w:r>
              <w:rPr>
                <w:rFonts w:hint="eastAsia" w:ascii="Times New Roman" w:hAnsi="Times New Roman" w:eastAsia="宋体"/>
                <w:b w:val="0"/>
                <w:bCs/>
                <w:color w:val="000000"/>
                <w:kern w:val="0"/>
              </w:rPr>
              <w:t>《乐山市“十三五”医疗机构设置规划（2016-2020年）》中“（五）社会办医。依据常住人口数，按照医疗资源结构合理和每千常住人口1．5张床位规划设置本区域社会办医数量，在此总量基础上，社会资本可在全市范围内自行选择办医地点、类别。鼓励各地采取PPP模式建立混合所有制医院。鼓励社会资本举办各类医疗机构，优先支持举办非营利性医疗机构。在符合《医疗机构基本标准》基础上，重点支持社会资本直接投向市内资源稀缺及满足多元需求服务领域，举办二级及以上综合医院、中医医院、中西医结合医院和老年病医院、精神病医院、康复医院、护理院、妇产医院、肿瘤医院、口腔医院、肾病医院、骨科医院、皮肤病医院、临终关怀医院、心血管病医院、血液病医院、职业病医院、眼科医院、耳鼻喉医院、儿童医院等专科医疗机构，鼓励社会资本举办美容等高端医疗、第三方检查检验等新型业态，个体诊所、门诊部等不受数量限制。”</w:t>
            </w:r>
          </w:p>
          <w:p>
            <w:pPr>
              <w:pStyle w:val="185"/>
              <w:ind w:firstLine="480"/>
              <w:jc w:val="both"/>
              <w:rPr>
                <w:rFonts w:ascii="Times New Roman" w:hAnsi="Times New Roman" w:eastAsia="宋体"/>
                <w:color w:val="000000"/>
                <w:kern w:val="0"/>
              </w:rPr>
            </w:pPr>
            <w:r>
              <w:rPr>
                <w:rFonts w:hint="eastAsia" w:ascii="Times New Roman" w:hAnsi="Times New Roman" w:eastAsia="宋体"/>
                <w:b w:val="0"/>
                <w:bCs/>
                <w:color w:val="000000"/>
                <w:kern w:val="0"/>
              </w:rPr>
              <w:t>乐山巴川精神病专科医院是以精神专科医疗服务为主，兼有预防、保健、康复和疗养等重要任务的二级精神病专科医院，其经营性质为营利性医疗机构，属于规划中鼓励提倡项目，因此，本项目的建设符合《乐山市“十三五”医疗机构设置规划（2016-2020年）》</w:t>
            </w:r>
            <w:r>
              <w:rPr>
                <w:rFonts w:ascii="Times New Roman" w:hAnsi="Times New Roman" w:eastAsia="宋体"/>
                <w:color w:val="000000"/>
                <w:kern w:val="0"/>
              </w:rPr>
              <w:t>。</w:t>
            </w:r>
          </w:p>
          <w:p>
            <w:pPr>
              <w:adjustRightInd w:val="0"/>
              <w:snapToGrid w:val="0"/>
              <w:spacing w:line="360" w:lineRule="auto"/>
              <w:rPr>
                <w:rFonts w:hint="eastAsia" w:hAnsi="宋体"/>
                <w:b/>
                <w:bCs/>
                <w:sz w:val="24"/>
              </w:rPr>
            </w:pPr>
            <w:r>
              <w:rPr>
                <w:rFonts w:hint="eastAsia" w:ascii="Times New Roman" w:hAnsi="Times New Roman" w:eastAsia="宋体"/>
                <w:b/>
                <w:color w:val="000000"/>
                <w:kern w:val="0"/>
                <w:lang w:val="en-US" w:eastAsia="zh-CN"/>
              </w:rPr>
              <w:t>6</w:t>
            </w:r>
            <w:r>
              <w:rPr>
                <w:rFonts w:ascii="Times New Roman" w:hAnsi="Times New Roman" w:eastAsia="宋体"/>
                <w:b/>
                <w:color w:val="000000"/>
                <w:kern w:val="0"/>
              </w:rPr>
              <w:t>、</w:t>
            </w:r>
            <w:r>
              <w:rPr>
                <w:rFonts w:hint="eastAsia" w:hAnsi="宋体"/>
                <w:b/>
                <w:bCs/>
                <w:sz w:val="24"/>
              </w:rPr>
              <w:t>“三线一单”符合性分析</w:t>
            </w:r>
          </w:p>
          <w:p>
            <w:pPr>
              <w:wordWrap w:val="0"/>
              <w:adjustRightInd w:val="0"/>
              <w:snapToGrid w:val="0"/>
              <w:spacing w:line="360" w:lineRule="auto"/>
              <w:ind w:firstLine="480" w:firstLineChars="200"/>
              <w:rPr>
                <w:rFonts w:hint="eastAsia" w:ascii="Times New Roman" w:hAnsi="Times New Roman" w:eastAsia="宋体"/>
                <w:sz w:val="24"/>
              </w:rPr>
            </w:pPr>
            <w:r>
              <w:rPr>
                <w:rFonts w:hint="eastAsia" w:ascii="Times New Roman" w:hAnsi="Times New Roman" w:eastAsia="宋体"/>
                <w:sz w:val="24"/>
              </w:rPr>
              <w:t>乐山市人民政府于2021年6月7日发布了《关于落实生态保护红线、环境质量底线、资源利用上线制定生态环境准入清单实施生态环境分区管控的通知》（乐府发[2021]7号），根据通知，将全市行政区域从生态环境保护角度划分为优先保护、重点管控和一般管控三类环境管控单元。</w:t>
            </w:r>
          </w:p>
          <w:p>
            <w:pPr>
              <w:wordWrap w:val="0"/>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优先保护单元26个，优先保护单元中，应以生态环境保护优先为原则，严格执行相关法律、法规要求，严守生态环境质量底线，确保生态环境功能不降低。重点管控单元33个，重点管控单元中，应针对性地加强污染物排放控制和环境风险防控，解决生态环境质量不达标、生态环境风险突出等问题，制定差别化的生态环境准入要求。对环境质量不达标区域，提出污染物削减比例要求；对环境质量达标区域，提出允许排放量建议指标。一般管控单元6个，一般管控单元中，执行区域生态环境保护的基本要求，重点加强农业、生活等领域污染治理。</w:t>
            </w:r>
          </w:p>
          <w:p>
            <w:pPr>
              <w:wordWrap w:val="0"/>
              <w:adjustRightInd w:val="0"/>
              <w:snapToGrid w:val="0"/>
              <w:spacing w:line="360" w:lineRule="auto"/>
              <w:ind w:firstLine="482" w:firstLineChars="200"/>
              <w:rPr>
                <w:rFonts w:ascii="Times New Roman" w:hAnsi="Times New Roman" w:eastAsia="宋体"/>
                <w:b/>
                <w:bCs/>
                <w:sz w:val="24"/>
              </w:rPr>
            </w:pPr>
            <w:r>
              <w:rPr>
                <w:rFonts w:hint="eastAsia" w:ascii="Times New Roman" w:hAnsi="Times New Roman" w:eastAsia="宋体"/>
                <w:b/>
                <w:bCs/>
                <w:sz w:val="24"/>
                <w:lang w:eastAsia="zh-CN"/>
              </w:rPr>
              <w:t>（</w:t>
            </w:r>
            <w:r>
              <w:rPr>
                <w:rFonts w:hint="eastAsia" w:ascii="Times New Roman" w:hAnsi="Times New Roman" w:eastAsia="宋体"/>
                <w:b/>
                <w:bCs/>
                <w:sz w:val="24"/>
                <w:lang w:val="en-US" w:eastAsia="zh-CN"/>
              </w:rPr>
              <w:t>1</w:t>
            </w:r>
            <w:r>
              <w:rPr>
                <w:rFonts w:hint="eastAsia" w:ascii="Times New Roman" w:hAnsi="Times New Roman" w:eastAsia="宋体"/>
                <w:b/>
                <w:bCs/>
                <w:sz w:val="24"/>
                <w:lang w:eastAsia="zh-CN"/>
              </w:rPr>
              <w:t>）</w:t>
            </w:r>
            <w:r>
              <w:rPr>
                <w:rFonts w:hint="eastAsia" w:ascii="Times New Roman" w:hAnsi="Times New Roman" w:eastAsia="宋体"/>
                <w:b/>
                <w:bCs/>
                <w:sz w:val="24"/>
              </w:rPr>
              <w:t>与生态保护红线的符合性</w:t>
            </w:r>
          </w:p>
          <w:p>
            <w:pPr>
              <w:wordWrap w:val="0"/>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t>生态保护红线是指依法在重点生态功能区、生态环境敏感区和脆弱区等区域划定的严格管控边界，是国家和区域生态安全的底线，对于维护生态安全格局、保障生态服务功能、支撑经济社会可持续发展具有重要作用。</w:t>
            </w:r>
          </w:p>
          <w:p>
            <w:pPr>
              <w:wordWrap w:val="0"/>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本项目位于乐山市市中区水口镇徐月村7组456号，根据《乐山市环境管控单元分布图》，本项目所在区域属于城镇重点管控单元，评价范围内不涉及饮用水水源保护区、自然保护区、风景名胜区、湿地公园、地质公园、水产种质资源保护区、世界文化与自然遗产地等各类生态保护重要区域。因此，项目建设符合生态保护红线要求。</w:t>
            </w:r>
          </w:p>
          <w:p>
            <w:pPr>
              <w:wordWrap w:val="0"/>
              <w:adjustRightInd w:val="0"/>
              <w:snapToGrid w:val="0"/>
              <w:spacing w:line="360" w:lineRule="auto"/>
              <w:jc w:val="center"/>
              <w:rPr>
                <w:rFonts w:ascii="Times New Roman" w:hAnsi="Times New Roman" w:eastAsia="宋体"/>
                <w:sz w:val="24"/>
              </w:rPr>
            </w:pPr>
            <w:r>
              <w:rPr>
                <w:rFonts w:hint="eastAsia" w:hAnsi="宋体"/>
                <w:sz w:val="24"/>
              </w:rPr>
              <mc:AlternateContent>
                <mc:Choice Requires="wps">
                  <w:drawing>
                    <wp:anchor distT="0" distB="0" distL="114300" distR="114300" simplePos="0" relativeHeight="251662336" behindDoc="0" locked="0" layoutInCell="1" allowOverlap="1">
                      <wp:simplePos x="0" y="0"/>
                      <wp:positionH relativeFrom="column">
                        <wp:posOffset>2023110</wp:posOffset>
                      </wp:positionH>
                      <wp:positionV relativeFrom="paragraph">
                        <wp:posOffset>2210435</wp:posOffset>
                      </wp:positionV>
                      <wp:extent cx="1781175" cy="630555"/>
                      <wp:effectExtent l="5080" t="1099185" r="4445" b="22860"/>
                      <wp:wrapNone/>
                      <wp:docPr id="140" name="矩形标注 140"/>
                      <wp:cNvGraphicFramePr/>
                      <a:graphic xmlns:a="http://schemas.openxmlformats.org/drawingml/2006/main">
                        <a:graphicData uri="http://schemas.microsoft.com/office/word/2010/wordprocessingShape">
                          <wps:wsp>
                            <wps:cNvSpPr/>
                            <wps:spPr>
                              <a:xfrm>
                                <a:off x="0" y="0"/>
                                <a:ext cx="1781175" cy="630555"/>
                              </a:xfrm>
                              <a:prstGeom prst="wedgeRectCallout">
                                <a:avLst>
                                  <a:gd name="adj1" fmla="val -41301"/>
                                  <a:gd name="adj2" fmla="val -220403"/>
                                </a:avLst>
                              </a:prstGeom>
                              <a:noFill/>
                              <a:ln w="9525" cap="flat" cmpd="sng">
                                <a:solidFill>
                                  <a:srgbClr val="000000"/>
                                </a:solidFill>
                                <a:prstDash val="solid"/>
                                <a:miter/>
                                <a:headEnd type="none" w="med" len="med"/>
                                <a:tailEnd type="none" w="med" len="med"/>
                              </a:ln>
                            </wps:spPr>
                            <wps:txbx>
                              <w:txbxContent>
                                <w:p>
                                  <w:pPr>
                                    <w:jc w:val="center"/>
                                    <w:rPr>
                                      <w:rFonts w:hint="eastAsia"/>
                                      <w:b/>
                                      <w:bCs/>
                                      <w:color w:val="FF0000"/>
                                      <w:szCs w:val="21"/>
                                    </w:rPr>
                                  </w:pPr>
                                  <w:r>
                                    <w:rPr>
                                      <w:rFonts w:hint="eastAsia"/>
                                      <w:b/>
                                      <w:bCs/>
                                      <w:color w:val="FF0000"/>
                                      <w:szCs w:val="21"/>
                                    </w:rPr>
                                    <w:t>项目所在地：</w:t>
                                  </w:r>
                                </w:p>
                                <w:p>
                                  <w:pPr>
                                    <w:jc w:val="center"/>
                                    <w:rPr>
                                      <w:rFonts w:hint="eastAsia"/>
                                      <w:color w:val="FF0000"/>
                                    </w:rPr>
                                  </w:pPr>
                                  <w:r>
                                    <w:rPr>
                                      <w:rFonts w:hint="eastAsia"/>
                                      <w:b/>
                                      <w:bCs/>
                                      <w:color w:val="FF0000"/>
                                    </w:rPr>
                                    <w:t>乐山市市中区水口镇徐月村7组456号</w:t>
                                  </w:r>
                                </w:p>
                              </w:txbxContent>
                            </wps:txbx>
                            <wps:bodyPr upright="1"/>
                          </wps:wsp>
                        </a:graphicData>
                      </a:graphic>
                    </wp:anchor>
                  </w:drawing>
                </mc:Choice>
                <mc:Fallback>
                  <w:pict>
                    <v:shape id="_x0000_s1026" o:spid="_x0000_s1026" o:spt="61" type="#_x0000_t61" style="position:absolute;left:0pt;margin-left:159.3pt;margin-top:174.05pt;height:49.65pt;width:140.25pt;z-index:251662336;mso-width-relative:page;mso-height-relative:page;" filled="f" stroked="t" coordsize="21600,21600" o:gfxdata="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xbn4r2wAAAAsBAAAPAAAAAAAAAAEAIAAAACIAAABkcnMvZG93&#10;bnJldi54bWxQSwECFAAUAAAACACHTuJA/f5jwjYCAABqBAAADgAAAAAAAAABACAAAAAqAQAAZHJz&#10;L2Uyb0RvYy54bWxQSwUGAAAAAAYABgBZAQAA0gUAAAAA&#10;" adj="1879,-36807">
                      <v:fill on="f" focussize="0,0"/>
                      <v:stroke color="#000000" joinstyle="miter"/>
                      <v:imagedata o:title=""/>
                      <o:lock v:ext="edit" aspectratio="f"/>
                      <v:textbox>
                        <w:txbxContent>
                          <w:p>
                            <w:pPr>
                              <w:jc w:val="center"/>
                              <w:rPr>
                                <w:rFonts w:hint="eastAsia"/>
                                <w:b/>
                                <w:bCs/>
                                <w:color w:val="FF0000"/>
                                <w:szCs w:val="21"/>
                              </w:rPr>
                            </w:pPr>
                            <w:r>
                              <w:rPr>
                                <w:rFonts w:hint="eastAsia"/>
                                <w:b/>
                                <w:bCs/>
                                <w:color w:val="FF0000"/>
                                <w:szCs w:val="21"/>
                              </w:rPr>
                              <w:t>项目所在地：</w:t>
                            </w:r>
                          </w:p>
                          <w:p>
                            <w:pPr>
                              <w:jc w:val="center"/>
                              <w:rPr>
                                <w:rFonts w:hint="eastAsia"/>
                                <w:color w:val="FF0000"/>
                              </w:rPr>
                            </w:pPr>
                            <w:r>
                              <w:rPr>
                                <w:rFonts w:hint="eastAsia"/>
                                <w:b/>
                                <w:bCs/>
                                <w:color w:val="FF0000"/>
                              </w:rPr>
                              <w:t>乐山市市中区水口镇徐月村7组456号</w:t>
                            </w:r>
                          </w:p>
                        </w:txbxContent>
                      </v:textbox>
                    </v:shape>
                  </w:pict>
                </mc:Fallback>
              </mc:AlternateContent>
            </w:r>
            <w:r>
              <w:drawing>
                <wp:inline distT="0" distB="0" distL="114300" distR="114300">
                  <wp:extent cx="5292090" cy="3444240"/>
                  <wp:effectExtent l="0" t="0" r="3810" b="3810"/>
                  <wp:docPr id="1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0"/>
                          <pic:cNvPicPr>
                            <a:picLocks noChangeAspect="1"/>
                          </pic:cNvPicPr>
                        </pic:nvPicPr>
                        <pic:blipFill>
                          <a:blip r:embed="rId16"/>
                          <a:stretch>
                            <a:fillRect/>
                          </a:stretch>
                        </pic:blipFill>
                        <pic:spPr>
                          <a:xfrm>
                            <a:off x="0" y="0"/>
                            <a:ext cx="5292090" cy="3444240"/>
                          </a:xfrm>
                          <a:prstGeom prst="rect">
                            <a:avLst/>
                          </a:prstGeom>
                          <a:noFill/>
                          <a:ln>
                            <a:noFill/>
                          </a:ln>
                        </pic:spPr>
                      </pic:pic>
                    </a:graphicData>
                  </a:graphic>
                </wp:inline>
              </w:drawing>
            </w:r>
          </w:p>
          <w:p>
            <w:pPr>
              <w:pStyle w:val="37"/>
              <w:widowControl w:val="0"/>
              <w:shd w:val="clear" w:color="auto" w:fill="FFFFFF"/>
              <w:tabs>
                <w:tab w:val="left" w:pos="1350"/>
              </w:tabs>
              <w:topLinePunct/>
              <w:autoSpaceDE w:val="0"/>
              <w:autoSpaceDN w:val="0"/>
              <w:adjustRightInd w:val="0"/>
              <w:snapToGrid w:val="0"/>
              <w:spacing w:before="0" w:beforeAutospacing="0" w:after="0" w:afterAutospacing="0" w:line="240" w:lineRule="auto"/>
              <w:ind w:firstLine="930" w:firstLineChars="441"/>
              <w:jc w:val="center"/>
              <w:rPr>
                <w:rFonts w:ascii="Times New Roman" w:hAnsi="Times New Roman" w:eastAsia="宋体"/>
              </w:rPr>
            </w:pPr>
            <w:r>
              <w:rPr>
                <w:rFonts w:ascii="Times New Roman" w:hAnsi="Times New Roman" w:eastAsia="宋体"/>
                <w:b/>
                <w:color w:val="000000"/>
                <w:sz w:val="21"/>
                <w:szCs w:val="21"/>
                <w:lang w:bidi="ar"/>
              </w:rPr>
              <w:t>图1-1 四川省生态保护红线分布图</w:t>
            </w:r>
          </w:p>
          <w:p>
            <w:pPr>
              <w:pStyle w:val="185"/>
              <w:ind w:firstLine="480"/>
              <w:jc w:val="both"/>
              <w:rPr>
                <w:rFonts w:hint="eastAsia" w:ascii="Times New Roman" w:hAnsi="Times New Roman" w:eastAsia="宋体"/>
              </w:rPr>
            </w:pPr>
            <w:r>
              <w:rPr>
                <w:rFonts w:hint="eastAsia" w:ascii="Times New Roman" w:hAnsi="Times New Roman" w:eastAsia="宋体"/>
              </w:rPr>
              <w:t>本项目位于乐山市市中区水口镇徐月村7组456号。根据调查，本项目所处区域不在《四川省生态保护红线实施意见》（川府发[2018]24号）中。</w:t>
            </w:r>
          </w:p>
          <w:p>
            <w:pPr>
              <w:pStyle w:val="185"/>
              <w:ind w:firstLine="480"/>
              <w:jc w:val="both"/>
              <w:rPr>
                <w:rFonts w:ascii="Times New Roman" w:hAnsi="Times New Roman" w:eastAsia="宋体"/>
              </w:rPr>
            </w:pPr>
            <w:r>
              <w:rPr>
                <w:rFonts w:hint="eastAsia" w:ascii="Times New Roman" w:hAnsi="Times New Roman" w:eastAsia="宋体"/>
              </w:rPr>
              <w:t>因此，本项目建设符合生态红线要求。</w:t>
            </w:r>
          </w:p>
          <w:p>
            <w:pPr>
              <w:wordWrap w:val="0"/>
              <w:adjustRightInd w:val="0"/>
              <w:snapToGrid w:val="0"/>
              <w:spacing w:line="360" w:lineRule="auto"/>
              <w:ind w:firstLine="482" w:firstLineChars="200"/>
              <w:jc w:val="left"/>
              <w:rPr>
                <w:rFonts w:ascii="Times New Roman" w:hAnsi="Times New Roman" w:eastAsia="宋体"/>
                <w:b/>
                <w:bCs/>
                <w:sz w:val="24"/>
              </w:rPr>
            </w:pPr>
            <w:r>
              <w:rPr>
                <w:rFonts w:hint="eastAsia" w:ascii="Times New Roman" w:hAnsi="Times New Roman" w:eastAsia="宋体"/>
                <w:b/>
                <w:bCs/>
                <w:sz w:val="24"/>
                <w:lang w:eastAsia="zh-CN"/>
              </w:rPr>
              <w:t>（</w:t>
            </w:r>
            <w:r>
              <w:rPr>
                <w:rFonts w:hint="eastAsia" w:ascii="Times New Roman" w:hAnsi="Times New Roman" w:eastAsia="宋体"/>
                <w:b/>
                <w:bCs/>
                <w:sz w:val="24"/>
                <w:lang w:val="en-US" w:eastAsia="zh-CN"/>
              </w:rPr>
              <w:t>2</w:t>
            </w:r>
            <w:r>
              <w:rPr>
                <w:rFonts w:hint="eastAsia" w:ascii="Times New Roman" w:hAnsi="Times New Roman" w:eastAsia="宋体"/>
                <w:b/>
                <w:bCs/>
                <w:sz w:val="24"/>
                <w:lang w:eastAsia="zh-CN"/>
              </w:rPr>
              <w:t>）</w:t>
            </w:r>
            <w:r>
              <w:rPr>
                <w:rFonts w:ascii="Times New Roman" w:hAnsi="Times New Roman" w:eastAsia="宋体"/>
                <w:b/>
                <w:bCs/>
                <w:sz w:val="24"/>
              </w:rPr>
              <w:t>与环境质量底线</w:t>
            </w:r>
            <w:r>
              <w:rPr>
                <w:rFonts w:hint="eastAsia" w:ascii="Times New Roman" w:hAnsi="Times New Roman" w:eastAsia="宋体"/>
                <w:b/>
                <w:bCs/>
                <w:sz w:val="24"/>
                <w:lang w:eastAsia="zh-CN"/>
              </w:rPr>
              <w:t>的</w:t>
            </w:r>
            <w:r>
              <w:rPr>
                <w:rFonts w:ascii="Times New Roman" w:hAnsi="Times New Roman" w:eastAsia="宋体"/>
                <w:b/>
                <w:bCs/>
                <w:sz w:val="24"/>
              </w:rPr>
              <w:t>符合性</w:t>
            </w:r>
          </w:p>
          <w:p>
            <w:pPr>
              <w:adjustRightInd w:val="0"/>
              <w:snapToGrid w:val="0"/>
              <w:spacing w:line="360" w:lineRule="auto"/>
              <w:ind w:firstLine="480" w:firstLineChars="200"/>
              <w:rPr>
                <w:rFonts w:hint="default" w:ascii="Times New Roman" w:hAnsi="Times New Roman" w:eastAsia="宋体" w:cs="Times New Roman"/>
                <w:lang w:bidi="ar"/>
              </w:rPr>
            </w:pPr>
            <w:r>
              <w:rPr>
                <w:rFonts w:ascii="Times New Roman" w:hAnsi="Times New Roman" w:eastAsia="宋体"/>
                <w:sz w:val="24"/>
              </w:rPr>
              <w:t>环境质量底线是国家和地方设置的大气、水和土壤环境质量目标，也是改善环境质量的基准线。环评应对照区域环境质量目标，深入分析预测项目建设对环境质量的影响，强化污染防治措施和污染物排放控制要求。</w:t>
            </w:r>
          </w:p>
          <w:p>
            <w:pPr>
              <w:wordWrap w:val="0"/>
              <w:adjustRightInd w:val="0"/>
              <w:snapToGrid w:val="0"/>
              <w:spacing w:line="360" w:lineRule="auto"/>
              <w:ind w:firstLine="480" w:firstLineChars="200"/>
              <w:rPr>
                <w:rFonts w:hint="eastAsia" w:ascii="Times New Roman" w:hAnsi="Times New Roman" w:eastAsia="宋体"/>
                <w:sz w:val="24"/>
                <w:lang w:bidi="ar"/>
              </w:rPr>
            </w:pPr>
            <w:r>
              <w:rPr>
                <w:rFonts w:hint="eastAsia" w:ascii="Times New Roman" w:hAnsi="Times New Roman" w:eastAsia="宋体"/>
                <w:sz w:val="24"/>
                <w:lang w:bidi="ar"/>
              </w:rPr>
              <w:t>本项目位于乐山市市中区水口镇徐月村7组456号，所在区域地表水为临江河，临江河自西向东汇入大渡河。本项目运营期产生的</w:t>
            </w:r>
            <w:r>
              <w:rPr>
                <w:rFonts w:hint="eastAsia" w:ascii="Times New Roman" w:hAnsi="Times New Roman" w:eastAsia="宋体"/>
                <w:sz w:val="24"/>
                <w:lang w:eastAsia="zh-CN" w:bidi="ar"/>
              </w:rPr>
              <w:t>食堂废水</w:t>
            </w:r>
            <w:r>
              <w:rPr>
                <w:rFonts w:hint="eastAsia" w:ascii="Times New Roman" w:hAnsi="Times New Roman" w:eastAsia="宋体"/>
                <w:sz w:val="24"/>
                <w:lang w:bidi="ar"/>
              </w:rPr>
              <w:t>经隔油池预处理后与医疗废水</w:t>
            </w:r>
            <w:r>
              <w:rPr>
                <w:rFonts w:hint="eastAsia" w:ascii="Times New Roman" w:hAnsi="Times New Roman" w:eastAsia="宋体"/>
                <w:sz w:val="24"/>
                <w:lang w:eastAsia="zh-CN" w:bidi="ar"/>
              </w:rPr>
              <w:t>、</w:t>
            </w:r>
            <w:r>
              <w:rPr>
                <w:rFonts w:hint="eastAsia" w:ascii="Times New Roman" w:hAnsi="Times New Roman" w:eastAsia="宋体"/>
                <w:sz w:val="24"/>
                <w:lang w:bidi="ar"/>
              </w:rPr>
              <w:t>洗涤废水</w:t>
            </w:r>
            <w:r>
              <w:rPr>
                <w:rFonts w:hint="eastAsia" w:ascii="Times New Roman" w:hAnsi="Times New Roman" w:eastAsia="宋体"/>
                <w:sz w:val="24"/>
                <w:lang w:eastAsia="zh-CN" w:bidi="ar"/>
              </w:rPr>
              <w:t>、职工生活污水有化粪池预处理后</w:t>
            </w:r>
            <w:r>
              <w:rPr>
                <w:rFonts w:hint="eastAsia" w:ascii="Times New Roman" w:hAnsi="Times New Roman" w:eastAsia="宋体"/>
                <w:sz w:val="24"/>
                <w:lang w:bidi="ar"/>
              </w:rPr>
              <w:t>一起进入院内污水处理站处理达到《医疗机构水污染物排放标准》（GB18466-2005）表2中预处理标准后，排入市政污水管网进入乐山市第三污水处理厂处理达标后排放</w:t>
            </w:r>
            <w:r>
              <w:rPr>
                <w:rFonts w:hint="eastAsia" w:ascii="Times New Roman" w:hAnsi="Times New Roman" w:eastAsia="宋体"/>
                <w:sz w:val="24"/>
                <w:lang w:eastAsia="zh-CN" w:bidi="ar"/>
              </w:rPr>
              <w:t>。根据乐山三友室内空气检测服务有限责任公司对项目废水的监测数据可知，项目院内污水处理站处理后的废水水质满足</w:t>
            </w:r>
            <w:r>
              <w:rPr>
                <w:rFonts w:hint="eastAsia" w:ascii="Times New Roman" w:hAnsi="Times New Roman" w:eastAsia="宋体"/>
                <w:sz w:val="24"/>
                <w:lang w:bidi="ar"/>
              </w:rPr>
              <w:t>《医疗机构水污染物排放标准》（GB18466-2005）表2中预处理标准。本项目位于乐山市市中区水口镇徐月村7组456号，所在区域为</w:t>
            </w:r>
            <w:r>
              <w:rPr>
                <w:rFonts w:hint="eastAsia" w:ascii="Times New Roman" w:hAnsi="Times New Roman" w:eastAsia="宋体"/>
                <w:sz w:val="24"/>
                <w:lang w:eastAsia="zh-CN" w:bidi="ar"/>
              </w:rPr>
              <w:t>满足</w:t>
            </w:r>
            <w:r>
              <w:rPr>
                <w:rFonts w:hint="eastAsia" w:ascii="Times New Roman" w:hAnsi="Times New Roman" w:eastAsia="宋体"/>
                <w:sz w:val="24"/>
                <w:lang w:bidi="ar"/>
              </w:rPr>
              <w:t>环境空气质量达标区域。根据</w:t>
            </w:r>
            <w:r>
              <w:rPr>
                <w:rFonts w:hint="eastAsia" w:ascii="Times New Roman" w:hAnsi="Times New Roman" w:eastAsia="宋体"/>
                <w:sz w:val="24"/>
                <w:lang w:eastAsia="zh-CN" w:bidi="ar"/>
              </w:rPr>
              <w:t>四川海德汇环保科技有限</w:t>
            </w:r>
            <w:r>
              <w:rPr>
                <w:rFonts w:hint="eastAsia" w:ascii="Times New Roman" w:hAnsi="Times New Roman" w:eastAsia="宋体"/>
                <w:sz w:val="24"/>
                <w:lang w:bidi="ar"/>
              </w:rPr>
              <w:t>公司对项目所在地噪声监测数据可知，项目运营期产生的噪声厂界贡献值满足《工业企业厂界环境噪声排放标准》GB12348-2008中2类标准，项目四周最近住户处噪声值满足《声环境质量标准》（GB3096-2008）中2类标准，项目评价区域声学环境良好，项目的建设和运营对周边声环境影响较小，不会改变声学环境相应功能区类别要求。</w:t>
            </w:r>
          </w:p>
          <w:p>
            <w:pPr>
              <w:wordWrap w:val="0"/>
              <w:adjustRightInd w:val="0"/>
              <w:snapToGrid w:val="0"/>
              <w:spacing w:line="360" w:lineRule="auto"/>
              <w:ind w:firstLine="480" w:firstLineChars="200"/>
              <w:rPr>
                <w:rFonts w:hint="eastAsia" w:ascii="Times New Roman" w:hAnsi="Times New Roman" w:eastAsia="宋体"/>
                <w:sz w:val="24"/>
                <w:lang w:bidi="ar"/>
              </w:rPr>
            </w:pPr>
            <w:r>
              <w:rPr>
                <w:rFonts w:hint="eastAsia" w:ascii="Times New Roman" w:hAnsi="Times New Roman" w:eastAsia="宋体"/>
                <w:sz w:val="24"/>
                <w:lang w:bidi="ar"/>
              </w:rPr>
              <w:t>因此，本项目建设符合环境质量底线要求。</w:t>
            </w:r>
          </w:p>
          <w:p>
            <w:pPr>
              <w:wordWrap w:val="0"/>
              <w:adjustRightInd w:val="0"/>
              <w:snapToGrid w:val="0"/>
              <w:spacing w:line="360" w:lineRule="auto"/>
              <w:ind w:firstLine="482" w:firstLineChars="200"/>
              <w:rPr>
                <w:rFonts w:ascii="Times New Roman" w:hAnsi="Times New Roman" w:eastAsia="宋体"/>
                <w:b/>
                <w:bCs/>
                <w:sz w:val="24"/>
              </w:rPr>
            </w:pPr>
            <w:r>
              <w:rPr>
                <w:rFonts w:hint="eastAsia" w:ascii="Times New Roman" w:hAnsi="Times New Roman" w:eastAsia="宋体"/>
                <w:b/>
                <w:bCs/>
                <w:sz w:val="24"/>
                <w:lang w:eastAsia="zh-CN"/>
              </w:rPr>
              <w:t>（</w:t>
            </w:r>
            <w:r>
              <w:rPr>
                <w:rFonts w:hint="eastAsia" w:ascii="Times New Roman" w:hAnsi="Times New Roman" w:eastAsia="宋体"/>
                <w:b/>
                <w:bCs/>
                <w:sz w:val="24"/>
                <w:lang w:val="en-US" w:eastAsia="zh-CN"/>
              </w:rPr>
              <w:t>3</w:t>
            </w:r>
            <w:r>
              <w:rPr>
                <w:rFonts w:hint="eastAsia" w:ascii="Times New Roman" w:hAnsi="Times New Roman" w:eastAsia="宋体"/>
                <w:b/>
                <w:bCs/>
                <w:sz w:val="24"/>
                <w:lang w:eastAsia="zh-CN"/>
              </w:rPr>
              <w:t>）</w:t>
            </w:r>
            <w:r>
              <w:rPr>
                <w:rFonts w:ascii="Times New Roman" w:hAnsi="Times New Roman" w:eastAsia="宋体"/>
                <w:b/>
                <w:bCs/>
                <w:sz w:val="24"/>
              </w:rPr>
              <w:t>与资源利用上线符合性</w:t>
            </w:r>
          </w:p>
          <w:p>
            <w:pPr>
              <w:wordWrap w:val="0"/>
              <w:adjustRightInd w:val="0"/>
              <w:snapToGrid w:val="0"/>
              <w:spacing w:line="360" w:lineRule="auto"/>
              <w:ind w:firstLine="480" w:firstLineChars="200"/>
              <w:rPr>
                <w:rFonts w:hint="eastAsia" w:ascii="Times New Roman" w:hAnsi="Times New Roman" w:eastAsia="宋体"/>
                <w:sz w:val="24"/>
              </w:rPr>
            </w:pPr>
            <w:r>
              <w:rPr>
                <w:rFonts w:hint="eastAsia" w:ascii="Times New Roman" w:hAnsi="Times New Roman" w:eastAsia="宋体"/>
                <w:sz w:val="24"/>
              </w:rPr>
              <w:t>资源是环境的载体，资源利用上线是各地区能源、水、土地等资源消耗不得突破的“天花板”。本项目占地面积3576m</w:t>
            </w:r>
            <w:r>
              <w:rPr>
                <w:rFonts w:hint="eastAsia" w:ascii="Times New Roman" w:hAnsi="Times New Roman" w:eastAsia="宋体"/>
                <w:sz w:val="24"/>
                <w:vertAlign w:val="superscript"/>
              </w:rPr>
              <w:t>2</w:t>
            </w:r>
            <w:r>
              <w:rPr>
                <w:rFonts w:hint="eastAsia" w:ascii="Times New Roman" w:hAnsi="Times New Roman" w:eastAsia="宋体"/>
                <w:sz w:val="24"/>
              </w:rPr>
              <w:t>，项目营运期会消耗一定量的水、电、天然气等能源，项目资源消耗相对区域资源利用总量较少，符合资源利用上限要求。</w:t>
            </w:r>
          </w:p>
          <w:p>
            <w:pPr>
              <w:wordWrap w:val="0"/>
              <w:adjustRightInd w:val="0"/>
              <w:snapToGrid w:val="0"/>
              <w:spacing w:line="360" w:lineRule="auto"/>
              <w:ind w:firstLine="482" w:firstLineChars="200"/>
              <w:rPr>
                <w:rFonts w:ascii="Times New Roman" w:hAnsi="Times New Roman" w:eastAsia="宋体"/>
                <w:b/>
                <w:bCs/>
                <w:sz w:val="24"/>
              </w:rPr>
            </w:pPr>
            <w:r>
              <w:rPr>
                <w:rFonts w:hint="eastAsia" w:ascii="Times New Roman" w:hAnsi="Times New Roman" w:eastAsia="宋体"/>
                <w:b/>
                <w:bCs/>
                <w:sz w:val="24"/>
                <w:lang w:eastAsia="zh-CN"/>
              </w:rPr>
              <w:t>（</w:t>
            </w:r>
            <w:r>
              <w:rPr>
                <w:rFonts w:hint="eastAsia" w:ascii="Times New Roman" w:hAnsi="Times New Roman" w:eastAsia="宋体"/>
                <w:b/>
                <w:bCs/>
                <w:sz w:val="24"/>
                <w:lang w:val="en-US" w:eastAsia="zh-CN"/>
              </w:rPr>
              <w:t>4</w:t>
            </w:r>
            <w:r>
              <w:rPr>
                <w:rFonts w:hint="eastAsia" w:ascii="Times New Roman" w:hAnsi="Times New Roman" w:eastAsia="宋体"/>
                <w:b/>
                <w:bCs/>
                <w:sz w:val="24"/>
                <w:lang w:eastAsia="zh-CN"/>
              </w:rPr>
              <w:t>）与</w:t>
            </w:r>
            <w:r>
              <w:rPr>
                <w:rFonts w:ascii="Times New Roman" w:hAnsi="Times New Roman" w:eastAsia="宋体"/>
                <w:b/>
                <w:bCs/>
                <w:sz w:val="24"/>
              </w:rPr>
              <w:t>环境准入负面清单符合性</w:t>
            </w:r>
          </w:p>
          <w:p>
            <w:pPr>
              <w:wordWrap w:val="0"/>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本项目属于</w:t>
            </w:r>
            <w:r>
              <w:rPr>
                <w:rFonts w:hint="eastAsia" w:ascii="Times New Roman" w:hAnsi="Times New Roman" w:eastAsia="宋体"/>
                <w:sz w:val="24"/>
                <w:lang w:eastAsia="zh-CN"/>
              </w:rPr>
              <w:t>专科</w:t>
            </w:r>
            <w:r>
              <w:rPr>
                <w:rFonts w:hint="eastAsia" w:ascii="Times New Roman" w:hAnsi="Times New Roman" w:eastAsia="宋体"/>
                <w:sz w:val="24"/>
              </w:rPr>
              <w:t>医院建设项目，属于民生工程</w:t>
            </w:r>
            <w:r>
              <w:rPr>
                <w:rFonts w:hint="eastAsia" w:ascii="Times New Roman" w:hAnsi="Times New Roman" w:eastAsia="宋体"/>
                <w:sz w:val="24"/>
                <w:lang w:eastAsia="zh-CN"/>
              </w:rPr>
              <w:t>，</w:t>
            </w:r>
            <w:r>
              <w:rPr>
                <w:rFonts w:ascii="Times New Roman" w:hAnsi="Times New Roman" w:eastAsia="宋体"/>
                <w:sz w:val="24"/>
              </w:rPr>
              <w:t>项目符合国家当前产业政策，根据《四川省人民政府关于落实生态保护红线、环境质量底线、资源利用上线制定生态环境准入清单》（川府发【2020】9号），本项目不属于环境准入负面清单。</w:t>
            </w:r>
          </w:p>
          <w:p>
            <w:pPr>
              <w:wordWrap w:val="0"/>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t>因此，项目工程符合“三单一线”相关要求。</w:t>
            </w:r>
          </w:p>
          <w:p>
            <w:pPr>
              <w:pStyle w:val="185"/>
              <w:ind w:firstLine="0" w:firstLineChars="0"/>
              <w:jc w:val="both"/>
              <w:rPr>
                <w:rFonts w:ascii="Times New Roman" w:hAnsi="Times New Roman" w:eastAsia="宋体"/>
                <w:b/>
                <w:color w:val="000000"/>
                <w:sz w:val="24"/>
                <w:szCs w:val="24"/>
              </w:rPr>
            </w:pPr>
            <w:r>
              <w:rPr>
                <w:rFonts w:hint="eastAsia" w:ascii="Times New Roman" w:hAnsi="Times New Roman" w:eastAsia="宋体"/>
                <w:b/>
                <w:color w:val="000000"/>
                <w:sz w:val="24"/>
                <w:szCs w:val="24"/>
                <w:lang w:val="en-US" w:eastAsia="zh-CN"/>
              </w:rPr>
              <w:t>7、</w:t>
            </w:r>
            <w:r>
              <w:rPr>
                <w:rFonts w:ascii="Times New Roman" w:hAnsi="Times New Roman" w:eastAsia="宋体"/>
                <w:b/>
                <w:color w:val="000000"/>
                <w:sz w:val="24"/>
                <w:szCs w:val="24"/>
              </w:rPr>
              <w:t>项目与《乐山市人民政府关于落实生态保护红线、环境质量底线、资源利用上线制定生态环境准入清单实施生态环境分区管控的通知》符合性分析</w:t>
            </w:r>
          </w:p>
          <w:p>
            <w:pPr>
              <w:topLinePunct/>
              <w:adjustRightInd w:val="0"/>
              <w:snapToGrid w:val="0"/>
              <w:spacing w:line="360" w:lineRule="auto"/>
              <w:ind w:firstLine="480" w:firstLineChars="200"/>
              <w:rPr>
                <w:rFonts w:hint="eastAsia" w:ascii="Times New Roman" w:hAnsi="Times New Roman" w:eastAsia="宋体"/>
                <w:b w:val="0"/>
                <w:bCs w:val="0"/>
                <w:sz w:val="24"/>
                <w:lang w:eastAsia="zh-CN"/>
              </w:rPr>
            </w:pPr>
            <w:r>
              <w:rPr>
                <w:rFonts w:hint="eastAsia" w:ascii="Times New Roman" w:hAnsi="Times New Roman" w:eastAsia="宋体"/>
                <w:b w:val="0"/>
                <w:bCs w:val="0"/>
                <w:sz w:val="24"/>
                <w:lang w:eastAsia="zh-CN"/>
              </w:rPr>
              <w:t>（</w:t>
            </w:r>
            <w:r>
              <w:rPr>
                <w:rFonts w:hint="eastAsia" w:ascii="Times New Roman" w:hAnsi="Times New Roman" w:eastAsia="宋体"/>
                <w:b w:val="0"/>
                <w:bCs w:val="0"/>
                <w:sz w:val="24"/>
                <w:lang w:val="en-US" w:eastAsia="zh-CN"/>
              </w:rPr>
              <w:t>1</w:t>
            </w:r>
            <w:r>
              <w:rPr>
                <w:rFonts w:hint="eastAsia" w:ascii="Times New Roman" w:hAnsi="Times New Roman" w:eastAsia="宋体"/>
                <w:b w:val="0"/>
                <w:bCs w:val="0"/>
                <w:sz w:val="24"/>
                <w:lang w:eastAsia="zh-CN"/>
              </w:rPr>
              <w:t>）</w:t>
            </w:r>
            <w:r>
              <w:rPr>
                <w:rFonts w:ascii="Times New Roman" w:hAnsi="Times New Roman" w:eastAsia="宋体"/>
                <w:sz w:val="24"/>
              </w:rPr>
              <w:t>“三线一单”</w:t>
            </w:r>
            <w:r>
              <w:rPr>
                <w:rFonts w:hint="eastAsia" w:ascii="Times New Roman" w:hAnsi="Times New Roman" w:eastAsia="宋体"/>
                <w:sz w:val="24"/>
                <w:lang w:eastAsia="zh-CN"/>
              </w:rPr>
              <w:t>查询</w:t>
            </w:r>
          </w:p>
          <w:p>
            <w:pPr>
              <w:topLinePunct/>
              <w:adjustRightInd w:val="0"/>
              <w:snapToGrid w:val="0"/>
              <w:spacing w:line="360" w:lineRule="auto"/>
              <w:ind w:firstLine="480" w:firstLineChars="200"/>
              <w:rPr>
                <w:rFonts w:hint="eastAsia" w:ascii="Times New Roman" w:hAnsi="Times New Roman" w:eastAsia="宋体"/>
                <w:sz w:val="24"/>
              </w:rPr>
            </w:pPr>
            <w:r>
              <w:rPr>
                <w:rFonts w:hint="eastAsia" w:ascii="Times New Roman" w:hAnsi="Times New Roman" w:eastAsia="宋体"/>
                <w:sz w:val="24"/>
              </w:rPr>
              <w:t>本项目位于乐山市市中区水口镇徐月村7组456号，根据在四川政务服务网（网址：</w:t>
            </w:r>
            <w:r>
              <w:rPr>
                <w:rFonts w:hint="eastAsia" w:ascii="Times New Roman" w:hAnsi="Times New Roman" w:eastAsia="宋体"/>
                <w:color w:val="auto"/>
                <w:sz w:val="24"/>
                <w:u w:val="none"/>
              </w:rPr>
              <w:t>http://www.sczwfw.gov.cn/jiq/front/item/bmft_index?deptCode=69918285-</w:t>
            </w:r>
            <w:r>
              <w:rPr>
                <w:rFonts w:hint="eastAsia" w:ascii="Times New Roman" w:hAnsi="Times New Roman" w:eastAsia="宋体"/>
                <w:sz w:val="24"/>
              </w:rPr>
              <w:t>5</w:t>
            </w:r>
          </w:p>
          <w:p>
            <w:pPr>
              <w:topLinePunct/>
              <w:adjustRightInd w:val="0"/>
              <w:snapToGrid w:val="0"/>
              <w:spacing w:line="360" w:lineRule="auto"/>
              <w:rPr>
                <w:rFonts w:ascii="Times New Roman" w:hAnsi="Times New Roman" w:eastAsia="宋体"/>
                <w:sz w:val="24"/>
              </w:rPr>
            </w:pPr>
            <w:r>
              <w:rPr>
                <w:rFonts w:hint="eastAsia" w:ascii="Times New Roman" w:hAnsi="Times New Roman" w:eastAsia="宋体"/>
                <w:sz w:val="24"/>
              </w:rPr>
              <w:t>&amp;areaCode=510000000000）查询结果，本项目环境综合管控单元属于环境综合管控单元城镇重点管控单元、水环境分区属于水环境城镇生活污染重点管控区、大气环境分区属于大气环境受体敏感重点管控区、自然资源管控分区属于高污染燃料禁燃区和自然资源重点管控区</w:t>
            </w:r>
            <w:r>
              <w:rPr>
                <w:rFonts w:ascii="Times New Roman" w:hAnsi="Times New Roman" w:eastAsia="宋体"/>
                <w:bCs/>
                <w:color w:val="000000"/>
                <w:sz w:val="24"/>
              </w:rPr>
              <w:t>，具体见下表。</w:t>
            </w:r>
          </w:p>
          <w:p>
            <w:pPr>
              <w:wordWrap w:val="0"/>
              <w:topLinePunct/>
              <w:adjustRightInd w:val="0"/>
              <w:snapToGrid w:val="0"/>
              <w:spacing w:line="360" w:lineRule="auto"/>
              <w:jc w:val="center"/>
              <w:rPr>
                <w:rFonts w:ascii="Times New Roman" w:hAnsi="Times New Roman" w:eastAsia="宋体"/>
                <w:color w:val="000000"/>
              </w:rPr>
            </w:pPr>
            <w:r>
              <w:drawing>
                <wp:inline distT="0" distB="0" distL="114300" distR="114300">
                  <wp:extent cx="4679950" cy="3218815"/>
                  <wp:effectExtent l="0" t="0" r="6350" b="635"/>
                  <wp:docPr id="1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1"/>
                          <pic:cNvPicPr>
                            <a:picLocks noChangeAspect="1"/>
                          </pic:cNvPicPr>
                        </pic:nvPicPr>
                        <pic:blipFill>
                          <a:blip r:embed="rId17"/>
                          <a:srcRect t="7921"/>
                          <a:stretch>
                            <a:fillRect/>
                          </a:stretch>
                        </pic:blipFill>
                        <pic:spPr>
                          <a:xfrm>
                            <a:off x="0" y="0"/>
                            <a:ext cx="4679950" cy="3218815"/>
                          </a:xfrm>
                          <a:prstGeom prst="rect">
                            <a:avLst/>
                          </a:prstGeom>
                          <a:noFill/>
                          <a:ln>
                            <a:noFill/>
                          </a:ln>
                        </pic:spPr>
                      </pic:pic>
                    </a:graphicData>
                  </a:graphic>
                </wp:inline>
              </w:drawing>
            </w:r>
          </w:p>
          <w:p>
            <w:pPr>
              <w:autoSpaceDE w:val="0"/>
              <w:autoSpaceDN w:val="0"/>
              <w:adjustRightInd w:val="0"/>
              <w:snapToGrid w:val="0"/>
              <w:spacing w:line="240" w:lineRule="auto"/>
              <w:ind w:firstLine="482" w:firstLineChars="200"/>
              <w:jc w:val="center"/>
              <w:rPr>
                <w:rFonts w:ascii="Times New Roman" w:hAnsi="Times New Roman" w:eastAsia="宋体"/>
                <w:b/>
                <w:bCs/>
                <w:color w:val="000000"/>
                <w:szCs w:val="21"/>
              </w:rPr>
            </w:pPr>
            <w:r>
              <w:rPr>
                <w:rFonts w:ascii="Times New Roman" w:hAnsi="Times New Roman" w:eastAsia="宋体"/>
                <w:b/>
                <w:bCs/>
                <w:color w:val="000000"/>
                <w:szCs w:val="21"/>
              </w:rPr>
              <w:t>图1-2 三线一单查询结果</w:t>
            </w:r>
          </w:p>
          <w:p>
            <w:pPr>
              <w:autoSpaceDE w:val="0"/>
              <w:autoSpaceDN w:val="0"/>
              <w:adjustRightInd w:val="0"/>
              <w:snapToGrid w:val="0"/>
              <w:spacing w:line="240" w:lineRule="auto"/>
              <w:ind w:firstLine="482" w:firstLineChars="200"/>
              <w:jc w:val="center"/>
              <w:rPr>
                <w:rFonts w:ascii="Times New Roman" w:hAnsi="Times New Roman" w:eastAsia="宋体"/>
                <w:color w:val="000000"/>
                <w:szCs w:val="21"/>
              </w:rPr>
            </w:pPr>
            <w:r>
              <w:rPr>
                <w:rFonts w:ascii="Times New Roman" w:hAnsi="Times New Roman" w:eastAsia="宋体"/>
                <w:b/>
                <w:bCs/>
                <w:color w:val="000000"/>
                <w:szCs w:val="21"/>
              </w:rPr>
              <w:t>表1</w:t>
            </w:r>
            <w:r>
              <w:rPr>
                <w:rFonts w:hint="eastAsia" w:ascii="Times New Roman" w:hAnsi="Times New Roman" w:eastAsia="宋体"/>
                <w:b/>
                <w:bCs/>
                <w:color w:val="000000"/>
                <w:szCs w:val="21"/>
                <w:lang w:val="en-US" w:eastAsia="zh-CN"/>
              </w:rPr>
              <w:t>-2</w:t>
            </w:r>
            <w:r>
              <w:rPr>
                <w:rFonts w:ascii="Times New Roman" w:hAnsi="Times New Roman" w:eastAsia="宋体"/>
                <w:b/>
                <w:bCs/>
                <w:color w:val="000000"/>
                <w:szCs w:val="21"/>
              </w:rPr>
              <w:t xml:space="preserve">  管控单元表</w:t>
            </w:r>
          </w:p>
          <w:tbl>
            <w:tblPr>
              <w:tblStyle w:val="41"/>
              <w:tblW w:w="837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50"/>
              <w:gridCol w:w="1717"/>
              <w:gridCol w:w="925"/>
              <w:gridCol w:w="909"/>
              <w:gridCol w:w="1765"/>
              <w:gridCol w:w="191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4" w:hRule="atLeast"/>
                <w:tblHeader/>
                <w:jc w:val="center"/>
              </w:trPr>
              <w:tc>
                <w:tcPr>
                  <w:tcW w:w="686" w:type="pct"/>
                  <w:tcBorders>
                    <w:tl2br w:val="nil"/>
                    <w:tr2bl w:val="nil"/>
                  </w:tcBorders>
                  <w:noWrap w:val="0"/>
                  <w:vAlign w:val="center"/>
                </w:tcPr>
                <w:p>
                  <w:pPr>
                    <w:pStyle w:val="184"/>
                    <w:rPr>
                      <w:rFonts w:ascii="Times New Roman" w:hAnsi="Times New Roman" w:eastAsia="宋体"/>
                      <w:b/>
                      <w:sz w:val="18"/>
                      <w:szCs w:val="18"/>
                    </w:rPr>
                  </w:pPr>
                  <w:r>
                    <w:rPr>
                      <w:rFonts w:ascii="Times New Roman" w:hAnsi="Times New Roman" w:eastAsia="宋体"/>
                      <w:b/>
                      <w:sz w:val="18"/>
                      <w:szCs w:val="18"/>
                    </w:rPr>
                    <w:t>环境管控单元编码</w:t>
                  </w:r>
                </w:p>
              </w:tc>
              <w:tc>
                <w:tcPr>
                  <w:tcW w:w="1024" w:type="pct"/>
                  <w:tcBorders>
                    <w:tl2br w:val="nil"/>
                    <w:tr2bl w:val="nil"/>
                  </w:tcBorders>
                  <w:noWrap w:val="0"/>
                  <w:vAlign w:val="center"/>
                </w:tcPr>
                <w:p>
                  <w:pPr>
                    <w:pStyle w:val="184"/>
                    <w:rPr>
                      <w:rFonts w:ascii="Times New Roman" w:hAnsi="Times New Roman" w:eastAsia="宋体"/>
                      <w:b/>
                      <w:sz w:val="18"/>
                      <w:szCs w:val="18"/>
                    </w:rPr>
                  </w:pPr>
                  <w:r>
                    <w:rPr>
                      <w:rFonts w:ascii="Times New Roman" w:hAnsi="Times New Roman" w:eastAsia="宋体"/>
                      <w:b/>
                      <w:sz w:val="18"/>
                      <w:szCs w:val="18"/>
                    </w:rPr>
                    <w:t>环境管控单元名称</w:t>
                  </w:r>
                </w:p>
              </w:tc>
              <w:tc>
                <w:tcPr>
                  <w:tcW w:w="552" w:type="pct"/>
                  <w:tcBorders>
                    <w:tl2br w:val="nil"/>
                    <w:tr2bl w:val="nil"/>
                  </w:tcBorders>
                  <w:noWrap w:val="0"/>
                  <w:vAlign w:val="center"/>
                </w:tcPr>
                <w:p>
                  <w:pPr>
                    <w:pStyle w:val="184"/>
                    <w:rPr>
                      <w:rFonts w:ascii="Times New Roman" w:hAnsi="Times New Roman" w:eastAsia="宋体"/>
                      <w:b/>
                      <w:sz w:val="18"/>
                      <w:szCs w:val="18"/>
                    </w:rPr>
                  </w:pPr>
                  <w:r>
                    <w:rPr>
                      <w:rFonts w:ascii="Times New Roman" w:hAnsi="Times New Roman" w:eastAsia="宋体"/>
                      <w:b/>
                      <w:sz w:val="18"/>
                      <w:szCs w:val="18"/>
                    </w:rPr>
                    <w:t>所属城市</w:t>
                  </w:r>
                </w:p>
              </w:tc>
              <w:tc>
                <w:tcPr>
                  <w:tcW w:w="542" w:type="pct"/>
                  <w:tcBorders>
                    <w:tl2br w:val="nil"/>
                    <w:tr2bl w:val="nil"/>
                  </w:tcBorders>
                  <w:noWrap w:val="0"/>
                  <w:vAlign w:val="center"/>
                </w:tcPr>
                <w:p>
                  <w:pPr>
                    <w:pStyle w:val="184"/>
                    <w:rPr>
                      <w:rFonts w:ascii="Times New Roman" w:hAnsi="Times New Roman" w:eastAsia="宋体"/>
                      <w:b/>
                      <w:sz w:val="18"/>
                      <w:szCs w:val="18"/>
                    </w:rPr>
                  </w:pPr>
                  <w:r>
                    <w:rPr>
                      <w:rFonts w:ascii="Times New Roman" w:hAnsi="Times New Roman" w:eastAsia="宋体"/>
                      <w:b/>
                      <w:sz w:val="18"/>
                      <w:szCs w:val="18"/>
                    </w:rPr>
                    <w:t>所属区县</w:t>
                  </w:r>
                </w:p>
              </w:tc>
              <w:tc>
                <w:tcPr>
                  <w:tcW w:w="1053" w:type="pct"/>
                  <w:tcBorders>
                    <w:tl2br w:val="nil"/>
                    <w:tr2bl w:val="nil"/>
                  </w:tcBorders>
                  <w:noWrap w:val="0"/>
                  <w:vAlign w:val="center"/>
                </w:tcPr>
                <w:p>
                  <w:pPr>
                    <w:pStyle w:val="184"/>
                    <w:rPr>
                      <w:rFonts w:ascii="Times New Roman" w:hAnsi="Times New Roman" w:eastAsia="宋体"/>
                      <w:b/>
                      <w:sz w:val="18"/>
                      <w:szCs w:val="18"/>
                    </w:rPr>
                  </w:pPr>
                  <w:r>
                    <w:rPr>
                      <w:rFonts w:ascii="Times New Roman" w:hAnsi="Times New Roman" w:eastAsia="宋体"/>
                      <w:b/>
                      <w:sz w:val="18"/>
                      <w:szCs w:val="18"/>
                    </w:rPr>
                    <w:t>准入清单类型</w:t>
                  </w:r>
                </w:p>
              </w:tc>
              <w:tc>
                <w:tcPr>
                  <w:tcW w:w="1140" w:type="pct"/>
                  <w:tcBorders>
                    <w:tl2br w:val="nil"/>
                    <w:tr2bl w:val="nil"/>
                  </w:tcBorders>
                  <w:noWrap w:val="0"/>
                  <w:vAlign w:val="center"/>
                </w:tcPr>
                <w:p>
                  <w:pPr>
                    <w:pStyle w:val="184"/>
                    <w:rPr>
                      <w:rFonts w:ascii="Times New Roman" w:hAnsi="Times New Roman" w:eastAsia="宋体"/>
                      <w:b/>
                      <w:sz w:val="18"/>
                      <w:szCs w:val="18"/>
                    </w:rPr>
                  </w:pPr>
                  <w:r>
                    <w:rPr>
                      <w:rFonts w:ascii="Times New Roman" w:hAnsi="Times New Roman" w:eastAsia="宋体"/>
                      <w:b/>
                      <w:sz w:val="18"/>
                      <w:szCs w:val="18"/>
                    </w:rPr>
                    <w:t>管控类型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1" w:hRule="atLeast"/>
                <w:tblHeader/>
                <w:jc w:val="center"/>
              </w:trPr>
              <w:tc>
                <w:tcPr>
                  <w:tcW w:w="686"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ZH51110220001</w:t>
                  </w:r>
                </w:p>
              </w:tc>
              <w:tc>
                <w:tcPr>
                  <w:tcW w:w="1024"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市中区中心城区</w:t>
                  </w:r>
                </w:p>
              </w:tc>
              <w:tc>
                <w:tcPr>
                  <w:tcW w:w="552"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乐山市</w:t>
                  </w:r>
                </w:p>
              </w:tc>
              <w:tc>
                <w:tcPr>
                  <w:tcW w:w="542"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市中区</w:t>
                  </w:r>
                </w:p>
              </w:tc>
              <w:tc>
                <w:tcPr>
                  <w:tcW w:w="1053"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环境管控单元</w:t>
                  </w:r>
                </w:p>
              </w:tc>
              <w:tc>
                <w:tcPr>
                  <w:tcW w:w="1140"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环境综合管控单元城镇重点管控单元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blHeader/>
                <w:jc w:val="center"/>
              </w:trPr>
              <w:tc>
                <w:tcPr>
                  <w:tcW w:w="686"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YS5111022220012</w:t>
                  </w:r>
                </w:p>
              </w:tc>
              <w:tc>
                <w:tcPr>
                  <w:tcW w:w="1024"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大渡河市中区李码头控制单元</w:t>
                  </w:r>
                </w:p>
              </w:tc>
              <w:tc>
                <w:tcPr>
                  <w:tcW w:w="552"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乐山市</w:t>
                  </w:r>
                </w:p>
              </w:tc>
              <w:tc>
                <w:tcPr>
                  <w:tcW w:w="542"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市中区</w:t>
                  </w:r>
                </w:p>
              </w:tc>
              <w:tc>
                <w:tcPr>
                  <w:tcW w:w="1053"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水环境管控分区</w:t>
                  </w:r>
                </w:p>
              </w:tc>
              <w:tc>
                <w:tcPr>
                  <w:tcW w:w="1140"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水环境城镇生活污染重点管控区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2" w:hRule="atLeast"/>
                <w:tblHeader/>
                <w:jc w:val="center"/>
              </w:trPr>
              <w:tc>
                <w:tcPr>
                  <w:tcW w:w="686"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YS5111022340001</w:t>
                  </w:r>
                </w:p>
              </w:tc>
              <w:tc>
                <w:tcPr>
                  <w:tcW w:w="1024"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乐山市市中区大气环境受体敏感重点管控区</w:t>
                  </w:r>
                </w:p>
              </w:tc>
              <w:tc>
                <w:tcPr>
                  <w:tcW w:w="552"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乐山市</w:t>
                  </w:r>
                </w:p>
              </w:tc>
              <w:tc>
                <w:tcPr>
                  <w:tcW w:w="542"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市中区</w:t>
                  </w:r>
                </w:p>
              </w:tc>
              <w:tc>
                <w:tcPr>
                  <w:tcW w:w="1053"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大气环境管控分区</w:t>
                  </w:r>
                </w:p>
              </w:tc>
              <w:tc>
                <w:tcPr>
                  <w:tcW w:w="1140"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大气环境受体敏感重点管控区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cantSplit/>
                <w:trHeight w:val="138" w:hRule="atLeast"/>
                <w:tblHeader/>
                <w:jc w:val="center"/>
              </w:trPr>
              <w:tc>
                <w:tcPr>
                  <w:tcW w:w="686"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YS5111022540006</w:t>
                  </w:r>
                </w:p>
              </w:tc>
              <w:tc>
                <w:tcPr>
                  <w:tcW w:w="1024"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市中区禁燃区</w:t>
                  </w:r>
                </w:p>
              </w:tc>
              <w:tc>
                <w:tcPr>
                  <w:tcW w:w="552"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乐山市</w:t>
                  </w:r>
                </w:p>
              </w:tc>
              <w:tc>
                <w:tcPr>
                  <w:tcW w:w="542"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市中区</w:t>
                  </w:r>
                </w:p>
              </w:tc>
              <w:tc>
                <w:tcPr>
                  <w:tcW w:w="1053"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自然资源管控分区</w:t>
                  </w:r>
                </w:p>
              </w:tc>
              <w:tc>
                <w:tcPr>
                  <w:tcW w:w="1140" w:type="pct"/>
                  <w:tcBorders>
                    <w:tl2br w:val="nil"/>
                    <w:tr2bl w:val="nil"/>
                  </w:tcBorders>
                  <w:noWrap w:val="0"/>
                  <w:vAlign w:val="center"/>
                </w:tcPr>
                <w:p>
                  <w:pPr>
                    <w:jc w:val="center"/>
                    <w:rPr>
                      <w:rFonts w:ascii="Times New Roman" w:hAnsi="Times New Roman" w:eastAsia="宋体"/>
                      <w:kern w:val="2"/>
                      <w:sz w:val="18"/>
                      <w:szCs w:val="18"/>
                    </w:rPr>
                  </w:pPr>
                  <w:r>
                    <w:rPr>
                      <w:rFonts w:ascii="Times New Roman" w:hAnsi="Times New Roman" w:eastAsia="宋体"/>
                      <w:kern w:val="2"/>
                      <w:sz w:val="18"/>
                      <w:szCs w:val="18"/>
                    </w:rPr>
                    <w:t>高污染燃料禁燃区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blHeader/>
                <w:jc w:val="center"/>
              </w:trPr>
              <w:tc>
                <w:tcPr>
                  <w:tcW w:w="686" w:type="pct"/>
                  <w:tcBorders>
                    <w:tl2br w:val="nil"/>
                    <w:tr2bl w:val="nil"/>
                  </w:tcBorders>
                  <w:noWrap w:val="0"/>
                  <w:vAlign w:val="center"/>
                </w:tcPr>
                <w:p>
                  <w:pPr>
                    <w:jc w:val="center"/>
                    <w:rPr>
                      <w:rFonts w:ascii="Times New Roman" w:hAnsi="Times New Roman" w:eastAsia="宋体"/>
                      <w:kern w:val="2"/>
                      <w:sz w:val="18"/>
                      <w:szCs w:val="18"/>
                      <w:lang w:val="en-US" w:eastAsia="zh-CN"/>
                    </w:rPr>
                  </w:pPr>
                  <w:r>
                    <w:rPr>
                      <w:rFonts w:ascii="Times New Roman" w:hAnsi="Times New Roman" w:eastAsia="宋体"/>
                      <w:kern w:val="2"/>
                      <w:sz w:val="18"/>
                      <w:szCs w:val="18"/>
                    </w:rPr>
                    <w:t>YS5111022550001</w:t>
                  </w:r>
                </w:p>
              </w:tc>
              <w:tc>
                <w:tcPr>
                  <w:tcW w:w="1024" w:type="pct"/>
                  <w:tcBorders>
                    <w:tl2br w:val="nil"/>
                    <w:tr2bl w:val="nil"/>
                  </w:tcBorders>
                  <w:noWrap w:val="0"/>
                  <w:vAlign w:val="center"/>
                </w:tcPr>
                <w:p>
                  <w:pPr>
                    <w:jc w:val="center"/>
                    <w:rPr>
                      <w:rFonts w:ascii="Times New Roman" w:hAnsi="Times New Roman" w:eastAsia="宋体"/>
                      <w:kern w:val="2"/>
                      <w:sz w:val="18"/>
                      <w:szCs w:val="18"/>
                      <w:lang w:val="en-US" w:eastAsia="zh-CN"/>
                    </w:rPr>
                  </w:pPr>
                  <w:r>
                    <w:rPr>
                      <w:rFonts w:ascii="Times New Roman" w:hAnsi="Times New Roman" w:eastAsia="宋体"/>
                      <w:kern w:val="2"/>
                      <w:sz w:val="18"/>
                      <w:szCs w:val="18"/>
                    </w:rPr>
                    <w:t>市中区自然资源重点管控区</w:t>
                  </w:r>
                </w:p>
              </w:tc>
              <w:tc>
                <w:tcPr>
                  <w:tcW w:w="552" w:type="pct"/>
                  <w:tcBorders>
                    <w:tl2br w:val="nil"/>
                    <w:tr2bl w:val="nil"/>
                  </w:tcBorders>
                  <w:noWrap w:val="0"/>
                  <w:vAlign w:val="center"/>
                </w:tcPr>
                <w:p>
                  <w:pPr>
                    <w:jc w:val="center"/>
                    <w:rPr>
                      <w:rFonts w:ascii="Times New Roman" w:hAnsi="Times New Roman" w:eastAsia="宋体"/>
                      <w:kern w:val="2"/>
                      <w:sz w:val="18"/>
                      <w:szCs w:val="18"/>
                      <w:lang w:val="en-US" w:eastAsia="zh-CN"/>
                    </w:rPr>
                  </w:pPr>
                  <w:r>
                    <w:rPr>
                      <w:rFonts w:ascii="Times New Roman" w:hAnsi="Times New Roman" w:eastAsia="宋体"/>
                      <w:kern w:val="2"/>
                      <w:sz w:val="18"/>
                      <w:szCs w:val="18"/>
                    </w:rPr>
                    <w:t>乐山市</w:t>
                  </w:r>
                </w:p>
              </w:tc>
              <w:tc>
                <w:tcPr>
                  <w:tcW w:w="542" w:type="pct"/>
                  <w:tcBorders>
                    <w:tl2br w:val="nil"/>
                    <w:tr2bl w:val="nil"/>
                  </w:tcBorders>
                  <w:noWrap w:val="0"/>
                  <w:vAlign w:val="center"/>
                </w:tcPr>
                <w:p>
                  <w:pPr>
                    <w:jc w:val="center"/>
                    <w:rPr>
                      <w:rFonts w:ascii="Times New Roman" w:hAnsi="Times New Roman" w:eastAsia="宋体"/>
                      <w:kern w:val="2"/>
                      <w:sz w:val="18"/>
                      <w:szCs w:val="18"/>
                      <w:lang w:val="en-US" w:eastAsia="zh-CN"/>
                    </w:rPr>
                  </w:pPr>
                  <w:r>
                    <w:rPr>
                      <w:rFonts w:ascii="Times New Roman" w:hAnsi="Times New Roman" w:eastAsia="宋体"/>
                      <w:kern w:val="2"/>
                      <w:sz w:val="18"/>
                      <w:szCs w:val="18"/>
                    </w:rPr>
                    <w:t>市中区</w:t>
                  </w:r>
                </w:p>
              </w:tc>
              <w:tc>
                <w:tcPr>
                  <w:tcW w:w="1053" w:type="pct"/>
                  <w:tcBorders>
                    <w:tl2br w:val="nil"/>
                    <w:tr2bl w:val="nil"/>
                  </w:tcBorders>
                  <w:noWrap w:val="0"/>
                  <w:vAlign w:val="center"/>
                </w:tcPr>
                <w:p>
                  <w:pPr>
                    <w:jc w:val="center"/>
                    <w:rPr>
                      <w:rFonts w:ascii="Times New Roman" w:hAnsi="Times New Roman" w:eastAsia="宋体"/>
                      <w:kern w:val="2"/>
                      <w:sz w:val="18"/>
                      <w:szCs w:val="18"/>
                      <w:lang w:val="en-US" w:eastAsia="zh-CN"/>
                    </w:rPr>
                  </w:pPr>
                  <w:r>
                    <w:rPr>
                      <w:rFonts w:ascii="Times New Roman" w:hAnsi="Times New Roman" w:eastAsia="宋体"/>
                      <w:kern w:val="2"/>
                      <w:sz w:val="18"/>
                      <w:szCs w:val="18"/>
                    </w:rPr>
                    <w:t>自然资源管控分区</w:t>
                  </w:r>
                </w:p>
              </w:tc>
              <w:tc>
                <w:tcPr>
                  <w:tcW w:w="1140" w:type="pct"/>
                  <w:tcBorders>
                    <w:tl2br w:val="nil"/>
                    <w:tr2bl w:val="nil"/>
                  </w:tcBorders>
                  <w:noWrap w:val="0"/>
                  <w:vAlign w:val="center"/>
                </w:tcPr>
                <w:p>
                  <w:pPr>
                    <w:jc w:val="center"/>
                    <w:rPr>
                      <w:rFonts w:ascii="Times New Roman" w:hAnsi="Times New Roman" w:eastAsia="宋体"/>
                      <w:kern w:val="2"/>
                      <w:sz w:val="18"/>
                      <w:szCs w:val="18"/>
                      <w:lang w:val="en-US" w:eastAsia="zh-CN"/>
                    </w:rPr>
                  </w:pPr>
                  <w:r>
                    <w:rPr>
                      <w:rFonts w:ascii="Times New Roman" w:hAnsi="Times New Roman" w:eastAsia="宋体"/>
                      <w:kern w:val="2"/>
                      <w:sz w:val="18"/>
                      <w:szCs w:val="18"/>
                    </w:rPr>
                    <w:t>自然资源重点管控区</w:t>
                  </w:r>
                </w:p>
              </w:tc>
            </w:tr>
          </w:tbl>
          <w:p>
            <w:pPr>
              <w:wordWrap w:val="0"/>
              <w:autoSpaceDE w:val="0"/>
              <w:autoSpaceDN w:val="0"/>
              <w:adjustRightInd w:val="0"/>
              <w:spacing w:line="240" w:lineRule="auto"/>
              <w:jc w:val="center"/>
              <w:rPr>
                <w:rFonts w:hint="eastAsia" w:ascii="Times New Roman" w:hAnsi="Times New Roman" w:eastAsia="宋体"/>
                <w:lang w:eastAsia="zh-CN"/>
              </w:rPr>
            </w:pPr>
            <w:r>
              <w:rPr>
                <w:rFonts w:ascii="Times New Roman" w:hAnsi="Times New Roman" w:eastAsia="宋体"/>
              </w:rPr>
              <mc:AlternateContent>
                <mc:Choice Requires="wps">
                  <w:drawing>
                    <wp:anchor distT="0" distB="0" distL="114300" distR="114300" simplePos="0" relativeHeight="251661312" behindDoc="0" locked="0" layoutInCell="1" allowOverlap="1">
                      <wp:simplePos x="0" y="0"/>
                      <wp:positionH relativeFrom="column">
                        <wp:posOffset>1134110</wp:posOffset>
                      </wp:positionH>
                      <wp:positionV relativeFrom="paragraph">
                        <wp:posOffset>1129665</wp:posOffset>
                      </wp:positionV>
                      <wp:extent cx="887095" cy="269875"/>
                      <wp:effectExtent l="4445" t="5080" r="441960" b="86995"/>
                      <wp:wrapNone/>
                      <wp:docPr id="142" name="矩形标注 142"/>
                      <wp:cNvGraphicFramePr/>
                      <a:graphic xmlns:a="http://schemas.openxmlformats.org/drawingml/2006/main">
                        <a:graphicData uri="http://schemas.microsoft.com/office/word/2010/wordprocessingShape">
                          <wps:wsp>
                            <wps:cNvSpPr/>
                            <wps:spPr>
                              <a:xfrm>
                                <a:off x="0" y="0"/>
                                <a:ext cx="887095" cy="269875"/>
                              </a:xfrm>
                              <a:prstGeom prst="wedgeRectCallout">
                                <a:avLst>
                                  <a:gd name="adj1" fmla="val 94236"/>
                                  <a:gd name="adj2" fmla="val 73060"/>
                                </a:avLst>
                              </a:prstGeom>
                              <a:noFill/>
                              <a:ln w="9525" cap="flat" cmpd="sng">
                                <a:solidFill>
                                  <a:srgbClr val="000000"/>
                                </a:solidFill>
                                <a:prstDash val="solid"/>
                                <a:miter/>
                                <a:headEnd type="none" w="med" len="med"/>
                                <a:tailEnd type="none" w="med" len="med"/>
                              </a:ln>
                            </wps:spPr>
                            <wps:txbx>
                              <w:txbxContent>
                                <w:p>
                                  <w:pPr>
                                    <w:rPr>
                                      <w:rFonts w:hint="eastAsia"/>
                                      <w:color w:val="FF0000"/>
                                      <w:szCs w:val="21"/>
                                    </w:rPr>
                                  </w:pPr>
                                  <w:r>
                                    <w:rPr>
                                      <w:rFonts w:hint="eastAsia"/>
                                      <w:color w:val="FF0000"/>
                                      <w:szCs w:val="21"/>
                                    </w:rPr>
                                    <w:t>项目所在地</w:t>
                                  </w:r>
                                </w:p>
                              </w:txbxContent>
                            </wps:txbx>
                            <wps:bodyPr upright="1"/>
                          </wps:wsp>
                        </a:graphicData>
                      </a:graphic>
                    </wp:anchor>
                  </w:drawing>
                </mc:Choice>
                <mc:Fallback>
                  <w:pict>
                    <v:shape id="_x0000_s1026" o:spid="_x0000_s1026" o:spt="61" type="#_x0000_t61" style="position:absolute;left:0pt;margin-left:89.3pt;margin-top:88.95pt;height:21.25pt;width:69.85pt;z-index:251661312;mso-width-relative:page;mso-height-relative:page;" filled="f" stroked="t" coordsize="21600,21600" o:gfxdata="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UWSwj9oAAAALAQAADwAAAAAAAAABACAAAAAiAAAAZHJzL2Rvd25y&#10;ZXYueG1sUEsBAhQAFAAAAAgAh07iQGqz+u41AgAAZgQAAA4AAAAAAAAAAQAgAAAAKQEAAGRycy9l&#10;Mm9Eb2MueG1sUEsFBgAAAAAGAAYAWQEAANAFAAAAAA==&#10;" adj="31155,26581">
                      <v:fill on="f" focussize="0,0"/>
                      <v:stroke color="#000000" joinstyle="miter"/>
                      <v:imagedata o:title=""/>
                      <o:lock v:ext="edit" aspectratio="f"/>
                      <v:textbox>
                        <w:txbxContent>
                          <w:p>
                            <w:pPr>
                              <w:rPr>
                                <w:rFonts w:hint="eastAsia"/>
                                <w:color w:val="FF0000"/>
                                <w:szCs w:val="21"/>
                              </w:rPr>
                            </w:pPr>
                            <w:r>
                              <w:rPr>
                                <w:rFonts w:hint="eastAsia"/>
                                <w:color w:val="FF0000"/>
                                <w:szCs w:val="21"/>
                              </w:rPr>
                              <w:t>项目所在地</w:t>
                            </w:r>
                          </w:p>
                        </w:txbxContent>
                      </v:textbox>
                    </v:shape>
                  </w:pict>
                </mc:Fallback>
              </mc:AlternateContent>
            </w:r>
            <w:r>
              <w:rPr>
                <w:rFonts w:hint="eastAsia" w:ascii="Times New Roman" w:hAnsi="Times New Roman" w:eastAsia="宋体"/>
                <w:lang w:eastAsia="zh-CN"/>
              </w:rPr>
              <w:drawing>
                <wp:inline distT="0" distB="0" distL="114300" distR="114300">
                  <wp:extent cx="4511040" cy="2592070"/>
                  <wp:effectExtent l="0" t="0" r="3810" b="17780"/>
                  <wp:docPr id="143" name="图片 12" descr="四川省三线一单管控单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2" descr="四川省三线一单管控单元图"/>
                          <pic:cNvPicPr>
                            <a:picLocks noChangeAspect="1"/>
                          </pic:cNvPicPr>
                        </pic:nvPicPr>
                        <pic:blipFill>
                          <a:blip r:embed="rId18"/>
                          <a:stretch>
                            <a:fillRect/>
                          </a:stretch>
                        </pic:blipFill>
                        <pic:spPr>
                          <a:xfrm>
                            <a:off x="0" y="0"/>
                            <a:ext cx="4511040" cy="2592070"/>
                          </a:xfrm>
                          <a:prstGeom prst="rect">
                            <a:avLst/>
                          </a:prstGeom>
                          <a:noFill/>
                          <a:ln>
                            <a:noFill/>
                          </a:ln>
                        </pic:spPr>
                      </pic:pic>
                    </a:graphicData>
                  </a:graphic>
                </wp:inline>
              </w:drawing>
            </w:r>
          </w:p>
          <w:p>
            <w:pPr>
              <w:wordWrap w:val="0"/>
              <w:autoSpaceDE w:val="0"/>
              <w:autoSpaceDN w:val="0"/>
              <w:adjustRightInd w:val="0"/>
              <w:jc w:val="center"/>
              <w:rPr>
                <w:rFonts w:ascii="Times New Roman" w:hAnsi="Times New Roman" w:eastAsia="宋体"/>
              </w:rPr>
            </w:pPr>
            <w:r>
              <w:rPr>
                <w:rFonts w:ascii="Times New Roman" w:hAnsi="Times New Roman" w:eastAsia="宋体"/>
                <w:b/>
                <w:bCs/>
                <w:color w:val="000000"/>
                <w:szCs w:val="21"/>
              </w:rPr>
              <w:t xml:space="preserve">图1-3  </w:t>
            </w:r>
            <w:r>
              <w:rPr>
                <w:rFonts w:hint="eastAsia" w:ascii="Times New Roman" w:hAnsi="Times New Roman" w:eastAsia="宋体"/>
                <w:b/>
                <w:bCs/>
                <w:color w:val="000000"/>
                <w:szCs w:val="21"/>
                <w:lang w:eastAsia="zh-CN"/>
              </w:rPr>
              <w:t>四川省</w:t>
            </w:r>
            <w:r>
              <w:rPr>
                <w:rFonts w:ascii="Times New Roman" w:hAnsi="Times New Roman" w:eastAsia="宋体"/>
                <w:b/>
                <w:bCs/>
                <w:color w:val="000000"/>
                <w:szCs w:val="21"/>
              </w:rPr>
              <w:t>环境管控单元</w:t>
            </w:r>
            <w:r>
              <w:rPr>
                <w:rFonts w:hint="eastAsia" w:ascii="Times New Roman" w:hAnsi="Times New Roman" w:eastAsia="宋体"/>
                <w:b/>
                <w:bCs/>
                <w:color w:val="000000"/>
                <w:szCs w:val="21"/>
                <w:lang w:eastAsia="zh-CN"/>
              </w:rPr>
              <w:t>分布</w:t>
            </w:r>
            <w:r>
              <w:rPr>
                <w:rFonts w:ascii="Times New Roman" w:hAnsi="Times New Roman" w:eastAsia="宋体"/>
                <w:b/>
                <w:bCs/>
                <w:color w:val="000000"/>
                <w:szCs w:val="21"/>
              </w:rPr>
              <w:t>图</w:t>
            </w:r>
          </w:p>
          <w:p>
            <w:pPr>
              <w:wordWrap w:val="0"/>
              <w:autoSpaceDE w:val="0"/>
              <w:autoSpaceDN w:val="0"/>
              <w:adjustRightInd w:val="0"/>
              <w:jc w:val="center"/>
              <w:rPr>
                <w:rFonts w:ascii="Times New Roman" w:hAnsi="Times New Roman" w:eastAsia="宋体"/>
                <w:b/>
                <w:color w:val="000000"/>
                <w:kern w:val="0"/>
                <w:szCs w:val="21"/>
              </w:rPr>
            </w:pPr>
            <w:r>
              <w:rPr>
                <w:rFonts w:ascii="Times New Roman" w:hAnsi="Times New Roman" w:eastAsia="宋体"/>
              </w:rPr>
              <mc:AlternateContent>
                <mc:Choice Requires="wps">
                  <w:drawing>
                    <wp:anchor distT="0" distB="0" distL="114300" distR="114300" simplePos="0" relativeHeight="251660288" behindDoc="0" locked="0" layoutInCell="1" allowOverlap="1">
                      <wp:simplePos x="0" y="0"/>
                      <wp:positionH relativeFrom="column">
                        <wp:posOffset>1099185</wp:posOffset>
                      </wp:positionH>
                      <wp:positionV relativeFrom="paragraph">
                        <wp:posOffset>678815</wp:posOffset>
                      </wp:positionV>
                      <wp:extent cx="887095" cy="269875"/>
                      <wp:effectExtent l="4445" t="5080" r="441960" b="86995"/>
                      <wp:wrapNone/>
                      <wp:docPr id="144" name="矩形标注 144"/>
                      <wp:cNvGraphicFramePr/>
                      <a:graphic xmlns:a="http://schemas.openxmlformats.org/drawingml/2006/main">
                        <a:graphicData uri="http://schemas.microsoft.com/office/word/2010/wordprocessingShape">
                          <wps:wsp>
                            <wps:cNvSpPr/>
                            <wps:spPr>
                              <a:xfrm>
                                <a:off x="0" y="0"/>
                                <a:ext cx="887095" cy="269875"/>
                              </a:xfrm>
                              <a:prstGeom prst="wedgeRectCallout">
                                <a:avLst>
                                  <a:gd name="adj1" fmla="val 94236"/>
                                  <a:gd name="adj2" fmla="val 73060"/>
                                </a:avLst>
                              </a:prstGeom>
                              <a:noFill/>
                              <a:ln w="9525" cap="flat" cmpd="sng">
                                <a:solidFill>
                                  <a:srgbClr val="000000"/>
                                </a:solidFill>
                                <a:prstDash val="solid"/>
                                <a:miter/>
                                <a:headEnd type="none" w="med" len="med"/>
                                <a:tailEnd type="none" w="med" len="med"/>
                              </a:ln>
                            </wps:spPr>
                            <wps:txbx>
                              <w:txbxContent>
                                <w:p>
                                  <w:pPr>
                                    <w:rPr>
                                      <w:rFonts w:hint="eastAsia"/>
                                      <w:color w:val="FF0000"/>
                                      <w:szCs w:val="21"/>
                                    </w:rPr>
                                  </w:pPr>
                                  <w:r>
                                    <w:rPr>
                                      <w:rFonts w:hint="eastAsia"/>
                                      <w:color w:val="FF0000"/>
                                      <w:szCs w:val="21"/>
                                    </w:rPr>
                                    <w:t>项目所在地</w:t>
                                  </w:r>
                                </w:p>
                              </w:txbxContent>
                            </wps:txbx>
                            <wps:bodyPr upright="1"/>
                          </wps:wsp>
                        </a:graphicData>
                      </a:graphic>
                    </wp:anchor>
                  </w:drawing>
                </mc:Choice>
                <mc:Fallback>
                  <w:pict>
                    <v:shape id="_x0000_s1026" o:spid="_x0000_s1026" o:spt="61" type="#_x0000_t61" style="position:absolute;left:0pt;margin-left:86.55pt;margin-top:53.45pt;height:21.25pt;width:69.85pt;z-index:251660288;mso-width-relative:page;mso-height-relative:page;" filled="f" stroked="t" coordsize="21600,21600" o:gfxdata="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Ef+AYLYAAAACwEAAA8AAAAAAAAAAQAgAAAAIgAAAGRycy9kb3ducmV2&#10;LnhtbFBLAQIUABQAAAAIAIdO4kAm9/9yNQIAAGYEAAAOAAAAAAAAAAEAIAAAACcBAABkcnMvZTJv&#10;RG9jLnhtbFBLBQYAAAAABgAGAFkBAADOBQAAAAA=&#10;" adj="31155,26581">
                      <v:fill on="f" focussize="0,0"/>
                      <v:stroke color="#000000" joinstyle="miter"/>
                      <v:imagedata o:title=""/>
                      <o:lock v:ext="edit" aspectratio="f"/>
                      <v:textbox>
                        <w:txbxContent>
                          <w:p>
                            <w:pPr>
                              <w:rPr>
                                <w:rFonts w:hint="eastAsia"/>
                                <w:color w:val="FF0000"/>
                                <w:szCs w:val="21"/>
                              </w:rPr>
                            </w:pPr>
                            <w:r>
                              <w:rPr>
                                <w:rFonts w:hint="eastAsia"/>
                                <w:color w:val="FF0000"/>
                                <w:szCs w:val="21"/>
                              </w:rPr>
                              <w:t>项目所在地</w:t>
                            </w:r>
                          </w:p>
                        </w:txbxContent>
                      </v:textbox>
                    </v:shape>
                  </w:pict>
                </mc:Fallback>
              </mc:AlternateContent>
            </w:r>
            <w:r>
              <w:rPr>
                <w:rFonts w:ascii="Times New Roman" w:hAnsi="Times New Roman" w:eastAsia="宋体"/>
              </w:rPr>
              <w:drawing>
                <wp:inline distT="0" distB="0" distL="114300" distR="114300">
                  <wp:extent cx="5074920" cy="3275965"/>
                  <wp:effectExtent l="0" t="0" r="11430" b="635"/>
                  <wp:docPr id="145" name="图片 13" descr="乐山市环境管控单元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3" descr="乐山市环境管控单元分布图"/>
                          <pic:cNvPicPr>
                            <a:picLocks noChangeAspect="1"/>
                          </pic:cNvPicPr>
                        </pic:nvPicPr>
                        <pic:blipFill>
                          <a:blip r:embed="rId19"/>
                          <a:stretch>
                            <a:fillRect/>
                          </a:stretch>
                        </pic:blipFill>
                        <pic:spPr>
                          <a:xfrm>
                            <a:off x="0" y="0"/>
                            <a:ext cx="5074920" cy="3275965"/>
                          </a:xfrm>
                          <a:prstGeom prst="rect">
                            <a:avLst/>
                          </a:prstGeom>
                          <a:noFill/>
                          <a:ln>
                            <a:noFill/>
                          </a:ln>
                        </pic:spPr>
                      </pic:pic>
                    </a:graphicData>
                  </a:graphic>
                </wp:inline>
              </w:drawing>
            </w:r>
          </w:p>
          <w:p>
            <w:pPr>
              <w:tabs>
                <w:tab w:val="right" w:pos="8306"/>
              </w:tabs>
              <w:spacing w:line="240" w:lineRule="auto"/>
              <w:jc w:val="center"/>
              <w:rPr>
                <w:rFonts w:ascii="Times New Roman" w:hAnsi="Times New Roman" w:eastAsia="宋体"/>
                <w:b/>
                <w:bCs/>
                <w:color w:val="000000"/>
                <w:szCs w:val="21"/>
              </w:rPr>
            </w:pPr>
            <w:r>
              <w:rPr>
                <w:rFonts w:ascii="Times New Roman" w:hAnsi="Times New Roman" w:eastAsia="宋体"/>
                <w:b/>
                <w:bCs/>
                <w:color w:val="000000"/>
                <w:szCs w:val="21"/>
              </w:rPr>
              <w:t>图1-</w:t>
            </w:r>
            <w:r>
              <w:rPr>
                <w:rFonts w:hint="eastAsia" w:ascii="Times New Roman" w:hAnsi="Times New Roman" w:eastAsia="宋体"/>
                <w:b/>
                <w:bCs/>
                <w:color w:val="000000"/>
                <w:szCs w:val="21"/>
                <w:lang w:val="en-US" w:eastAsia="zh-CN"/>
              </w:rPr>
              <w:t>4</w:t>
            </w:r>
            <w:r>
              <w:rPr>
                <w:rFonts w:ascii="Times New Roman" w:hAnsi="Times New Roman" w:eastAsia="宋体"/>
                <w:b/>
                <w:bCs/>
                <w:color w:val="000000"/>
                <w:szCs w:val="21"/>
              </w:rPr>
              <w:t xml:space="preserve">  乐山市环境管控单元图</w:t>
            </w:r>
          </w:p>
          <w:p>
            <w:pPr>
              <w:tabs>
                <w:tab w:val="right" w:pos="8306"/>
              </w:tabs>
              <w:spacing w:line="240" w:lineRule="auto"/>
              <w:jc w:val="center"/>
              <w:rPr>
                <w:rFonts w:ascii="Times New Roman" w:hAnsi="Times New Roman" w:eastAsia="宋体"/>
                <w:b/>
                <w:bCs/>
                <w:color w:val="000000"/>
                <w:szCs w:val="21"/>
              </w:rPr>
            </w:pPr>
            <w:r>
              <w:rPr>
                <w:rFonts w:hint="eastAsia" w:hAnsi="宋体"/>
                <w:sz w:val="24"/>
              </w:rPr>
              <mc:AlternateContent>
                <mc:Choice Requires="wps">
                  <w:drawing>
                    <wp:anchor distT="0" distB="0" distL="114300" distR="114300" simplePos="0" relativeHeight="251663360" behindDoc="0" locked="0" layoutInCell="1" allowOverlap="1">
                      <wp:simplePos x="0" y="0"/>
                      <wp:positionH relativeFrom="column">
                        <wp:posOffset>2945130</wp:posOffset>
                      </wp:positionH>
                      <wp:positionV relativeFrom="paragraph">
                        <wp:posOffset>422910</wp:posOffset>
                      </wp:positionV>
                      <wp:extent cx="914400" cy="269240"/>
                      <wp:effectExtent l="379730" t="5080" r="20320" b="144780"/>
                      <wp:wrapNone/>
                      <wp:docPr id="146" name="圆角矩形标注 146"/>
                      <wp:cNvGraphicFramePr/>
                      <a:graphic xmlns:a="http://schemas.openxmlformats.org/drawingml/2006/main">
                        <a:graphicData uri="http://schemas.microsoft.com/office/word/2010/wordprocessingShape">
                          <wps:wsp>
                            <wps:cNvSpPr/>
                            <wps:spPr>
                              <a:xfrm>
                                <a:off x="0" y="0"/>
                                <a:ext cx="914400" cy="269240"/>
                              </a:xfrm>
                              <a:prstGeom prst="wedgeRoundRectCallout">
                                <a:avLst>
                                  <a:gd name="adj1" fmla="val -87356"/>
                                  <a:gd name="adj2" fmla="val 93398"/>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rPr>
                                      <w:b/>
                                    </w:rPr>
                                  </w:pPr>
                                  <w:r>
                                    <w:rPr>
                                      <w:rFonts w:hint="eastAsia"/>
                                      <w:b/>
                                    </w:rPr>
                                    <w:t>项目位置</w:t>
                                  </w:r>
                                </w:p>
                              </w:txbxContent>
                            </wps:txbx>
                            <wps:bodyPr upright="1"/>
                          </wps:wsp>
                        </a:graphicData>
                      </a:graphic>
                    </wp:anchor>
                  </w:drawing>
                </mc:Choice>
                <mc:Fallback>
                  <w:pict>
                    <v:shape id="_x0000_s1026" o:spid="_x0000_s1026" o:spt="62" type="#_x0000_t62" style="position:absolute;left:0pt;margin-left:231.9pt;margin-top:33.3pt;height:21.2pt;width:72pt;z-index:251663360;mso-width-relative:page;mso-height-relative:page;" fillcolor="#FFFFFF" filled="t" stroked="t" coordsize="21600,21600" o:gfxdata="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z5xDP9gAAAAK&#10;AQAADwAAAAAAAAABACAAAAAiAAAAZHJzL2Rvd25yZXYueG1sUEsBAhQAFAAAAAgAh07iQN84HH9V&#10;AgAAvwQAAA4AAAAAAAAAAQAgAAAAJwEAAGRycy9lMm9Eb2MueG1sUEsFBgAAAAAGAAYAWQEAAO4F&#10;AAAAAA==&#10;" adj="-8069,30974,14400">
                      <v:fill on="t" focussize="0,0"/>
                      <v:stroke color="#000000" joinstyle="miter"/>
                      <v:imagedata o:title=""/>
                      <o:lock v:ext="edit" aspectratio="f"/>
                      <v:textbox>
                        <w:txbxContent>
                          <w:p>
                            <w:pPr>
                              <w:rPr>
                                <w:b/>
                              </w:rPr>
                            </w:pPr>
                            <w:r>
                              <w:rPr>
                                <w:rFonts w:hint="eastAsia"/>
                                <w:b/>
                              </w:rPr>
                              <w:t>项目位置</w:t>
                            </w:r>
                          </w:p>
                        </w:txbxContent>
                      </v:textbox>
                    </v:shape>
                  </w:pict>
                </mc:Fallback>
              </mc:AlternateContent>
            </w:r>
            <w:r>
              <w:rPr>
                <w:rFonts w:hint="eastAsia" w:hAnsi="宋体"/>
                <w:sz w:val="24"/>
              </w:rPr>
              <w:drawing>
                <wp:inline distT="0" distB="0" distL="114300" distR="114300">
                  <wp:extent cx="4968240" cy="2453005"/>
                  <wp:effectExtent l="0" t="0" r="3810" b="4445"/>
                  <wp:docPr id="147" name="图片 14" descr="abb9ac784eb5ade4ea0d472f6232c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 descr="abb9ac784eb5ade4ea0d472f6232cc1"/>
                          <pic:cNvPicPr>
                            <a:picLocks noChangeAspect="1"/>
                          </pic:cNvPicPr>
                        </pic:nvPicPr>
                        <pic:blipFill>
                          <a:blip r:embed="rId20"/>
                          <a:srcRect t="6993" b="2937"/>
                          <a:stretch>
                            <a:fillRect/>
                          </a:stretch>
                        </pic:blipFill>
                        <pic:spPr>
                          <a:xfrm>
                            <a:off x="0" y="0"/>
                            <a:ext cx="4968240" cy="2453005"/>
                          </a:xfrm>
                          <a:prstGeom prst="rect">
                            <a:avLst/>
                          </a:prstGeom>
                          <a:noFill/>
                          <a:ln>
                            <a:noFill/>
                          </a:ln>
                        </pic:spPr>
                      </pic:pic>
                    </a:graphicData>
                  </a:graphic>
                </wp:inline>
              </w:drawing>
            </w:r>
          </w:p>
          <w:p>
            <w:pPr>
              <w:tabs>
                <w:tab w:val="right" w:pos="8306"/>
              </w:tabs>
              <w:spacing w:line="240" w:lineRule="auto"/>
              <w:jc w:val="center"/>
              <w:rPr>
                <w:rFonts w:ascii="Times New Roman" w:hAnsi="Times New Roman" w:eastAsia="宋体" w:cs="Times New Roman"/>
                <w:b/>
                <w:bCs/>
                <w:color w:val="000000"/>
                <w:szCs w:val="21"/>
              </w:rPr>
            </w:pPr>
            <w:r>
              <w:rPr>
                <w:rFonts w:hint="eastAsia" w:ascii="Times New Roman" w:hAnsi="Times New Roman" w:eastAsia="宋体" w:cs="Times New Roman"/>
                <w:b/>
                <w:bCs/>
                <w:color w:val="000000"/>
                <w:szCs w:val="21"/>
              </w:rPr>
              <w:t>图1-</w:t>
            </w:r>
            <w:r>
              <w:rPr>
                <w:rFonts w:hint="eastAsia" w:ascii="Times New Roman" w:hAnsi="Times New Roman" w:eastAsia="宋体" w:cs="Times New Roman"/>
                <w:b/>
                <w:bCs/>
                <w:color w:val="000000"/>
                <w:szCs w:val="21"/>
                <w:lang w:val="en-US" w:eastAsia="zh-CN"/>
              </w:rPr>
              <w:t xml:space="preserve">5 </w:t>
            </w:r>
            <w:r>
              <w:rPr>
                <w:rFonts w:hint="eastAsia" w:ascii="Times New Roman" w:hAnsi="Times New Roman" w:eastAsia="宋体" w:cs="Times New Roman"/>
                <w:b/>
                <w:bCs/>
                <w:color w:val="000000"/>
                <w:szCs w:val="21"/>
              </w:rPr>
              <w:t xml:space="preserve"> 本项目所在环境管控单元图</w:t>
            </w:r>
          </w:p>
          <w:p>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乐山市市中区总体生态环境管控要求如下表</w:t>
            </w:r>
            <w:r>
              <w:rPr>
                <w:rFonts w:ascii="Times New Roman" w:hAnsi="Times New Roman" w:eastAsia="宋体"/>
                <w:sz w:val="24"/>
              </w:rPr>
              <w:t>：</w:t>
            </w:r>
          </w:p>
          <w:p>
            <w:pPr>
              <w:autoSpaceDE w:val="0"/>
              <w:autoSpaceDN w:val="0"/>
              <w:adjustRightInd w:val="0"/>
              <w:snapToGrid w:val="0"/>
              <w:spacing w:line="240" w:lineRule="auto"/>
              <w:jc w:val="center"/>
              <w:rPr>
                <w:rFonts w:hint="eastAsia" w:ascii="Times New Roman" w:hAnsi="Times New Roman" w:eastAsia="宋体"/>
                <w:b/>
                <w:bCs/>
                <w:sz w:val="21"/>
                <w:szCs w:val="21"/>
              </w:rPr>
            </w:pPr>
            <w:r>
              <w:rPr>
                <w:rFonts w:ascii="Times New Roman" w:hAnsi="Times New Roman" w:eastAsia="宋体"/>
                <w:b/>
                <w:color w:val="000000"/>
                <w:sz w:val="21"/>
                <w:szCs w:val="21"/>
              </w:rPr>
              <w:t>表1-</w:t>
            </w:r>
            <w:r>
              <w:rPr>
                <w:rFonts w:hint="eastAsia" w:ascii="Times New Roman" w:hAnsi="Times New Roman" w:eastAsia="宋体"/>
                <w:b/>
                <w:color w:val="000000"/>
                <w:sz w:val="21"/>
                <w:szCs w:val="21"/>
                <w:lang w:val="en-US" w:eastAsia="zh-CN"/>
              </w:rPr>
              <w:t>3</w:t>
            </w:r>
            <w:r>
              <w:rPr>
                <w:rFonts w:ascii="Times New Roman" w:hAnsi="Times New Roman" w:eastAsia="宋体"/>
                <w:b/>
                <w:color w:val="000000"/>
                <w:sz w:val="21"/>
                <w:szCs w:val="21"/>
              </w:rPr>
              <w:t xml:space="preserve">  </w:t>
            </w:r>
            <w:r>
              <w:rPr>
                <w:rFonts w:hint="eastAsia" w:ascii="Times New Roman" w:hAnsi="Times New Roman" w:eastAsia="宋体"/>
                <w:b/>
                <w:bCs/>
                <w:sz w:val="21"/>
                <w:szCs w:val="21"/>
              </w:rPr>
              <w:t>与乐府发[2021]7号符合性分析</w:t>
            </w:r>
          </w:p>
          <w:tbl>
            <w:tblPr>
              <w:tblStyle w:val="41"/>
              <w:tblW w:w="82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2496"/>
              <w:gridCol w:w="8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935" w:type="dxa"/>
                  <w:tcBorders>
                    <w:bottom w:val="single" w:color="auto" w:sz="12" w:space="0"/>
                  </w:tcBorders>
                  <w:noWrap w:val="0"/>
                  <w:vAlign w:val="center"/>
                </w:tcPr>
                <w:p>
                  <w:pPr>
                    <w:adjustRightInd w:val="0"/>
                    <w:snapToGrid w:val="0"/>
                    <w:jc w:val="center"/>
                    <w:rPr>
                      <w:rFonts w:hint="eastAsia" w:hAnsi="宋体"/>
                      <w:szCs w:val="21"/>
                    </w:rPr>
                  </w:pPr>
                  <w:r>
                    <w:rPr>
                      <w:rFonts w:hint="eastAsia" w:hAnsi="宋体"/>
                      <w:szCs w:val="21"/>
                    </w:rPr>
                    <w:t>文件要求</w:t>
                  </w:r>
                </w:p>
              </w:tc>
              <w:tc>
                <w:tcPr>
                  <w:tcW w:w="2496" w:type="dxa"/>
                  <w:tcBorders>
                    <w:bottom w:val="single" w:color="auto" w:sz="12" w:space="0"/>
                  </w:tcBorders>
                  <w:noWrap w:val="0"/>
                  <w:vAlign w:val="center"/>
                </w:tcPr>
                <w:p>
                  <w:pPr>
                    <w:adjustRightInd w:val="0"/>
                    <w:snapToGrid w:val="0"/>
                    <w:jc w:val="center"/>
                    <w:rPr>
                      <w:rFonts w:hint="eastAsia" w:hAnsi="宋体"/>
                      <w:szCs w:val="21"/>
                    </w:rPr>
                  </w:pPr>
                  <w:r>
                    <w:rPr>
                      <w:rFonts w:hint="eastAsia" w:hAnsi="宋体"/>
                      <w:szCs w:val="21"/>
                    </w:rPr>
                    <w:t>本项目情况</w:t>
                  </w:r>
                </w:p>
              </w:tc>
              <w:tc>
                <w:tcPr>
                  <w:tcW w:w="867" w:type="dxa"/>
                  <w:tcBorders>
                    <w:bottom w:val="single" w:color="auto" w:sz="12" w:space="0"/>
                  </w:tcBorders>
                  <w:noWrap w:val="0"/>
                  <w:vAlign w:val="center"/>
                </w:tcPr>
                <w:p>
                  <w:pPr>
                    <w:adjustRightInd w:val="0"/>
                    <w:snapToGrid w:val="0"/>
                    <w:jc w:val="center"/>
                    <w:rPr>
                      <w:rFonts w:hint="eastAsia" w:hAnsi="宋体"/>
                      <w:szCs w:val="21"/>
                    </w:rPr>
                  </w:pPr>
                  <w:r>
                    <w:rPr>
                      <w:rFonts w:hint="eastAsia" w:hAnsi="宋体"/>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9" w:hRule="atLeast"/>
                <w:jc w:val="center"/>
              </w:trPr>
              <w:tc>
                <w:tcPr>
                  <w:tcW w:w="4935" w:type="dxa"/>
                  <w:tcBorders>
                    <w:top w:val="single" w:color="auto" w:sz="12" w:space="0"/>
                  </w:tcBorders>
                  <w:noWrap w:val="0"/>
                  <w:vAlign w:val="center"/>
                </w:tcPr>
                <w:p>
                  <w:pPr>
                    <w:adjustRightInd w:val="0"/>
                    <w:snapToGrid w:val="0"/>
                    <w:rPr>
                      <w:rFonts w:hint="eastAsia" w:hAnsi="宋体"/>
                      <w:szCs w:val="21"/>
                    </w:rPr>
                  </w:pPr>
                  <w:r>
                    <w:rPr>
                      <w:rFonts w:hint="eastAsia" w:hAnsi="宋体"/>
                      <w:szCs w:val="21"/>
                    </w:rPr>
                    <w:t>根据通知，将全市行政区域从生态环境保护角度划分为优先保护、重点管控和一般管控三类环境管控单元。</w:t>
                  </w:r>
                </w:p>
                <w:p>
                  <w:pPr>
                    <w:adjustRightInd w:val="0"/>
                    <w:snapToGrid w:val="0"/>
                    <w:rPr>
                      <w:rFonts w:hint="eastAsia" w:hAnsi="宋体"/>
                      <w:szCs w:val="21"/>
                    </w:rPr>
                  </w:pPr>
                  <w:r>
                    <w:rPr>
                      <w:rFonts w:hint="eastAsia" w:hAnsi="宋体"/>
                      <w:szCs w:val="21"/>
                    </w:rPr>
                    <w:t>1、优先保护单元。以生态环境保护为主的区域，全市划分优先保护单元26个，主要包括生态保护红线、自然保护地、饮用水水源保护区等，应以生态环境保护优先为原则，严格执行相关法律、法规要求，严守生态环境质量底线，确保生态环境功能不降低。</w:t>
                  </w:r>
                </w:p>
                <w:p>
                  <w:pPr>
                    <w:adjustRightInd w:val="0"/>
                    <w:snapToGrid w:val="0"/>
                    <w:rPr>
                      <w:rFonts w:hint="eastAsia" w:hAnsi="宋体"/>
                      <w:szCs w:val="21"/>
                    </w:rPr>
                  </w:pPr>
                  <w:r>
                    <w:rPr>
                      <w:rFonts w:hint="eastAsia" w:hAnsi="宋体"/>
                      <w:szCs w:val="21"/>
                    </w:rPr>
                    <w:t>2、重点管控单元。涉及水、大气、土壤、自然资源等资源环境要素重点管控的区域，全市划分重点管控单元33个，主要包括人口密集的城镇规划区和产业集聚的工业园区（工业集聚区）等，应不断提升资源利用效率，有针对性地加强污染物排放控制和环境风险防控，解决生态环境质量不达标、生态环境风险突出等问题，制定差别化的生态环境准入要求。对环境质量不达标区域，提出污染物削减比例要求；对环境质量达标区域，提出允许排放量建议指标。</w:t>
                  </w:r>
                </w:p>
                <w:p>
                  <w:pPr>
                    <w:adjustRightInd w:val="0"/>
                    <w:snapToGrid w:val="0"/>
                    <w:rPr>
                      <w:rFonts w:hint="eastAsia" w:hAnsi="宋体"/>
                      <w:szCs w:val="21"/>
                    </w:rPr>
                  </w:pPr>
                  <w:r>
                    <w:rPr>
                      <w:rFonts w:hint="eastAsia" w:hAnsi="宋体"/>
                      <w:szCs w:val="21"/>
                    </w:rPr>
                    <w:t>3、一般管控单元。除优先保护单元和重点管控单元之外的其他区域，全市共划分一般管控单元6个。执行区域生态环境保护的基本要求，重点加强农业、生活等领域污染治理。</w:t>
                  </w:r>
                </w:p>
              </w:tc>
              <w:tc>
                <w:tcPr>
                  <w:tcW w:w="2496" w:type="dxa"/>
                  <w:tcBorders>
                    <w:top w:val="single" w:color="auto" w:sz="12" w:space="0"/>
                  </w:tcBorders>
                  <w:noWrap w:val="0"/>
                  <w:vAlign w:val="center"/>
                </w:tcPr>
                <w:p>
                  <w:pPr>
                    <w:adjustRightInd w:val="0"/>
                    <w:snapToGrid w:val="0"/>
                    <w:rPr>
                      <w:rFonts w:hint="eastAsia" w:hAnsi="宋体"/>
                      <w:szCs w:val="21"/>
                    </w:rPr>
                  </w:pPr>
                  <w:r>
                    <w:rPr>
                      <w:rFonts w:hint="eastAsia" w:hAnsi="宋体"/>
                      <w:szCs w:val="21"/>
                    </w:rPr>
                    <w:t>根据乐山市环境管控单元图，本项目位于其中的重点管控单元</w:t>
                  </w:r>
                </w:p>
              </w:tc>
              <w:tc>
                <w:tcPr>
                  <w:tcW w:w="867" w:type="dxa"/>
                  <w:tcBorders>
                    <w:top w:val="single" w:color="auto" w:sz="12" w:space="0"/>
                  </w:tcBorders>
                  <w:noWrap w:val="0"/>
                  <w:vAlign w:val="center"/>
                </w:tcPr>
                <w:p>
                  <w:pPr>
                    <w:adjustRightInd w:val="0"/>
                    <w:snapToGrid w:val="0"/>
                    <w:jc w:val="center"/>
                    <w:rPr>
                      <w:rFonts w:hint="eastAsia" w:hAnsi="宋体"/>
                      <w:szCs w:val="21"/>
                    </w:rPr>
                  </w:pPr>
                  <w:r>
                    <w:rPr>
                      <w:rFonts w:hint="eastAsia" w:hAnsi="宋体"/>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0" w:hRule="atLeast"/>
                <w:jc w:val="center"/>
              </w:trPr>
              <w:tc>
                <w:tcPr>
                  <w:tcW w:w="4935" w:type="dxa"/>
                  <w:noWrap w:val="0"/>
                  <w:vAlign w:val="center"/>
                </w:tcPr>
                <w:p>
                  <w:pPr>
                    <w:adjustRightInd w:val="0"/>
                    <w:snapToGrid w:val="0"/>
                    <w:rPr>
                      <w:rFonts w:hint="eastAsia" w:hAnsi="宋体"/>
                      <w:szCs w:val="21"/>
                    </w:rPr>
                  </w:pPr>
                  <w:r>
                    <w:rPr>
                      <w:rFonts w:hint="eastAsia" w:hAnsi="宋体"/>
                      <w:szCs w:val="21"/>
                    </w:rPr>
                    <w:t>重点管控单元生态环境管控要求：重点管控单元中，应针对性地加强污染物排放控制和环境风险防控，解决生态环境质量不达标、生态环境风险突出等问题，制定差别化的生态环境准入要求。对环境质量不达标区域，提出污染物削减比例要求；对环境质量达标区域，提出允许排放量建议指标。</w:t>
                  </w:r>
                </w:p>
              </w:tc>
              <w:tc>
                <w:tcPr>
                  <w:tcW w:w="2496" w:type="dxa"/>
                  <w:noWrap w:val="0"/>
                  <w:vAlign w:val="center"/>
                </w:tcPr>
                <w:p>
                  <w:pPr>
                    <w:adjustRightInd w:val="0"/>
                    <w:snapToGrid w:val="0"/>
                    <w:rPr>
                      <w:rFonts w:hint="eastAsia" w:hAnsi="宋体"/>
                      <w:szCs w:val="21"/>
                    </w:rPr>
                  </w:pPr>
                  <w:r>
                    <w:rPr>
                      <w:rFonts w:hint="eastAsia" w:hAnsi="宋体"/>
                      <w:szCs w:val="21"/>
                    </w:rPr>
                    <w:t>本项目属于环境质量达标区域，本项目废水经院内污水处理站处理后进入</w:t>
                  </w:r>
                  <w:r>
                    <w:rPr>
                      <w:rFonts w:hint="eastAsia" w:hAnsi="宋体"/>
                      <w:szCs w:val="21"/>
                      <w:lang w:eastAsia="zh-CN"/>
                    </w:rPr>
                    <w:t>乐山市第三</w:t>
                  </w:r>
                  <w:r>
                    <w:rPr>
                      <w:rFonts w:hint="eastAsia" w:hAnsi="宋体"/>
                      <w:szCs w:val="21"/>
                    </w:rPr>
                    <w:t>污水处理厂处理</w:t>
                  </w:r>
                  <w:r>
                    <w:rPr>
                      <w:rFonts w:hint="eastAsia" w:hAnsi="宋体"/>
                      <w:color w:val="0000FF"/>
                      <w:szCs w:val="21"/>
                    </w:rPr>
                    <w:t>，</w:t>
                  </w:r>
                  <w:r>
                    <w:rPr>
                      <w:rFonts w:hint="eastAsia" w:hAnsi="宋体"/>
                      <w:szCs w:val="21"/>
                    </w:rPr>
                    <w:t>项目在运营期间能够实现噪声达标排放。</w:t>
                  </w:r>
                </w:p>
              </w:tc>
              <w:tc>
                <w:tcPr>
                  <w:tcW w:w="867" w:type="dxa"/>
                  <w:noWrap w:val="0"/>
                  <w:vAlign w:val="center"/>
                </w:tcPr>
                <w:p>
                  <w:pPr>
                    <w:adjustRightInd w:val="0"/>
                    <w:snapToGrid w:val="0"/>
                    <w:jc w:val="center"/>
                    <w:rPr>
                      <w:rFonts w:hint="eastAsia" w:hAnsi="宋体"/>
                      <w:szCs w:val="21"/>
                    </w:rPr>
                  </w:pPr>
                  <w:r>
                    <w:rPr>
                      <w:rFonts w:hint="eastAsia" w:hAnsi="宋体"/>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1" w:hRule="atLeast"/>
                <w:jc w:val="center"/>
              </w:trPr>
              <w:tc>
                <w:tcPr>
                  <w:tcW w:w="4935" w:type="dxa"/>
                  <w:noWrap w:val="0"/>
                  <w:vAlign w:val="center"/>
                </w:tcPr>
                <w:p>
                  <w:pPr>
                    <w:pStyle w:val="94"/>
                    <w:spacing w:before="24" w:after="24"/>
                    <w:ind w:left="0" w:leftChars="0" w:firstLine="0" w:firstLineChars="0"/>
                    <w:jc w:val="both"/>
                    <w:rPr>
                      <w:rFonts w:ascii="Times New Roman"/>
                    </w:rPr>
                  </w:pPr>
                  <w:r>
                    <w:rPr>
                      <w:rFonts w:hint="eastAsia" w:ascii="Times New Roman"/>
                    </w:rPr>
                    <w:t>市中区</w:t>
                  </w:r>
                  <w:r>
                    <w:rPr>
                      <w:rFonts w:ascii="Times New Roman"/>
                    </w:rPr>
                    <w:t>：</w:t>
                  </w:r>
                </w:p>
                <w:p>
                  <w:pPr>
                    <w:pStyle w:val="94"/>
                    <w:spacing w:before="24" w:after="24"/>
                    <w:ind w:left="0" w:leftChars="0" w:firstLine="0" w:firstLineChars="0"/>
                    <w:jc w:val="both"/>
                    <w:rPr>
                      <w:rFonts w:ascii="Times New Roman"/>
                    </w:rPr>
                  </w:pPr>
                  <w:r>
                    <w:rPr>
                      <w:rFonts w:ascii="Times New Roman"/>
                    </w:rPr>
                    <w:t>（1）优化调整产业结构，严格生态环境准入要求；</w:t>
                  </w:r>
                </w:p>
                <w:p>
                  <w:pPr>
                    <w:pStyle w:val="94"/>
                    <w:spacing w:before="24" w:after="24"/>
                    <w:ind w:left="0" w:leftChars="0" w:firstLine="0" w:firstLineChars="0"/>
                    <w:jc w:val="both"/>
                    <w:rPr>
                      <w:rFonts w:ascii="Times New Roman"/>
                    </w:rPr>
                  </w:pPr>
                  <w:r>
                    <w:rPr>
                      <w:rFonts w:ascii="Times New Roman"/>
                    </w:rPr>
                    <w:t>（2）推动城市建成区内企业“退城入园”，严格控制园外企业无序扩张；</w:t>
                  </w:r>
                </w:p>
                <w:p>
                  <w:pPr>
                    <w:pStyle w:val="94"/>
                    <w:spacing w:before="24" w:after="24"/>
                    <w:ind w:left="0" w:leftChars="0" w:firstLine="0" w:firstLineChars="0"/>
                    <w:jc w:val="both"/>
                    <w:rPr>
                      <w:rFonts w:ascii="Times New Roman"/>
                    </w:rPr>
                  </w:pPr>
                  <w:r>
                    <w:rPr>
                      <w:rFonts w:ascii="Times New Roman"/>
                    </w:rPr>
                    <w:t>（3）加强泥溪河、茫溪河等小流域污染治理，严控泥溪河、茫溪河流域涉水排放项目及水产养殖规模；加强农业面源污染治理，严格控制化肥农药使用量，积极推广畜禽清洁养殖和畜禽粪污无害化、资源化利用技术；</w:t>
                  </w:r>
                </w:p>
                <w:p>
                  <w:pPr>
                    <w:pStyle w:val="94"/>
                    <w:spacing w:before="24" w:after="24"/>
                    <w:ind w:left="0" w:leftChars="0" w:firstLine="0" w:firstLineChars="0"/>
                    <w:jc w:val="both"/>
                    <w:rPr>
                      <w:rFonts w:ascii="Times New Roman"/>
                    </w:rPr>
                  </w:pPr>
                  <w:r>
                    <w:rPr>
                      <w:rFonts w:ascii="Times New Roman"/>
                    </w:rPr>
                    <w:t>（4）加强区域大气污染治理，推进涉挥发性有机物排放项目、砖瓦企业深度治理改造；执行大气污染物特别排放限值；</w:t>
                  </w:r>
                </w:p>
                <w:p>
                  <w:pPr>
                    <w:pStyle w:val="94"/>
                    <w:spacing w:before="24" w:after="24"/>
                    <w:ind w:left="0" w:leftChars="0" w:firstLine="0" w:firstLineChars="0"/>
                    <w:jc w:val="both"/>
                    <w:rPr>
                      <w:rFonts w:ascii="Times New Roman"/>
                    </w:rPr>
                  </w:pPr>
                  <w:r>
                    <w:rPr>
                      <w:rFonts w:ascii="Times New Roman"/>
                    </w:rPr>
                    <w:t>（5）加强涉危涉化企业管控，严控环境风险；</w:t>
                  </w:r>
                </w:p>
                <w:p>
                  <w:pPr>
                    <w:pStyle w:val="94"/>
                    <w:spacing w:before="24" w:after="24"/>
                    <w:ind w:left="0" w:leftChars="0" w:firstLine="0" w:firstLineChars="0"/>
                    <w:jc w:val="both"/>
                    <w:rPr>
                      <w:rFonts w:hint="eastAsia" w:ascii="Times New Roman" w:hAnsi="宋体"/>
                      <w:kern w:val="2"/>
                      <w:szCs w:val="21"/>
                    </w:rPr>
                  </w:pPr>
                  <w:r>
                    <w:rPr>
                      <w:rFonts w:ascii="Times New Roman"/>
                    </w:rPr>
                    <w:t>（6）加强城乡生态环境保护基础设施建设。</w:t>
                  </w:r>
                </w:p>
              </w:tc>
              <w:tc>
                <w:tcPr>
                  <w:tcW w:w="2496" w:type="dxa"/>
                  <w:noWrap w:val="0"/>
                  <w:vAlign w:val="center"/>
                </w:tcPr>
                <w:p>
                  <w:pPr>
                    <w:pStyle w:val="94"/>
                    <w:numPr>
                      <w:ilvl w:val="0"/>
                      <w:numId w:val="5"/>
                    </w:numPr>
                    <w:spacing w:before="24" w:after="24"/>
                    <w:ind w:left="0" w:leftChars="0" w:firstLine="0" w:firstLineChars="0"/>
                    <w:rPr>
                      <w:rFonts w:ascii="Times New Roman"/>
                    </w:rPr>
                  </w:pPr>
                  <w:r>
                    <w:rPr>
                      <w:rFonts w:ascii="Times New Roman"/>
                    </w:rPr>
                    <w:t>本项目无挥发性有机物排放。</w:t>
                  </w:r>
                </w:p>
                <w:p>
                  <w:pPr>
                    <w:numPr>
                      <w:ilvl w:val="0"/>
                      <w:numId w:val="5"/>
                    </w:numPr>
                    <w:jc w:val="center"/>
                  </w:pPr>
                  <w:r>
                    <w:t>本项目</w:t>
                  </w:r>
                  <w:r>
                    <w:rPr>
                      <w:rFonts w:hint="eastAsia"/>
                    </w:rPr>
                    <w:t>废水经院内污水处理站处理后进入</w:t>
                  </w:r>
                  <w:r>
                    <w:rPr>
                      <w:rFonts w:hint="eastAsia"/>
                      <w:lang w:eastAsia="zh-CN"/>
                    </w:rPr>
                    <w:t>乐山市第三</w:t>
                  </w:r>
                  <w:r>
                    <w:rPr>
                      <w:rFonts w:hint="eastAsia"/>
                    </w:rPr>
                    <w:t>污水处理厂处理</w:t>
                  </w:r>
                  <w:r>
                    <w:t>。</w:t>
                  </w:r>
                </w:p>
                <w:p>
                  <w:pPr>
                    <w:numPr>
                      <w:ilvl w:val="0"/>
                      <w:numId w:val="5"/>
                    </w:numPr>
                    <w:jc w:val="center"/>
                  </w:pPr>
                  <w:r>
                    <w:t>本项目不属于工业项目。</w:t>
                  </w:r>
                </w:p>
                <w:p>
                  <w:pPr>
                    <w:numPr>
                      <w:ilvl w:val="0"/>
                      <w:numId w:val="5"/>
                    </w:numPr>
                    <w:jc w:val="center"/>
                  </w:pPr>
                  <w:r>
                    <w:t>本项目不涉及大气排放。</w:t>
                  </w:r>
                </w:p>
                <w:p>
                  <w:pPr>
                    <w:adjustRightInd w:val="0"/>
                    <w:snapToGrid w:val="0"/>
                    <w:jc w:val="center"/>
                    <w:rPr>
                      <w:rFonts w:hint="eastAsia" w:hAnsi="宋体"/>
                      <w:szCs w:val="21"/>
                    </w:rPr>
                  </w:pPr>
                  <w:r>
                    <w:rPr>
                      <w:rFonts w:hint="eastAsia"/>
                    </w:rPr>
                    <w:t>5、</w:t>
                  </w:r>
                  <w:r>
                    <w:t>本项目不涉及养殖。</w:t>
                  </w:r>
                </w:p>
              </w:tc>
              <w:tc>
                <w:tcPr>
                  <w:tcW w:w="867" w:type="dxa"/>
                  <w:noWrap w:val="0"/>
                  <w:vAlign w:val="center"/>
                </w:tcPr>
                <w:p>
                  <w:pPr>
                    <w:adjustRightInd w:val="0"/>
                    <w:snapToGrid w:val="0"/>
                    <w:jc w:val="center"/>
                    <w:rPr>
                      <w:rFonts w:hint="eastAsia" w:hAnsi="宋体"/>
                      <w:szCs w:val="21"/>
                    </w:rPr>
                  </w:pPr>
                  <w:r>
                    <w:rPr>
                      <w:rFonts w:hint="eastAsia" w:hAnsi="宋体"/>
                      <w:szCs w:val="21"/>
                    </w:rPr>
                    <w:t>符合</w:t>
                  </w:r>
                </w:p>
              </w:tc>
            </w:tr>
          </w:tbl>
          <w:p>
            <w:pPr>
              <w:pStyle w:val="185"/>
              <w:spacing w:line="360" w:lineRule="auto"/>
              <w:ind w:firstLine="482"/>
              <w:jc w:val="both"/>
              <w:rPr>
                <w:rFonts w:hint="eastAsia" w:ascii="Times New Roman" w:hAnsi="Times New Roman" w:eastAsia="宋体"/>
                <w:b w:val="0"/>
                <w:bCs/>
                <w:color w:val="000000"/>
                <w:kern w:val="0"/>
              </w:rPr>
            </w:pPr>
            <w:r>
              <w:rPr>
                <w:rFonts w:hint="eastAsia" w:ascii="Times New Roman" w:hAnsi="Times New Roman" w:eastAsia="宋体"/>
                <w:b w:val="0"/>
                <w:bCs/>
                <w:color w:val="000000"/>
                <w:kern w:val="0"/>
              </w:rPr>
              <w:t>本项目所在地属于城镇重点管控单元。根据</w:t>
            </w:r>
            <w:r>
              <w:rPr>
                <w:rFonts w:hint="eastAsia" w:ascii="Times New Roman" w:hAnsi="Times New Roman" w:eastAsia="宋体"/>
                <w:b w:val="0"/>
                <w:bCs/>
                <w:color w:val="000000"/>
                <w:kern w:val="0"/>
                <w:lang w:val="en-US" w:eastAsia="zh-CN"/>
              </w:rPr>
              <w:t>2022年乐山市中区环境质量状况监测数据</w:t>
            </w:r>
            <w:r>
              <w:rPr>
                <w:rFonts w:hint="eastAsia" w:ascii="Times New Roman" w:hAnsi="Times New Roman" w:eastAsia="宋体"/>
                <w:b w:val="0"/>
                <w:bCs/>
                <w:color w:val="000000"/>
                <w:kern w:val="0"/>
              </w:rPr>
              <w:t>，市中区属于环境空气质量</w:t>
            </w:r>
            <w:r>
              <w:rPr>
                <w:rFonts w:hint="eastAsia" w:ascii="Times New Roman" w:hAnsi="Times New Roman" w:eastAsia="宋体"/>
                <w:b w:val="0"/>
                <w:bCs/>
                <w:color w:val="000000"/>
                <w:kern w:val="0"/>
                <w:lang w:eastAsia="zh-CN"/>
              </w:rPr>
              <w:t>不</w:t>
            </w:r>
            <w:r>
              <w:rPr>
                <w:rFonts w:hint="eastAsia" w:ascii="Times New Roman" w:hAnsi="Times New Roman" w:eastAsia="宋体"/>
                <w:b w:val="0"/>
                <w:bCs/>
                <w:color w:val="000000"/>
                <w:kern w:val="0"/>
              </w:rPr>
              <w:t>达标区；临江河各监测断面年均浓度达到地表水</w:t>
            </w:r>
            <w:r>
              <w:rPr>
                <w:rFonts w:hint="eastAsia" w:ascii="宋体" w:hAnsi="宋体" w:eastAsia="宋体" w:cs="宋体"/>
                <w:b w:val="0"/>
                <w:bCs/>
                <w:color w:val="000000"/>
                <w:kern w:val="0"/>
              </w:rPr>
              <w:t>Ⅲ</w:t>
            </w:r>
            <w:r>
              <w:rPr>
                <w:rFonts w:hint="eastAsia" w:ascii="Times New Roman" w:hAnsi="Times New Roman" w:eastAsia="宋体"/>
                <w:b w:val="0"/>
                <w:bCs/>
                <w:color w:val="000000"/>
                <w:kern w:val="0"/>
              </w:rPr>
              <w:t>类水质，河流水质状况优良，项目所在区域水环境质量达标。</w:t>
            </w:r>
          </w:p>
          <w:p>
            <w:pPr>
              <w:pStyle w:val="185"/>
              <w:spacing w:line="360" w:lineRule="auto"/>
              <w:ind w:firstLine="482"/>
              <w:jc w:val="both"/>
              <w:rPr>
                <w:rFonts w:hint="eastAsia" w:ascii="Times New Roman" w:hAnsi="Times New Roman" w:eastAsia="宋体"/>
                <w:b w:val="0"/>
                <w:bCs/>
                <w:color w:val="000000"/>
                <w:kern w:val="0"/>
              </w:rPr>
            </w:pPr>
            <w:r>
              <w:rPr>
                <w:rFonts w:hint="eastAsia" w:ascii="Times New Roman" w:hAnsi="Times New Roman" w:eastAsia="宋体"/>
                <w:b w:val="0"/>
                <w:bCs/>
                <w:color w:val="000000"/>
                <w:kern w:val="0"/>
              </w:rPr>
              <w:t>本项目</w:t>
            </w:r>
            <w:r>
              <w:rPr>
                <w:rFonts w:hint="eastAsia" w:ascii="Times New Roman" w:hAnsi="Times New Roman" w:eastAsia="宋体"/>
                <w:sz w:val="24"/>
                <w:lang w:bidi="ar"/>
              </w:rPr>
              <w:t>产生的</w:t>
            </w:r>
            <w:r>
              <w:rPr>
                <w:rFonts w:hint="eastAsia" w:ascii="Times New Roman" w:hAnsi="Times New Roman" w:eastAsia="宋体"/>
                <w:sz w:val="24"/>
                <w:lang w:eastAsia="zh-CN" w:bidi="ar"/>
              </w:rPr>
              <w:t>食堂废水</w:t>
            </w:r>
            <w:r>
              <w:rPr>
                <w:rFonts w:hint="eastAsia" w:ascii="Times New Roman" w:hAnsi="Times New Roman" w:eastAsia="宋体"/>
                <w:sz w:val="24"/>
                <w:lang w:bidi="ar"/>
              </w:rPr>
              <w:t>经隔油池预处理后与医疗废水</w:t>
            </w:r>
            <w:r>
              <w:rPr>
                <w:rFonts w:hint="eastAsia" w:ascii="Times New Roman" w:hAnsi="Times New Roman" w:eastAsia="宋体"/>
                <w:sz w:val="24"/>
                <w:lang w:eastAsia="zh-CN" w:bidi="ar"/>
              </w:rPr>
              <w:t>、</w:t>
            </w:r>
            <w:r>
              <w:rPr>
                <w:rFonts w:hint="eastAsia" w:ascii="Times New Roman" w:hAnsi="Times New Roman" w:eastAsia="宋体"/>
                <w:sz w:val="24"/>
                <w:lang w:bidi="ar"/>
              </w:rPr>
              <w:t>洗涤废水</w:t>
            </w:r>
            <w:r>
              <w:rPr>
                <w:rFonts w:hint="eastAsia" w:ascii="Times New Roman" w:hAnsi="Times New Roman" w:eastAsia="宋体"/>
                <w:sz w:val="24"/>
                <w:lang w:eastAsia="zh-CN" w:bidi="ar"/>
              </w:rPr>
              <w:t>、职工生活污水有化粪池预处理后</w:t>
            </w:r>
            <w:r>
              <w:rPr>
                <w:rFonts w:hint="eastAsia" w:ascii="Times New Roman" w:hAnsi="Times New Roman" w:eastAsia="宋体"/>
                <w:sz w:val="24"/>
                <w:lang w:bidi="ar"/>
              </w:rPr>
              <w:t>一起进入院内污水处理站</w:t>
            </w:r>
            <w:r>
              <w:rPr>
                <w:rFonts w:hint="eastAsia" w:ascii="Times New Roman" w:hAnsi="Times New Roman" w:eastAsia="宋体"/>
                <w:sz w:val="24"/>
                <w:lang w:eastAsia="zh-CN" w:bidi="ar"/>
              </w:rPr>
              <w:t>，</w:t>
            </w:r>
            <w:r>
              <w:rPr>
                <w:rFonts w:hint="eastAsia" w:ascii="Times New Roman" w:hAnsi="Times New Roman" w:eastAsia="宋体"/>
                <w:b w:val="0"/>
                <w:bCs/>
                <w:color w:val="000000"/>
                <w:kern w:val="0"/>
              </w:rPr>
              <w:t>处理达到《医疗机构水污染物排放标准》（GB18466-2005）表2中预处理标准后，排入市政污水管网</w:t>
            </w:r>
            <w:r>
              <w:rPr>
                <w:rFonts w:hint="eastAsia" w:ascii="Times New Roman" w:hAnsi="Times New Roman" w:eastAsia="宋体"/>
                <w:b w:val="0"/>
                <w:bCs/>
                <w:color w:val="000000"/>
                <w:kern w:val="0"/>
                <w:lang w:eastAsia="zh-CN"/>
              </w:rPr>
              <w:t>进入乐山市第三污水处理厂处理达标后排放</w:t>
            </w:r>
            <w:r>
              <w:rPr>
                <w:rFonts w:hint="eastAsia" w:ascii="Times New Roman" w:hAnsi="Times New Roman" w:eastAsia="宋体"/>
                <w:b w:val="0"/>
                <w:bCs/>
                <w:color w:val="000000"/>
                <w:kern w:val="0"/>
              </w:rPr>
              <w:t>。本项目大气污染物主要为污水处理站废气，本项目污水处理站采用地埋式工艺，调节池等加盖封闭，并定期喷洒植物除臭剂，加强周边绿化等措施后，对大气环境及周边环境敏感点影响较小。本项目经采取本报告提出的环保措施后，对周围的环境影响可接受。</w:t>
            </w:r>
          </w:p>
          <w:p>
            <w:pPr>
              <w:pStyle w:val="185"/>
              <w:spacing w:line="360" w:lineRule="auto"/>
              <w:ind w:firstLine="482"/>
              <w:jc w:val="both"/>
              <w:rPr>
                <w:rFonts w:ascii="Times New Roman" w:hAnsi="Times New Roman" w:eastAsia="宋体"/>
                <w:b w:val="0"/>
                <w:bCs/>
                <w:color w:val="000000"/>
                <w:kern w:val="0"/>
              </w:rPr>
            </w:pPr>
            <w:r>
              <w:rPr>
                <w:rFonts w:hint="eastAsia" w:ascii="Times New Roman" w:hAnsi="Times New Roman" w:eastAsia="宋体"/>
                <w:b w:val="0"/>
                <w:bCs/>
                <w:color w:val="000000"/>
                <w:kern w:val="0"/>
              </w:rPr>
              <w:t>综上所述，本项目符合“三线一单”相关要求。</w:t>
            </w:r>
          </w:p>
          <w:p>
            <w:pPr>
              <w:pStyle w:val="185"/>
              <w:ind w:firstLine="482"/>
              <w:jc w:val="both"/>
              <w:rPr>
                <w:rFonts w:ascii="Times New Roman" w:hAnsi="Times New Roman" w:eastAsia="宋体"/>
                <w:b w:val="0"/>
                <w:bCs/>
                <w:color w:val="000000"/>
                <w:kern w:val="0"/>
              </w:rPr>
            </w:pPr>
            <w:r>
              <w:rPr>
                <w:rFonts w:ascii="Times New Roman" w:hAnsi="Times New Roman" w:eastAsia="宋体"/>
                <w:b w:val="0"/>
                <w:bCs/>
                <w:color w:val="000000"/>
                <w:kern w:val="0"/>
              </w:rPr>
              <w:t>（2）生态环境准入清单</w:t>
            </w:r>
          </w:p>
          <w:p>
            <w:pPr>
              <w:pStyle w:val="185"/>
              <w:ind w:firstLine="480"/>
              <w:jc w:val="both"/>
              <w:rPr>
                <w:rFonts w:ascii="Times New Roman" w:hAnsi="Times New Roman" w:eastAsia="宋体"/>
                <w:b/>
                <w:color w:val="000000"/>
                <w:kern w:val="0"/>
              </w:rPr>
            </w:pPr>
            <w:r>
              <w:rPr>
                <w:rFonts w:hint="eastAsia" w:ascii="Times New Roman" w:hAnsi="Times New Roman" w:eastAsia="宋体"/>
                <w:color w:val="000000"/>
                <w:kern w:val="0"/>
              </w:rPr>
              <w:t>本项目位于乐山市市中区，涉及城镇重点管控单元，环境管控单元编码：ZH51110220001。具体的城镇重点管控单元要求见下表。</w:t>
            </w:r>
          </w:p>
        </w:tc>
      </w:tr>
    </w:tbl>
    <w:p>
      <w:pPr>
        <w:spacing w:line="360" w:lineRule="auto"/>
        <w:outlineLvl w:val="0"/>
        <w:rPr>
          <w:rFonts w:eastAsia="黑体"/>
          <w:color w:val="000000"/>
          <w:sz w:val="30"/>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165"/>
        <w:rPr>
          <w:rFonts w:hint="eastAsia" w:ascii="Times New Roman" w:hAnsi="Times New Roman" w:eastAsia="宋体" w:cs="Times New Roman"/>
          <w:b/>
          <w:bCs/>
        </w:rPr>
      </w:pPr>
      <w:r>
        <w:rPr>
          <w:rFonts w:hint="eastAsia" w:ascii="Times New Roman" w:hAnsi="Times New Roman" w:eastAsia="宋体" w:cs="Times New Roman"/>
          <w:b/>
          <w:bCs/>
        </w:rPr>
        <w:t>表1-</w:t>
      </w:r>
      <w:r>
        <w:rPr>
          <w:rFonts w:hint="eastAsia" w:cs="Times New Roman"/>
          <w:b/>
          <w:bCs/>
          <w:lang w:val="en-US" w:eastAsia="zh-CN"/>
        </w:rPr>
        <w:t>4</w:t>
      </w:r>
      <w:r>
        <w:rPr>
          <w:rFonts w:hint="eastAsia" w:ascii="Times New Roman" w:hAnsi="Times New Roman" w:eastAsia="宋体" w:cs="Times New Roman"/>
          <w:b/>
          <w:bCs/>
        </w:rPr>
        <w:t xml:space="preserve">  本项目与“三线一单”符合性分析</w:t>
      </w:r>
    </w:p>
    <w:tbl>
      <w:tblPr>
        <w:tblStyle w:val="42"/>
        <w:tblW w:w="494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934"/>
        <w:gridCol w:w="4874"/>
        <w:gridCol w:w="1064"/>
        <w:gridCol w:w="3057"/>
        <w:gridCol w:w="1518"/>
        <w:gridCol w:w="9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noWrap w:val="0"/>
            <w:vAlign w:val="center"/>
          </w:tcPr>
          <w:p>
            <w:pPr>
              <w:widowControl/>
              <w:spacing w:line="240" w:lineRule="auto"/>
              <w:ind w:firstLine="0" w:firstLineChars="0"/>
              <w:jc w:val="center"/>
              <w:rPr>
                <w:rStyle w:val="43"/>
                <w:rFonts w:ascii="宋体" w:hAnsi="宋体" w:eastAsia="宋体" w:cs="宋体"/>
                <w:b/>
                <w:bCs/>
                <w:color w:val="000000"/>
                <w:kern w:val="0"/>
                <w:sz w:val="21"/>
                <w:szCs w:val="21"/>
                <w:lang w:val="en-US" w:eastAsia="zh-CN" w:bidi="ar-SA"/>
              </w:rPr>
            </w:pPr>
            <w:r>
              <w:rPr>
                <w:rFonts w:hint="eastAsia" w:ascii="宋体" w:hAnsi="宋体" w:eastAsia="宋体" w:cs="宋体"/>
                <w:b/>
                <w:bCs/>
                <w:color w:val="000000"/>
                <w:kern w:val="0"/>
                <w:sz w:val="21"/>
                <w:szCs w:val="21"/>
                <w:lang w:val="en-US" w:eastAsia="zh-CN" w:bidi="ar-SA"/>
              </w:rPr>
              <w:t>环境管控单元编码</w:t>
            </w:r>
          </w:p>
        </w:tc>
        <w:tc>
          <w:tcPr>
            <w:tcW w:w="346" w:type="pct"/>
            <w:noWrap w:val="0"/>
            <w:vAlign w:val="center"/>
          </w:tcPr>
          <w:p>
            <w:pPr>
              <w:widowControl/>
              <w:spacing w:line="240" w:lineRule="auto"/>
              <w:ind w:firstLine="0" w:firstLineChars="0"/>
              <w:jc w:val="center"/>
              <w:rPr>
                <w:rStyle w:val="43"/>
                <w:rFonts w:ascii="宋体" w:hAnsi="宋体" w:eastAsia="宋体" w:cs="宋体"/>
                <w:b/>
                <w:bCs/>
                <w:color w:val="000000"/>
                <w:kern w:val="0"/>
                <w:sz w:val="21"/>
                <w:szCs w:val="21"/>
                <w:lang w:val="en-US" w:eastAsia="zh-CN" w:bidi="ar-SA"/>
              </w:rPr>
            </w:pPr>
            <w:r>
              <w:rPr>
                <w:rFonts w:hint="eastAsia" w:ascii="宋体" w:hAnsi="宋体" w:eastAsia="宋体" w:cs="宋体"/>
                <w:b/>
                <w:bCs/>
                <w:color w:val="000000"/>
                <w:kern w:val="0"/>
                <w:sz w:val="21"/>
                <w:szCs w:val="21"/>
                <w:lang w:val="en-US" w:eastAsia="zh-CN" w:bidi="ar-SA"/>
              </w:rPr>
              <w:t>环境管控单元名称</w:t>
            </w:r>
          </w:p>
        </w:tc>
        <w:tc>
          <w:tcPr>
            <w:tcW w:w="1805" w:type="pct"/>
            <w:noWrap w:val="0"/>
            <w:vAlign w:val="center"/>
          </w:tcPr>
          <w:p>
            <w:pPr>
              <w:widowControl w:val="0"/>
              <w:spacing w:line="240" w:lineRule="auto"/>
              <w:ind w:firstLine="0" w:firstLineChars="0"/>
              <w:jc w:val="center"/>
              <w:rPr>
                <w:rStyle w:val="43"/>
                <w:rFonts w:ascii="宋体" w:hAnsi="宋体" w:eastAsia="宋体" w:cs="宋体"/>
                <w:b/>
                <w:bCs/>
                <w:color w:val="000000"/>
                <w:kern w:val="0"/>
                <w:sz w:val="21"/>
                <w:szCs w:val="21"/>
                <w:lang w:val="en-US" w:eastAsia="zh-CN" w:bidi="ar-SA"/>
              </w:rPr>
            </w:pPr>
            <w:r>
              <w:rPr>
                <w:rFonts w:hint="eastAsia" w:ascii="宋体" w:hAnsi="宋体" w:eastAsia="宋体" w:cs="宋体"/>
                <w:b/>
                <w:bCs/>
                <w:color w:val="000000"/>
                <w:kern w:val="0"/>
                <w:sz w:val="21"/>
                <w:szCs w:val="21"/>
                <w:lang w:val="en-US" w:eastAsia="zh-CN" w:bidi="ar-SA"/>
              </w:rPr>
              <w:t>乐山市普适性清单</w:t>
            </w:r>
          </w:p>
        </w:tc>
        <w:tc>
          <w:tcPr>
            <w:tcW w:w="394" w:type="pct"/>
            <w:noWrap w:val="0"/>
            <w:vAlign w:val="center"/>
          </w:tcPr>
          <w:p>
            <w:pPr>
              <w:widowControl/>
              <w:spacing w:line="240" w:lineRule="auto"/>
              <w:ind w:firstLine="0" w:firstLineChars="0"/>
              <w:jc w:val="center"/>
              <w:rPr>
                <w:rStyle w:val="43"/>
                <w:rFonts w:ascii="宋体" w:hAnsi="宋体" w:eastAsia="宋体" w:cs="宋体"/>
                <w:b/>
                <w:bCs/>
                <w:color w:val="000000"/>
                <w:kern w:val="0"/>
                <w:sz w:val="21"/>
                <w:szCs w:val="21"/>
                <w:lang w:val="en-US" w:eastAsia="zh-CN" w:bidi="ar-SA"/>
              </w:rPr>
            </w:pPr>
            <w:r>
              <w:rPr>
                <w:rFonts w:hint="eastAsia" w:ascii="宋体" w:hAnsi="宋体" w:eastAsia="宋体" w:cs="宋体"/>
                <w:b/>
                <w:bCs/>
                <w:color w:val="000000"/>
                <w:kern w:val="0"/>
                <w:sz w:val="21"/>
                <w:szCs w:val="21"/>
                <w:lang w:val="en-US" w:eastAsia="zh-CN" w:bidi="ar-SA"/>
              </w:rPr>
              <w:t>管控类别</w:t>
            </w:r>
          </w:p>
        </w:tc>
        <w:tc>
          <w:tcPr>
            <w:tcW w:w="1132" w:type="pct"/>
            <w:noWrap w:val="0"/>
            <w:vAlign w:val="center"/>
          </w:tcPr>
          <w:p>
            <w:pPr>
              <w:widowControl/>
              <w:spacing w:line="240" w:lineRule="auto"/>
              <w:ind w:firstLine="0" w:firstLineChars="0"/>
              <w:jc w:val="center"/>
              <w:rPr>
                <w:rStyle w:val="43"/>
                <w:rFonts w:ascii="宋体" w:hAnsi="宋体" w:eastAsia="宋体" w:cs="宋体"/>
                <w:b/>
                <w:bCs/>
                <w:color w:val="000000"/>
                <w:kern w:val="0"/>
                <w:sz w:val="21"/>
                <w:szCs w:val="21"/>
                <w:lang w:val="en-US" w:eastAsia="zh-CN" w:bidi="ar-SA"/>
              </w:rPr>
            </w:pPr>
            <w:r>
              <w:rPr>
                <w:rFonts w:hint="eastAsia" w:ascii="宋体" w:hAnsi="宋体" w:eastAsia="宋体" w:cs="宋体"/>
                <w:b/>
                <w:bCs/>
                <w:color w:val="000000"/>
                <w:kern w:val="0"/>
                <w:sz w:val="21"/>
                <w:szCs w:val="21"/>
                <w:lang w:val="en-US" w:eastAsia="zh-CN" w:bidi="ar-SA"/>
              </w:rPr>
              <w:t>单元特性管控要求</w:t>
            </w:r>
          </w:p>
        </w:tc>
        <w:tc>
          <w:tcPr>
            <w:tcW w:w="562" w:type="pct"/>
            <w:noWrap w:val="0"/>
            <w:vAlign w:val="center"/>
          </w:tcPr>
          <w:p>
            <w:pPr>
              <w:widowControl/>
              <w:spacing w:line="240" w:lineRule="auto"/>
              <w:ind w:firstLine="0" w:firstLineChars="0"/>
              <w:jc w:val="center"/>
              <w:rPr>
                <w:rFonts w:hint="eastAsia" w:ascii="宋体" w:hAnsi="宋体" w:eastAsia="宋体" w:cs="宋体"/>
                <w:b/>
                <w:bCs/>
                <w:color w:val="000000"/>
                <w:kern w:val="0"/>
                <w:sz w:val="21"/>
                <w:szCs w:val="21"/>
                <w:lang w:val="en-US" w:eastAsia="zh-CN" w:bidi="ar-SA"/>
              </w:rPr>
            </w:pPr>
            <w:r>
              <w:rPr>
                <w:rFonts w:hint="eastAsia" w:ascii="宋体" w:hAnsi="宋体" w:eastAsia="宋体" w:cs="宋体"/>
                <w:b/>
                <w:bCs/>
                <w:color w:val="000000"/>
                <w:kern w:val="0"/>
                <w:sz w:val="21"/>
                <w:szCs w:val="21"/>
                <w:lang w:val="en-US" w:eastAsia="zh-CN" w:bidi="ar-SA"/>
              </w:rPr>
              <w:t>本项目情况</w:t>
            </w:r>
          </w:p>
        </w:tc>
        <w:tc>
          <w:tcPr>
            <w:tcW w:w="338" w:type="pct"/>
            <w:noWrap w:val="0"/>
            <w:vAlign w:val="center"/>
          </w:tcPr>
          <w:p>
            <w:pPr>
              <w:widowControl/>
              <w:spacing w:line="240" w:lineRule="auto"/>
              <w:ind w:firstLine="0" w:firstLineChars="0"/>
              <w:jc w:val="center"/>
              <w:rPr>
                <w:rFonts w:hint="eastAsia" w:ascii="宋体" w:hAnsi="宋体" w:eastAsia="宋体" w:cs="宋体"/>
                <w:b/>
                <w:bCs/>
                <w:color w:val="000000"/>
                <w:kern w:val="0"/>
                <w:sz w:val="21"/>
                <w:szCs w:val="21"/>
                <w:lang w:val="en-US" w:eastAsia="zh-CN" w:bidi="ar-SA"/>
              </w:rPr>
            </w:pPr>
            <w:r>
              <w:rPr>
                <w:rFonts w:hint="eastAsia" w:ascii="宋体" w:hAnsi="宋体" w:eastAsia="宋体" w:cs="宋体"/>
                <w:b/>
                <w:bCs/>
                <w:color w:val="000000"/>
                <w:kern w:val="0"/>
                <w:sz w:val="21"/>
                <w:szCs w:val="21"/>
                <w:lang w:val="en-US" w:eastAsia="zh-CN" w:bidi="ar-SA"/>
              </w:rPr>
              <w:t>符合性</w:t>
            </w:r>
          </w:p>
        </w:tc>
      </w:tr>
    </w:tbl>
    <w:tbl>
      <w:tblPr>
        <w:tblStyle w:val="202"/>
        <w:tblW w:w="494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938"/>
        <w:gridCol w:w="4856"/>
        <w:gridCol w:w="1069"/>
        <w:gridCol w:w="3056"/>
        <w:gridCol w:w="1519"/>
        <w:gridCol w:w="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 w:type="pct"/>
            <w:vMerge w:val="restar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ZH51110220001</w:t>
            </w:r>
          </w:p>
        </w:tc>
        <w:tc>
          <w:tcPr>
            <w:tcW w:w="347" w:type="pct"/>
            <w:vMerge w:val="restar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市中区中心城区</w:t>
            </w:r>
          </w:p>
        </w:tc>
        <w:tc>
          <w:tcPr>
            <w:tcW w:w="1798" w:type="pct"/>
            <w:vMerge w:val="restart"/>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（1）原则上禁止新建生产性企业，经论证与周边环境相容的涉及民生的工业企业除外；</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 xml:space="preserve">（2）禁止在长江干支流岸线1公里范围内新建、扩建化工园区和化工项目；禁止在长江重要支流岸线一公里范围内新建、改建、扩建尾矿库（以提升安全、生态环境保护水平为目的的改建除外）； </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（3）禁止在居民区、学校、医疗和养老机构等周边新建有色金属冶炼、焦化、化工、铅蓄电池制造等行业企业。严禁在人口聚集区新建涉及重金属排放的项目；</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（4）禁止在长江流域禁止采砂区和禁止采砂期从事采砂活动。</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（1）现有工业企业（涉及民生的除外）限制发展，允许以提升安全、生态环境保护水平为目的的改建，引导企业搬入产业对口园区；</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（2）严格控制在城镇空间范围内新布设工业园区。若新布局工业园区，应符合乐山市国土空间规划，并结合区域环境特点、三线成果、园区产业类别，充分论证选址的环境合理性；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（3）长江流域河道采砂应当依法取得国务院水行政主管部门有关流域管理机构或者县级以上地方人民政府水行政主管部门的许可。严格控制采砂区域、采砂总量和采砂区域内的采砂船舶数量。</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（1）长江主要支流重点管控岸线：按照长江干线非法码头治理标准和生态保护红线管控等要求，持续开展长江主要支流非法码头整治；</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（2）加快城市建成区重污染企业搬迁改造或关闭退出，推动实施一批重污染企业搬迁工程；大气污染防治重点区域城市钢铁企业要切实采取彻底关停、转型发展、就地改造、域外搬迁等方式转型升级；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（3）长江干流及主要支流岸线延伸至陆域200米范围内基本消除畜禽养殖场（小区）。</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（1）长江干流及主要支流重点管控岸线：加强滨水岸线管控，以生态保护为主基调，加快推进生态修复工作进程；</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（2）加大交通运输结构优化调整力度，推动“公转铁”“公转水”和多式联运，推广节能和新能源车辆。</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允许排放量要求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（1）上一年度水环境质量未完成目标的，新建排放水污染的建设项目按照总量管控要求进行倍量削减替代；</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（2）对新建排放二氧化硫、氮氧化物、工业烟粉尘和挥发性有机物的项目实施现役源2倍削减替代；</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（3）岷江干流及其支流执行总磷排放减量置换；</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（4）水质超标的水功能区，应当实施更严格的污染物排放总量削减要求。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现有源提标升级改造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（1）现有及新建处理规模大于1000吨日的城镇生活污水处理厂执行《四川省岷江、沱江流域水污染物排放标准》（DB51 2311-2016）；</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（2）市中区、五通桥区、沙湾区、犍为县、井研县、峨眉山市、夹江县属大气污染重点区域，执行大气污染物排放特别限值和特别管控要求；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（3）全市燃煤锅炉稳定达到超低排放限值要求，烟粉尘低于10毫克立方米，二氧化硫低于35毫克立方米，氮氧化物低于50毫克立方米。</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其他污染物排放管控要求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（1）到2030年，城市污水处理率达到100%；</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（2）加快城市污水处理厂提标改造，推进人工湿地等深度处理设施配套建设，进一步降低人口密集区污染入河负荷；</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严格执行《关于实施第六阶段机动车排放标准的通告》、《四川省机动车和非道路移动机械排气污染防治办法》。加快淘汰老旧车辆。严禁排放不达标车辆跨区域转移，鼓励、引导老旧车等高排放车辆提前报废更新。开展非道路移动机械污染整治。推进不达标工程机械清洁化改造和淘汰；</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深化扬尘污染治理。建筑施工工地全部做到工地周边围挡、物料堆放覆盖、土方开挖湿法作业、路面硬化、出入车辆清洗、渣土车辆密闭运输“六个百分之百”。施工场地全部安装高空作业雾炮和围挡喷淋装置、在线监测和视频监控设备，监测数据与市、县主管部门联网。严格堆场规范化全封闭管理；</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5）强化挥发性有机物整治。全面淘汰开启式干洗机；推广使用符合环保要求的建筑涂料、油墨、木器涂料、胶黏剂等产品；全面推广汽修行业使用低挥发性涂料，采用高效涂装工艺，完善有机废气收集和处理系统，取缔露天和敞开式汽修喷涂作业；全面推进储油库、油罐车、加油站油气回收改造，回收率提高到80%以上；开展餐饮、食堂、露天烧烤专项整治；</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（6）到2023年底，市级城市污泥无害化处置率达92%、县级城市达85%。到2030年，城市生活垃圾无害化处置率达100%，工业固体废弃物综合利用率达100%，危废处理率100%。</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联防联控要求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（1）现有涉及五类重金属的企业，严控污染物排放，限时整治或搬迁；</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应按相关要求进行土壤环境状况调查评估，符合相应规划用地土壤环境质量要求的地块，方可进入用地程序。</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水资源利用总量要求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城镇园林绿化、河湖景观、环境卫生、消防等市政用水应当优先使用再生水、雨水等非常规水源。鼓励园林绿化采用喷灌、微灌等高效节水灌溉方式。洗浴、洗车、游泳场馆等场所应当采用低耗水、循环用水等节水技术、设备和设施。餐饮、娱乐、宾馆等服务型企业应当优先采用节水型器具和设备，逐步淘汰耗水量高的用水器具和设备；</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（2）鼓励生活污水再生利用设施建设、鼓励经处理符合使用条件的生活污水用于城市杂用、工业生产、景观用水、河道补水等方面，提高生活污水再生利用效率。</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地下水开采要求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能源利用总量及效率要求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（1）依据大气污染治理和环境改善的目标，强化区域能源结构优化调整，科学合理地进行分阶段、分区域禁煤；</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（2）实施煤炭消费总量控制：严格控制煤炭消费总量；严格控制新建、改建、扩建耗煤项目，新增耗煤项目实行当年煤炭消耗减量倍量替代。</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禁燃区要求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（1）禁燃区禁止审批（核准、备案）、新建、扩建燃用高污染燃料的锅炉、炉窑等各类燃用高污染燃料的设施；</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（2）禁止在高污染燃料禁燃区销售、燃用各类高污染燃料。</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tc>
        <w:tc>
          <w:tcPr>
            <w:tcW w:w="395" w:type="pc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tc>
        <w:tc>
          <w:tcPr>
            <w:tcW w:w="1131" w:type="pct"/>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1、禁止在城镇用地布局规划确定的公共绿地、生态廊道内进行规模化建设开发，只允许必要的公共性园林式景观点状服务休闲设施建设；2、其他执行乐山市城镇重点管控单元普适性总体准入要求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1、西进南拓、中心提升、优化西南、控制东部、完善北部；2、其他执行乐山市城镇重点管控单元普适性总体准入要求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单元内既有合法手续的、且污染物排放和环境风险满足管控要求的企业可继续保留，不得新增污染物排放，并进一步加强监管；否则限期进行整改，整改后任不能达到要求的，属地政府责令关停退出；2、其他执行乐山市城镇重点管控单元普适性总体准入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tc>
        <w:tc>
          <w:tcPr>
            <w:tcW w:w="562" w:type="pct"/>
            <w:vMerge w:val="restar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本项目为巴川精神病医院床位扩建项目，本项目在原医院内门诊楼（1号楼）和住院楼（2号楼）中扩建床位至180张，土地性质为商业住宅用地；本项目</w:t>
            </w:r>
            <w:r>
              <w:rPr>
                <w:rFonts w:hint="eastAsia" w:ascii="Times New Roman" w:hAnsi="Times New Roman" w:eastAsia="宋体"/>
                <w:sz w:val="21"/>
                <w:szCs w:val="21"/>
                <w:lang w:bidi="ar"/>
              </w:rPr>
              <w:t>产生的</w:t>
            </w:r>
            <w:r>
              <w:rPr>
                <w:rFonts w:hint="eastAsia" w:ascii="Times New Roman" w:hAnsi="Times New Roman" w:eastAsia="宋体"/>
                <w:sz w:val="21"/>
                <w:szCs w:val="21"/>
                <w:lang w:eastAsia="zh-CN" w:bidi="ar"/>
              </w:rPr>
              <w:t>食堂废水</w:t>
            </w:r>
            <w:r>
              <w:rPr>
                <w:rFonts w:hint="eastAsia" w:ascii="Times New Roman" w:hAnsi="Times New Roman" w:eastAsia="宋体"/>
                <w:sz w:val="21"/>
                <w:szCs w:val="21"/>
                <w:lang w:bidi="ar"/>
              </w:rPr>
              <w:t>经隔油池预处理后与医疗废水</w:t>
            </w:r>
            <w:r>
              <w:rPr>
                <w:rFonts w:hint="eastAsia" w:ascii="Times New Roman" w:hAnsi="Times New Roman" w:eastAsia="宋体"/>
                <w:sz w:val="21"/>
                <w:szCs w:val="21"/>
                <w:lang w:eastAsia="zh-CN" w:bidi="ar"/>
              </w:rPr>
              <w:t>、</w:t>
            </w:r>
            <w:r>
              <w:rPr>
                <w:rFonts w:hint="eastAsia" w:ascii="Times New Roman" w:hAnsi="Times New Roman" w:eastAsia="宋体"/>
                <w:sz w:val="21"/>
                <w:szCs w:val="21"/>
                <w:lang w:bidi="ar"/>
              </w:rPr>
              <w:t>洗涤废水</w:t>
            </w:r>
            <w:r>
              <w:rPr>
                <w:rFonts w:hint="eastAsia" w:ascii="Times New Roman" w:hAnsi="Times New Roman" w:eastAsia="宋体"/>
                <w:sz w:val="21"/>
                <w:szCs w:val="21"/>
                <w:lang w:eastAsia="zh-CN" w:bidi="ar"/>
              </w:rPr>
              <w:t>、职工生活污水有化粪池预处理后</w:t>
            </w:r>
            <w:r>
              <w:rPr>
                <w:rFonts w:hint="eastAsia" w:ascii="Times New Roman" w:hAnsi="Times New Roman" w:eastAsia="宋体"/>
                <w:sz w:val="21"/>
                <w:szCs w:val="21"/>
                <w:lang w:bidi="ar"/>
              </w:rPr>
              <w:t>一起进入院内污水处理站</w:t>
            </w:r>
            <w:r>
              <w:rPr>
                <w:rFonts w:hint="eastAsia" w:ascii="Times New Roman" w:hAnsi="Times New Roman" w:eastAsia="宋体"/>
                <w:sz w:val="21"/>
                <w:szCs w:val="21"/>
                <w:lang w:eastAsia="zh-CN" w:bidi="ar"/>
              </w:rPr>
              <w:t>，</w:t>
            </w:r>
            <w:r>
              <w:rPr>
                <w:rFonts w:hint="eastAsia" w:ascii="Times New Roman" w:hAnsi="Times New Roman" w:eastAsia="宋体" w:cs="Times New Roman"/>
                <w:kern w:val="2"/>
                <w:sz w:val="21"/>
                <w:szCs w:val="21"/>
                <w:lang w:val="en-US" w:eastAsia="zh-CN" w:bidi="ar-SA"/>
              </w:rPr>
              <w:t>处理达到《医疗机构水污染物排放标准》（GB18466-2005）表2中预处理标准后，排入市政污水管网进入乐山市第三污水处理厂处理达标后排放；噪声满足《工业企业厂界环境噪声排放标准》（GB12348-2018）2类标准；生活垃圾交由环卫部门统一处理，医疗废物收集后暂存于医疗废物暂存间，交由资质单位清运处置，实行无害化处置，污水处理站污泥经预处理后妥善暂存于医疗废物暂存间，定期交由资质单位清运处置。</w:t>
            </w:r>
          </w:p>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340" w:type="pct"/>
            <w:vMerge w:val="restar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ZH51110220001</w:t>
            </w:r>
          </w:p>
        </w:tc>
        <w:tc>
          <w:tcPr>
            <w:tcW w:w="347"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市中区中心城区</w:t>
            </w:r>
          </w:p>
        </w:tc>
        <w:tc>
          <w:tcPr>
            <w:tcW w:w="1798"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（1）原则上禁止新建生产性企业，经论证与周边环境相容的涉及民生的工业企业除外；</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 xml:space="preserve">（2）禁止在长江干支流岸线1公里范围内新建、扩建化工园区和化工项目；禁止在长江重要支流岸线一公里范围内新建、改建、扩建尾矿库（以提升安全、生态环境保护水平为目的的改建除外）； </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（3）禁止在居民区、学校、医疗和养老机构等周边新建有色金属冶炼、焦化、化工、铅蓄电池制造等行业企业。严禁在人口聚集区新建涉及重金属排放的项目；</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（4）禁止在长江流域禁止采砂区和禁止采砂期从事采砂活动。</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（1）现有工业企业（涉及民生的除外）限制发展，允许以提升安全、生态环境保护水平为目的的改建，引导企业搬入产业对口园区；</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（2）严格控制在城镇空间范围内新布设工业园区。若新布局工业园区，应符合乐山市国土空间规划，并结合区域环境特点、三线成果、园区产业类别，充分论证选址的环境合理性；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（3）长江流域河道采砂应当依法取得国务院水行政主管部门有关流域管理机构或者县级以上地方人民政府水行政主管部门的许可。严格控制采砂区域、采砂总量和采砂区域内的采砂船舶数量。</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（1）长江主要支流重点管控岸线：按照长江干线非法码头治理标准和生态保护红线管控等要求，持续开展长江主要支流非法码头整治；</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（2）加快城市建成区重污染企业搬迁改造或关闭退出，推动实施一批重污染企业搬迁工程；大气污染防治重点区域城市钢铁企业要切实采取彻底关停、转型发展、就地改造、域外搬迁等方式转型升级；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（3）长江干流及主要支流岸线延伸至陆域200米范围内基本消除畜禽养殖场（小区）。</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（1）长江干流及主要支流重点管控岸线：加强滨水岸线管控，以生态保护为主基调，加快推进生态修复工作进程；</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（2）加大交通运输结构优化调整力度，推动“公转铁”“公转水”和多式联运，推广节能和新能源车辆。</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允许排放量要求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（1）上一年度水环境质量未完成目标的，新建排放水污染的建设项目按照总量管控要求进行倍量削减替代；</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（2）对新建排放二氧化硫、氮氧化物、工业烟粉尘和挥发性有机物的项目实施现役源2倍削减替代；</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（3）岷江干流及其支流执行总磷排放减量置换；</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（4）水质超标的水功能区，应当实施更严格的污染物排放总量削减要求。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现有源提标升级改造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（1）现有及新建处理规模大于1000吨日的城镇生活污水处理厂执行《四川省岷江、沱江流域水污染物排放标准》（DB51 2311-2016）；</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（2）市中区、五通桥区、沙湾区、犍为县、井研县、峨眉山市、夹江县属大气污染重点区域，执行大气污染物排放特别限值和特别管控要求；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（3）全市燃煤锅炉稳定达到超低排放限值要求，烟粉尘低于10毫克立方米，二氧化硫低于35毫克立方米，氮氧化物低于50毫克立方米。</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其他污染物排放管控要求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（1）到2030年，城市污水处理率达到100%；</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（2）加快城市污水处理厂提标改造，推进人工湿地等深度处理设施配套建设，进一步降低人口密集区污染入河负荷；</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严格执行《关于实施第六阶段机动车排放标准的通告》、《四川省机动车和非道路移动机械排气污染防治办法》。加快淘汰老旧车辆。严禁排放不达标车辆跨区域转移，鼓励、引导老旧车等高排放车辆提前报废更新。开展非道路移动机械污染整治。推进不达标工程机械清洁化改造和淘汰；</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深化扬尘污染治理。建筑施工工地全部做到工地周边围挡、物料堆放覆盖、土方开挖湿法作业、路面硬化、出入车辆清洗、渣土车辆密闭运输“六个百分之百”。施工场地全部安装高空作业雾炮和围挡喷淋装置、在线监测和视频监控设备，监测数据与市、县主管部门联网。严格堆场规范化全封闭管理；</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5）强化挥发性有机物整治。全面淘汰开启式干洗机；推广使用符合环保要求的建筑涂料、油墨、木器涂料、胶黏剂等产品；全面推广汽修行业使用低挥发性涂料，采用高效涂装工艺，完善有机废气收集和处理系统，取缔露天和敞开式汽修喷涂作业；全面推进储油库、油罐车、加油站油气回收改造，回收率提高到80%以上；开展餐饮、食堂、露天烧烤专项整治；</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（6）到2023年底，市级城市污泥无害化处置率达92%、县级城市达85%。到2030年，城市生活垃圾无害化处置率达100%，工业固体废弃物综合利用率达100%，危废处理率100%。</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联防联控要求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（1）现有涉及五类重金属的企业，严控污染物排放，限时整治或搬迁；</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应按相关要求进行土壤环境状况调查评估，符合相应规划用地土壤环境质量要求的地块，方可进入用地程序。</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水资源利用总量要求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城镇园林绿化、河湖景观、环境卫生、消防等市政用水应当优先使用再生水、雨水等非常规水源。鼓励园林绿化采用喷灌、微灌等高效节水灌溉方式。洗浴、洗车、游泳场馆等场所应当采用低耗水、循环用水等节水技术、设备和设施。餐饮、娱乐、宾馆等服务型企业应当优先采用节水型器具和设备，逐步淘汰耗水量高的用水器具和设备；</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（2）鼓励生活污水再生利用设施建设、鼓励经处理符合使用条件的生活污水用于城市杂用、工业生产、景观用水、河道补水等方面，提高生活污水再生利用效率。</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地下水开采要求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能源利用总量及效率要求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（1）依据大气污染治理和环境改善的目标，强化区域能源结构优化调整，科学合理地进行分阶段、分区域禁煤；</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（2）实施煤炭消费总量控制：严格控制煤炭消费总量；严格控制新建、改建、扩建耗煤项目，新增耗煤项目实行当年煤炭消耗减量倍量替代。</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禁燃区要求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（1）禁燃区禁止审批（核准、备案）、新建、扩建燃用高污染燃料的锅炉、炉窑等各类燃用高污染燃料的设施；</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（2）禁止在高污染燃料禁燃区销售、燃用各类高污染燃料。</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tc>
        <w:tc>
          <w:tcPr>
            <w:tcW w:w="395" w:type="pc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tc>
        <w:tc>
          <w:tcPr>
            <w:tcW w:w="1131" w:type="pct"/>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现有源提标升级改造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执行乐山市城镇重点管控单元普适性总体准入要求。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新增源等量或倍量替代</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执行乐山市城镇重点管控单元普适性总体准入要求。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新增源排放标准限值</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污染物排放绩效水平准入要求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执行乐山市城镇重点管控单元普适性总体准入要求。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其他污染物排放管控要求</w:t>
            </w:r>
          </w:p>
        </w:tc>
        <w:tc>
          <w:tcPr>
            <w:tcW w:w="562"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340"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ZH51110220001</w:t>
            </w:r>
          </w:p>
        </w:tc>
        <w:tc>
          <w:tcPr>
            <w:tcW w:w="347"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市中区中心城区</w:t>
            </w:r>
          </w:p>
        </w:tc>
        <w:tc>
          <w:tcPr>
            <w:tcW w:w="1798"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（1）原则上禁止新建生产性企业，经论证与周边环境相容的涉及民生的工业企业除外；</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 xml:space="preserve">（2）禁止在长江干支流岸线1公里范围内新建、扩建化工园区和化工项目；禁止在长江重要支流岸线一公里范围内新建、改建、扩建尾矿库（以提升安全、生态环境保护水平为目的的改建除外）； </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（3）禁止在居民区、学校、医疗和养老机构等周边新建有色金属冶炼、焦化、化工、铅蓄电池制造等行业企业。严禁在人口聚集区新建涉及重金属排放的项目；</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（4）禁止在长江流域禁止采砂区和禁止采砂期从事采砂活动。</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（1）现有工业企业（涉及民生的除外）限制发展，允许以提升安全、生态环境保护水平为目的的改建，引导企业搬入产业对口园区；</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（2）严格控制在城镇空间范围内新布设工业园区。若新布局工业园区，应符合乐山市国土空间规划，并结合区域环境特点、三线成果、园区产业类别，充分论证选址的环境合理性；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（3）长江流域河道采砂应当依法取得国务院水行政主管部门有关流域管理机构或者县级以上地方人民政府水行政主管部门的许可。严格控制采砂区域、采砂总量和采砂区域内的采砂船舶数量。</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（1）长江主要支流重点管控岸线：按照长江干线非法码头治理标准和生态保护红线管控等要求，持续开展长江主要支流非法码头整治；</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（2）加快城市建成区重污染企业搬迁改造或关闭退出，推动实施一批重污染企业搬迁工程；大气污染防治重点区域城市钢铁企业要切实采取彻底关停、转型发展、就地改造、域外搬迁等方式转型升级；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（3）长江干流及主要支流岸线延伸至陆域200米范围内基本消除畜禽养殖场（小区）。</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（1）长江干流及主要支流重点管控岸线：加强滨水岸线管控，以生态保护为主基调，加快推进生态修复工作进程；</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（2）加大交通运输结构优化调整力度，推动“公转铁”“公转水”和多式联运，推广节能和新能源车辆。</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允许排放量要求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（1）上一年度水环境质量未完成目标的，新建排放水污染的建设项目按照总量管控要求进行倍量削减替代；</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（2）对新建排放二氧化硫、氮氧化物、工业烟粉尘和挥发性有机物的项目实施现役源2倍削减替代；</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（3）岷江干流及其支流执行总磷排放减量置换；</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（4）水质超标的水功能区，应当实施更严格的污染物排放总量削减要求。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现有源提标升级改造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（1）现有及新建处理规模大于1000吨日的城镇生活污水处理厂执行《四川省岷江、沱江流域水污染物排放标准》（DB51 2311-2016）；</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（2）市中区、五通桥区、沙湾区、犍为县、井研县、峨眉山市、夹江县属大气污染重点区域，执行大气污染物排放特别限值和特别管控要求；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（3）全市燃煤锅炉稳定达到超低排放限值要求，烟粉尘低于10毫克立方米，二氧化硫低于35毫克立方米，氮氧化物低于50毫克立方米。</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其他污染物排放管控要求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（1）到2030年，城市污水处理率达到100%；</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（2）加快城市污水处理厂提标改造，推进人工湿地等深度处理设施配套建设，进一步降低人口密集区污染入河负荷；</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严格执行《关于实施第六阶段机动车排放标准的通告》、《四川省机动车和非道路移动机械排气污染防治办法》。加快淘汰老旧车辆。严禁排放不达标车辆跨区域转移，鼓励、引导老旧车等高排放车辆提前报废更新。开展非道路移动机械污染整治。推进不达标工程机械清洁化改造和淘汰；</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深化扬尘污染治理。建筑施工工地全部做到工地周边围挡、物料堆放覆盖、土方开挖湿法作业、路面硬化、出入车辆清洗、渣土车辆密闭运输“六个百分之百”。施工场地全部安装高空作业雾炮和围挡喷淋装置、在线监测和视频监控设备，监测数据与市、县主管部门联网。严格堆场规范化全封闭管理；</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5）强化挥发性有机物整治。全面淘汰开启式干洗机；推广使用符合环保要求的建筑涂料、油墨、木器涂料、胶黏剂等产品；全面推广汽修行业使用低挥发性涂料，采用高效涂装工艺，完善有机废气收集和处理系统，取缔露天和敞开式汽修喷涂作业；全面推进储油库、油罐车、加油站油气回收改造，回收率提高到80%以上；开展餐饮、食堂、露天烧烤专项整治；</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（6）到2023年底，市级城市污泥无害化处置率达92%、县级城市达85%。到2030年，城市生活垃圾无害化处置率达100%，工业固体废弃物综合利用率达100%，危废处理率100%。</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联防联控要求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（1）现有涉及五类重金属的企业，严控污染物排放，限时整治或搬迁；</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应按相关要求进行土壤环境状况调查评估，符合相应规划用地土壤环境质量要求的地块，方可进入用地程序。</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水资源利用总量要求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城镇园林绿化、河湖景观、环境卫生、消防等市政用水应当优先使用再生水、雨水等非常规水源。鼓励园林绿化采用喷灌、微灌等高效节水灌溉方式。洗浴、洗车、游泳场馆等场所应当采用低耗水、循环用水等节水技术、设备和设施。餐饮、娱乐、宾馆等服务型企业应当优先采用节水型器具和设备，逐步淘汰耗水量高的用水器具和设备；</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（2）鼓励生活污水再生利用设施建设、鼓励经处理符合使用条件的生活污水用于城市杂用、工业生产、景观用水、河道补水等方面，提高生活污水再生利用效率。</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地下水开采要求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能源利用总量及效率要求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（1）依据大气污染治理和环境改善的目标，强化区域能源结构优化调整，科学合理地进行分阶段、分区域禁煤；</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（2）实施煤炭消费总量控制：严格控制煤炭消费总量；严格控制新建、改建、扩建耗煤项目，新增耗煤项目实行当年煤炭消耗减量倍量替代。</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禁燃区要求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（1）禁燃区禁止审批（核准、备案）、新建、扩建燃用高污染燃料的锅炉、炉窑等各类燃用高污染燃料的设施；</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（2）禁止在高污染燃料禁燃区销售、燃用各类高污染燃料。</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tc>
        <w:tc>
          <w:tcPr>
            <w:tcW w:w="395" w:type="pc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tc>
        <w:tc>
          <w:tcPr>
            <w:tcW w:w="1131" w:type="pct"/>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严格管控类农用地管控要求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安全利用类农用地管控要求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污染地块管控要求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园区环境风险防控要求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企业环境风险防控要求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1、加强涉危涉化企业管控，严控环境风险；2、其他执行乐山市城镇重点管控单元普适性总体准入要求。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执行乐山市城镇重点管控单元普适性总体准入要求。</w:t>
            </w:r>
          </w:p>
        </w:tc>
        <w:tc>
          <w:tcPr>
            <w:tcW w:w="562"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340"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ZH51110220001</w:t>
            </w:r>
          </w:p>
        </w:tc>
        <w:tc>
          <w:tcPr>
            <w:tcW w:w="347"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市中区中心城区</w:t>
            </w:r>
          </w:p>
        </w:tc>
        <w:tc>
          <w:tcPr>
            <w:tcW w:w="1798"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（1）原则上禁止新建生产性企业，经论证与周边环境相容的涉及民生的工业企业除外；</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 xml:space="preserve">（2）禁止在长江干支流岸线1公里范围内新建、扩建化工园区和化工项目；禁止在长江重要支流岸线一公里范围内新建、改建、扩建尾矿库（以提升安全、生态环境保护水平为目的的改建除外）； </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（3）禁止在居民区、学校、医疗和养老机构等周边新建有色金属冶炼、焦化、化工、铅蓄电池制造等行业企业。严禁在人口聚集区新建涉及重金属排放的项目；</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（4）禁止在长江流域禁止采砂区和禁止采砂期从事采砂活动。</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（1）现有工业企业（涉及民生的除外）限制发展，允许以提升安全、生态环境保护水平为目的的改建，引导企业搬入产业对口园区；</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（2）严格控制在城镇空间范围内新布设工业园区。若新布局工业园区，应符合乐山市国土空间规划，并结合区域环境特点、三线成果、园区产业类别，充分论证选址的环境合理性；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（3）长江流域河道采砂应当依法取得国务院水行政主管部门有关流域管理机构或者县级以上地方人民政府水行政主管部门的许可。严格控制采砂区域、采砂总量和采砂区域内的采砂船舶数量。</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（1）长江主要支流重点管控岸线：按照长江干线非法码头治理标准和生态保护红线管控等要求，持续开展长江主要支流非法码头整治；</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（2）加快城市建成区重污染企业搬迁改造或关闭退出，推动实施一批重污染企业搬迁工程；大气污染防治重点区域城市钢铁企业要切实采取彻底关停、转型发展、就地改造、域外搬迁等方式转型升级；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（3）长江干流及主要支流岸线延伸至陆域200米范围内基本消除畜禽养殖场（小区）。</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（1）长江干流及主要支流重点管控岸线：加强滨水岸线管控，以生态保护为主基调，加快推进生态修复工作进程；</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（2）加大交通运输结构优化调整力度，推动“公转铁”“公转水”和多式联运，推广节能和新能源车辆。</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允许排放量要求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（1）上一年度水环境质量未完成目标的，新建排放水污染的建设项目按照总量管控要求进行倍量削减替代；</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（2）对新建排放二氧化硫、氮氧化物、工业烟粉尘和挥发性有机物的项目实施现役源2倍削减替代；</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（3）岷江干流及其支流执行总磷排放减量置换；</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（4）水质超标的水功能区，应当实施更严格的污染物排放总量削减要求。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现有源提标升级改造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（1）现有及新建处理规模大于1000吨日的城镇生活污水处理厂执行《四川省岷江、沱江流域水污染物排放标准》（DB51 2311-2016）；</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（2）市中区、五通桥区、沙湾区、犍为县、井研县、峨眉山市、夹江县属大气污染重点区域，执行大气污染物排放特别限值和特别管控要求；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（3）全市燃煤锅炉稳定达到超低排放限值要求，烟粉尘低于10毫克立方米，二氧化硫低于35毫克立方米，氮氧化物低于50毫克立方米。</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其他污染物排放管控要求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（1）到2030年，城市污水处理率达到100%；</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（2）加快城市污水处理厂提标改造，推进人工湿地等深度处理设施配套建设，进一步降低人口密集区污染入河负荷；</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严格执行《关于实施第六阶段机动车排放标准的通告》、《四川省机动车和非道路移动机械排气污染防治办法》。加快淘汰老旧车辆。严禁排放不达标车辆跨区域转移，鼓励、引导老旧车等高排放车辆提前报废更新。开展非道路移动机械污染整治。推进不达标工程机械清洁化改造和淘汰；</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深化扬尘污染治理。建筑施工工地全部做到工地周边围挡、物料堆放覆盖、土方开挖湿法作业、路面硬化、出入车辆清洗、渣土车辆密闭运输“六个百分之百”。施工场地全部安装高空作业雾炮和围挡喷淋装置、在线监测和视频监控设备，监测数据与市、县主管部门联网。严格堆场规范化全封闭管理；</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5）强化挥发性有机物整治。全面淘汰开启式干洗机；推广使用符合环保要求的建筑涂料、油墨、木器涂料、胶黏剂等产品；全面推广汽修行业使用低挥发性涂料，采用高效涂装工艺，完善有机废气收集和处理系统，取缔露天和敞开式汽修喷涂作业；全面推进储油库、油罐车、加油站油气回收改造，回收率提高到80%以上；开展餐饮、食堂、露天烧烤专项整治；</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（6）到2023年底，市级城市污泥无害化处置率达92%、县级城市达85%。到2030年，城市生活垃圾无害化处置率达100%，工业固体废弃物综合利用率达100%，危废处理率100%。</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联防联控要求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（1）现有涉及五类重金属的企业，严控污染物排放，限时整治或搬迁；</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应按相关要求进行土壤环境状况调查评估，符合相应规划用地土壤环境质量要求的地块，方可进入用地程序。</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水资源利用总量要求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城镇园林绿化、河湖景观、环境卫生、消防等市政用水应当优先使用再生水、雨水等非常规水源。鼓励园林绿化采用喷灌、微灌等高效节水灌溉方式。洗浴、洗车、游泳场馆等场所应当采用低耗水、循环用水等节水技术、设备和设施。餐饮、娱乐、宾馆等服务型企业应当优先采用节水型器具和设备，逐步淘汰耗水量高的用水器具和设备；</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（2）鼓励生活污水再生利用设施建设、鼓励经处理符合使用条件的生活污水用于城市杂用、工业生产、景观用水、河道补水等方面，提高生活污水再生利用效率。</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地下水开采要求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能源利用总量及效率要求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（1）依据大气污染治理和环境改善的目标，强化区域能源结构优化调整，科学合理地进行分阶段、分区域禁煤；</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（2）实施煤炭消费总量控制：严格控制煤炭消费总量；严格控制新建、改建、扩建耗煤项目，新增耗煤项目实行当年煤炭消耗减量倍量替代。</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禁燃区要求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（1）禁燃区禁止审批（核准、备案）、新建、扩建燃用高污染燃料的锅炉、炉窑等各类燃用高污染燃料的设施；</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（2）禁止在高污染燃料禁燃区销售、燃用各类高污染燃料。</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tc>
        <w:tc>
          <w:tcPr>
            <w:tcW w:w="395" w:type="pc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资源开发效率要求</w:t>
            </w:r>
          </w:p>
        </w:tc>
        <w:tc>
          <w:tcPr>
            <w:tcW w:w="1131" w:type="pct"/>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水资源利用效率要求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执行乐山市城镇重点管控单元普适性总体准入要求。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地下水开采要求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1、禁燃区内禁止审批（核准、备案）、新建、扩建燃用高污染燃料的锅炉、炉窑等各类燃用高污染燃料的设施；2、其他执行乐山市城镇重点管控单元普适性总体准入要求。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其他资源利用效率要求</w:t>
            </w:r>
          </w:p>
        </w:tc>
        <w:tc>
          <w:tcPr>
            <w:tcW w:w="562"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340"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 w:type="pct"/>
            <w:vMerge w:val="restar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YS5111022220012</w:t>
            </w:r>
          </w:p>
        </w:tc>
        <w:tc>
          <w:tcPr>
            <w:tcW w:w="347" w:type="pct"/>
            <w:vMerge w:val="restar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大渡河市中区李码头控制单元</w:t>
            </w:r>
          </w:p>
        </w:tc>
        <w:tc>
          <w:tcPr>
            <w:tcW w:w="1798" w:type="pct"/>
            <w:vMerge w:val="restart"/>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允许排放量要求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现有源提标升级改造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其他污染物排放管控要求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联防联控要求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水资源利用总量要求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地下水开采要求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能源利用总量及效率要求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禁燃区要求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tc>
        <w:tc>
          <w:tcPr>
            <w:tcW w:w="395" w:type="pc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tc>
        <w:tc>
          <w:tcPr>
            <w:tcW w:w="1131" w:type="pct"/>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tc>
        <w:tc>
          <w:tcPr>
            <w:tcW w:w="562"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340"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YS5111022220012</w:t>
            </w:r>
          </w:p>
        </w:tc>
        <w:tc>
          <w:tcPr>
            <w:tcW w:w="347"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大渡河市中区李码头控制单元</w:t>
            </w:r>
          </w:p>
        </w:tc>
        <w:tc>
          <w:tcPr>
            <w:tcW w:w="1798"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允许排放量要求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现有源提标升级改造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其他污染物排放管控要求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联防联控要求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水资源利用总量要求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地下水开采要求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能源利用总量及效率要求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禁燃区要求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tc>
        <w:tc>
          <w:tcPr>
            <w:tcW w:w="395" w:type="pc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tc>
        <w:tc>
          <w:tcPr>
            <w:tcW w:w="1131" w:type="pct"/>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城镇污水污染控制措施要求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强化生活污水治理。目前乐山市城镇生活污水处理设施基本实现了全覆盖，需进一步加强配套收集管网工程建设，逐步提高城镇生活污水收集能力，确保已建成的城镇生活污水处理设施正常运营。推进城镇生活污水处理提质增效，健全乐山市市政排水管网定期排查检测制度，建立完善市政排水管网地理信息系统，因地制宜开展合流制排水系统雨污分流改造。强化生活垃圾收集处理，推广生活垃圾分类收集处理，从源头减少处理处置量。</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工业废水污染控制措施要求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农业面源水污染控制措施要求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船舶港口水污染控制措施要求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饮用水水源和其它特殊水体保护要求</w:t>
            </w:r>
          </w:p>
        </w:tc>
        <w:tc>
          <w:tcPr>
            <w:tcW w:w="562"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340"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YS5111022220012</w:t>
            </w:r>
          </w:p>
        </w:tc>
        <w:tc>
          <w:tcPr>
            <w:tcW w:w="347"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大渡河市中区李码头控制单元</w:t>
            </w:r>
          </w:p>
        </w:tc>
        <w:tc>
          <w:tcPr>
            <w:tcW w:w="1798"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允许排放量要求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现有源提标升级改造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其他污染物排放管控要求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联防联控要求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水资源利用总量要求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地下水开采要求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能源利用总量及效率要求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禁燃区要求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tc>
        <w:tc>
          <w:tcPr>
            <w:tcW w:w="395" w:type="pc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tc>
        <w:tc>
          <w:tcPr>
            <w:tcW w:w="1131" w:type="pct"/>
            <w:vMerge w:val="restart"/>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562"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340"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YS5111022220012</w:t>
            </w:r>
          </w:p>
        </w:tc>
        <w:tc>
          <w:tcPr>
            <w:tcW w:w="347"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大渡河市中区李码头控制单元</w:t>
            </w:r>
          </w:p>
        </w:tc>
        <w:tc>
          <w:tcPr>
            <w:tcW w:w="1798"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允许排放量要求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现有源提标升级改造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其他污染物排放管控要求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联防联控要求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水资源利用总量要求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地下水开采要求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能源利用总量及效率要求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禁燃区要求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tc>
        <w:tc>
          <w:tcPr>
            <w:tcW w:w="395" w:type="pc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资源开发效率要求</w:t>
            </w:r>
          </w:p>
        </w:tc>
        <w:tc>
          <w:tcPr>
            <w:tcW w:w="1131"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562"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340"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 w:type="pct"/>
            <w:vMerge w:val="restar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YS5111022340001</w:t>
            </w:r>
          </w:p>
        </w:tc>
        <w:tc>
          <w:tcPr>
            <w:tcW w:w="347" w:type="pct"/>
            <w:vMerge w:val="restar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乐山市市中区大气环境受体敏感重点管控区</w:t>
            </w:r>
          </w:p>
        </w:tc>
        <w:tc>
          <w:tcPr>
            <w:tcW w:w="1798"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允许排放量要求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现有源提标升级改造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其他污染物排放管控要求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联防联控要求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水资源利用总量要求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地下水开采要求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能源利用总量及效率要求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禁燃区要求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tc>
        <w:tc>
          <w:tcPr>
            <w:tcW w:w="395" w:type="pc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tc>
        <w:tc>
          <w:tcPr>
            <w:tcW w:w="1131" w:type="pct"/>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tc>
        <w:tc>
          <w:tcPr>
            <w:tcW w:w="562"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340"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YS5111022340001</w:t>
            </w:r>
          </w:p>
        </w:tc>
        <w:tc>
          <w:tcPr>
            <w:tcW w:w="347"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乐山市市中区大气环境受体敏感重点管控区</w:t>
            </w:r>
          </w:p>
        </w:tc>
        <w:tc>
          <w:tcPr>
            <w:tcW w:w="1798"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允许排放量要求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现有源提标升级改造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其他污染物排放管控要求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联防联控要求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水资源利用总量要求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地下水开采要求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能源利用总量及效率要求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禁燃区要求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tc>
        <w:tc>
          <w:tcPr>
            <w:tcW w:w="395" w:type="pc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tc>
        <w:tc>
          <w:tcPr>
            <w:tcW w:w="1131" w:type="pct"/>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大气环境质量执行标准</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《环境空气质量标准》（GB3095-2012）：二级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区域大气污染物削减/替代要求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新增大气污染物排放的建设项目实施总量削减替代。</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燃煤和其他能源大气污染控制要求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工业废气污染控制要求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机动车船大气污染控制要求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加强城市交通管理。优化城市功能和布局规划，调整城区路网结构。加快建立以快速路和组团间联系主干路为骨架、组团内道路为主体的快捷、安全、衔接合理的城市道路网，缓解城区交通压力。通过错峰上下班、调整停车费、智能交通管理和服务等手段，提高机动车通行效率；大力发展城乡公共交通，形成以公共汽车为主体、出租车为补充的城市公共交通系统，基本实现城市公交线路全覆盖并及时拓展。加快步行和自行车交通系统建设；鼓励燃油机动车驾驶人在不影响道路通行且需停车三分钟以上的情况下熄灭发动机。</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扬尘污染控制要求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强化施工扬尘监管。严格落实《四川省建筑工程扬尘污染防治技术导则（试行）》、《四川省施工场地扬尘排放标准》（DB51/2682-2029）、《建筑工地扬尘治理标准》等文件要求。在进行房屋建筑、市政设施施工、河道整治、建筑物拆除、物料运输和堆放、园林绿化等活动时，应当采取扬尘污染防治措施。所有施工工地落实“六不准”、“六必须”，实现施工现场围挡、工地物料堆放覆盖、施工现场路面硬化、驶出工地车辆冲洗干净、拆迁工地湿法作业、渣土运输车辆密闭“六个百分之百”，并安装降尘除尘设施。控制道路扬尘污染。提升城市精细化管理水平，加强道路清扫保洁，大力推行建成区道路机械化湿式清扫等低尘作业方式。落实环境卫生“门前三包”责任制，提高环境卫生清扫保洁质量，保证城市道路路面及行道树、绿化带无明显浮尘、积土、淤泥，切实改善环境卫生状况。加强城郊结合部扬尘管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农业生产经营活动大气污染控制要求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重点行业企业专项治理要求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强化餐饮服务企业油烟排放整治，城市建成区餐饮企业应安装具有油雾回收功能的抽油烟机和运水烟罩、静电型和等离子型等高效油烟净化设施。中心城区建成区禁止露天烧烤。中心城区建成区内所有餐饮服务经营场所和新、改、扩建有油烟产生的餐饮项目，应当安装油烟净化设施并达到排放标准。定期对油烟净化设施进行维护保养，并保存维护保养记录，确保油烟稳定达标排放，设施正常使用率不低于95%。</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其他大气污染物排放管控要求</w:t>
            </w:r>
          </w:p>
        </w:tc>
        <w:tc>
          <w:tcPr>
            <w:tcW w:w="562"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340"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YS5111022340001</w:t>
            </w:r>
          </w:p>
        </w:tc>
        <w:tc>
          <w:tcPr>
            <w:tcW w:w="347"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乐山市市中区大气环境受体敏感重点管控区</w:t>
            </w:r>
          </w:p>
        </w:tc>
        <w:tc>
          <w:tcPr>
            <w:tcW w:w="1798"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允许排放量要求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现有源提标升级改造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其他污染物排放管控要求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联防联控要求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水资源利用总量要求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地下水开采要求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能源利用总量及效率要求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禁燃区要求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tc>
        <w:tc>
          <w:tcPr>
            <w:tcW w:w="395" w:type="pc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tc>
        <w:tc>
          <w:tcPr>
            <w:tcW w:w="1131" w:type="pct"/>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同城镇重点管控单元总体准入要求。</w:t>
            </w:r>
          </w:p>
        </w:tc>
        <w:tc>
          <w:tcPr>
            <w:tcW w:w="562"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340"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YS5111022340001</w:t>
            </w:r>
          </w:p>
        </w:tc>
        <w:tc>
          <w:tcPr>
            <w:tcW w:w="347"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乐山市市中区大气环境受体敏感重点管控区</w:t>
            </w:r>
          </w:p>
        </w:tc>
        <w:tc>
          <w:tcPr>
            <w:tcW w:w="1798"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允许排放量要求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现有源提标升级改造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其他污染物排放管控要求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联防联控要求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水资源利用总量要求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地下水开采要求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能源利用总量及效率要求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禁燃区要求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tc>
        <w:tc>
          <w:tcPr>
            <w:tcW w:w="395" w:type="pc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资源开发效率要求</w:t>
            </w:r>
          </w:p>
        </w:tc>
        <w:tc>
          <w:tcPr>
            <w:tcW w:w="1131" w:type="pct"/>
            <w:vMerge w:val="restart"/>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562"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340"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 w:type="pct"/>
            <w:vMerge w:val="restar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YS5111022540006</w:t>
            </w:r>
          </w:p>
        </w:tc>
        <w:tc>
          <w:tcPr>
            <w:tcW w:w="347" w:type="pct"/>
            <w:vMerge w:val="restar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市中区禁燃区</w:t>
            </w:r>
          </w:p>
        </w:tc>
        <w:tc>
          <w:tcPr>
            <w:tcW w:w="1798"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允许排放量要求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现有源提标升级改造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其他污染物排放管控要求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联防联控要求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水资源利用总量要求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地下水开采要求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能源利用总量及效率要求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禁燃区要求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tc>
        <w:tc>
          <w:tcPr>
            <w:tcW w:w="395" w:type="pc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tc>
        <w:tc>
          <w:tcPr>
            <w:tcW w:w="1131"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562"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340"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YS5111022540006</w:t>
            </w:r>
          </w:p>
        </w:tc>
        <w:tc>
          <w:tcPr>
            <w:tcW w:w="347"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市中区禁燃区</w:t>
            </w:r>
          </w:p>
        </w:tc>
        <w:tc>
          <w:tcPr>
            <w:tcW w:w="1798"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允许排放量要求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现有源提标升级改造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其他污染物排放管控要求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联防联控要求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水资源利用总量要求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地下水开采要求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能源利用总量及效率要求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禁燃区要求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tc>
        <w:tc>
          <w:tcPr>
            <w:tcW w:w="395" w:type="pc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tc>
        <w:tc>
          <w:tcPr>
            <w:tcW w:w="1131"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562"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340"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YS5111022540006</w:t>
            </w:r>
          </w:p>
        </w:tc>
        <w:tc>
          <w:tcPr>
            <w:tcW w:w="347"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市中区禁燃区</w:t>
            </w:r>
          </w:p>
        </w:tc>
        <w:tc>
          <w:tcPr>
            <w:tcW w:w="1798"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允许排放量要求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现有源提标升级改造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其他污染物排放管控要求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联防联控要求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水资源利用总量要求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地下水开采要求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能源利用总量及效率要求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禁燃区要求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tc>
        <w:tc>
          <w:tcPr>
            <w:tcW w:w="395" w:type="pc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tc>
        <w:tc>
          <w:tcPr>
            <w:tcW w:w="1131"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562"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340"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YS5111022540006</w:t>
            </w:r>
          </w:p>
        </w:tc>
        <w:tc>
          <w:tcPr>
            <w:tcW w:w="347"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市中区禁燃区</w:t>
            </w:r>
          </w:p>
        </w:tc>
        <w:tc>
          <w:tcPr>
            <w:tcW w:w="1798"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允许排放量要求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现有源提标升级改造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其他污染物排放管控要求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联防联控要求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水资源利用总量要求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地下水开采要求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能源利用总量及效率要求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禁燃区要求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tc>
        <w:tc>
          <w:tcPr>
            <w:tcW w:w="395" w:type="pc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资源开发效率要求</w:t>
            </w:r>
          </w:p>
        </w:tc>
        <w:tc>
          <w:tcPr>
            <w:tcW w:w="1131" w:type="pct"/>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土地资源开发效率要求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能源资源开发效率要求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能源消耗、污染物排放不得超过能源利用上线控制性指标</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其他资源开发效率要求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实施煤炭消费总量控制：严格控制煤炭消费总量；严格控制新建、改建、扩建耗煤项目，新增耗煤项目实行当年煤炭消耗减量倍量替代。（依据：《乐山市打赢蓝天保卫战实施方案》）</w:t>
            </w:r>
          </w:p>
        </w:tc>
        <w:tc>
          <w:tcPr>
            <w:tcW w:w="562"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340"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 w:type="pct"/>
            <w:vMerge w:val="restar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YS5111022550001</w:t>
            </w:r>
          </w:p>
        </w:tc>
        <w:tc>
          <w:tcPr>
            <w:tcW w:w="347" w:type="pct"/>
            <w:vMerge w:val="restar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市中区自然资源重点管控区</w:t>
            </w:r>
          </w:p>
        </w:tc>
        <w:tc>
          <w:tcPr>
            <w:tcW w:w="1798"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允许排放量要求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现有源提标升级改造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其他污染物排放管控要求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联防联控要求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水资源利用总量要求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地下水开采要求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能源利用总量及效率要求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禁燃区要求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tc>
        <w:tc>
          <w:tcPr>
            <w:tcW w:w="395" w:type="pc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tc>
        <w:tc>
          <w:tcPr>
            <w:tcW w:w="1131" w:type="pct"/>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合理开发高效利用水资源，建设节水型社会；优化土地利用布局与结构；优化产业空间布局，构建清洁能源体系</w:t>
            </w:r>
          </w:p>
        </w:tc>
        <w:tc>
          <w:tcPr>
            <w:tcW w:w="562"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340"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YS5111022550001</w:t>
            </w:r>
          </w:p>
        </w:tc>
        <w:tc>
          <w:tcPr>
            <w:tcW w:w="347"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市中区自然资源重点管控区</w:t>
            </w:r>
          </w:p>
        </w:tc>
        <w:tc>
          <w:tcPr>
            <w:tcW w:w="1798"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允许排放量要求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现有源提标升级改造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其他污染物排放管控要求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联防联控要求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水资源利用总量要求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地下水开采要求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能源利用总量及效率要求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禁燃区要求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tc>
        <w:tc>
          <w:tcPr>
            <w:tcW w:w="395" w:type="pc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tc>
        <w:tc>
          <w:tcPr>
            <w:tcW w:w="1131" w:type="pct"/>
            <w:vMerge w:val="restart"/>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562"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340"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YS5111022550001</w:t>
            </w:r>
          </w:p>
        </w:tc>
        <w:tc>
          <w:tcPr>
            <w:tcW w:w="347"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市中区自然资源重点管控区</w:t>
            </w:r>
          </w:p>
        </w:tc>
        <w:tc>
          <w:tcPr>
            <w:tcW w:w="1798"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允许排放量要求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现有源提标升级改造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其他污染物排放管控要求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联防联控要求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水资源利用总量要求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地下水开采要求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能源利用总量及效率要求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禁燃区要求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tc>
        <w:tc>
          <w:tcPr>
            <w:tcW w:w="395" w:type="pc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tc>
        <w:tc>
          <w:tcPr>
            <w:tcW w:w="1131"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562"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340"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YS5111022550001</w:t>
            </w:r>
          </w:p>
        </w:tc>
        <w:tc>
          <w:tcPr>
            <w:tcW w:w="347"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市中区自然资源重点管控区</w:t>
            </w:r>
          </w:p>
        </w:tc>
        <w:tc>
          <w:tcPr>
            <w:tcW w:w="1798" w:type="pct"/>
            <w:vMerge w:val="continue"/>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空间布局约束：</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禁止开发建设活动的要求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限制开发建设活动的要求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不符合空间布局要求活动的退出要求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其他空间布局约束要求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污染物排放管控：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允许排放量要求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现有源提标升级改造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其他污染物排放管控要求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环境风险防控：</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联防联控要求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其他环境风险防控要求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水资源利用总量要求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地下水开采要求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能源利用总量及效率要求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禁燃区要求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其他资源利用效率要求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暂无</w:t>
            </w:r>
          </w:p>
        </w:tc>
        <w:tc>
          <w:tcPr>
            <w:tcW w:w="395" w:type="pct"/>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资源开发效率要求</w:t>
            </w:r>
          </w:p>
        </w:tc>
        <w:tc>
          <w:tcPr>
            <w:tcW w:w="1131" w:type="pct"/>
            <w:noWrap w:val="0"/>
            <w:vAlign w:val="center"/>
          </w:tcPr>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土地资源开发效率要求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能源资源开发效率要求</w:t>
            </w:r>
          </w:p>
          <w:p>
            <w:pPr>
              <w:pStyle w:val="201"/>
              <w:widowControl/>
              <w:spacing w:line="240" w:lineRule="auto"/>
              <w:ind w:firstLine="0" w:firstLineChars="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其他资源开发效率要求</w:t>
            </w:r>
          </w:p>
        </w:tc>
        <w:tc>
          <w:tcPr>
            <w:tcW w:w="562"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340" w:type="pct"/>
            <w:vMerge w:val="continue"/>
            <w:noWrap w:val="0"/>
            <w:vAlign w:val="center"/>
          </w:tcPr>
          <w:p>
            <w:pPr>
              <w:pStyle w:val="201"/>
              <w:widowControl/>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r>
    </w:tbl>
    <w:p>
      <w:pPr>
        <w:spacing w:line="360" w:lineRule="auto"/>
        <w:outlineLvl w:val="0"/>
        <w:rPr>
          <w:rFonts w:eastAsia="黑体"/>
          <w:color w:val="000000"/>
          <w:sz w:val="30"/>
        </w:rPr>
        <w:sectPr>
          <w:pgSz w:w="16838" w:h="11906" w:orient="landscape"/>
          <w:pgMar w:top="1531" w:right="1701" w:bottom="1531" w:left="170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37"/>
        <w:keepNext w:val="0"/>
        <w:keepLines w:val="0"/>
        <w:pageBreakBefore w:val="0"/>
        <w:widowControl/>
        <w:kinsoku/>
        <w:wordWrap/>
        <w:overflowPunct/>
        <w:topLinePunct w:val="0"/>
        <w:autoSpaceDE/>
        <w:autoSpaceDN/>
        <w:bidi w:val="0"/>
        <w:adjustRightInd/>
        <w:snapToGrid/>
        <w:spacing w:line="240" w:lineRule="auto"/>
        <w:jc w:val="center"/>
        <w:textAlignment w:val="auto"/>
        <w:outlineLvl w:val="0"/>
        <w:rPr>
          <w:rFonts w:ascii="黑体" w:hAnsi="黑体" w:eastAsia="黑体"/>
          <w:snapToGrid w:val="0"/>
          <w:color w:val="000000"/>
          <w:sz w:val="30"/>
          <w:szCs w:val="30"/>
        </w:rPr>
      </w:pPr>
      <w:r>
        <w:rPr>
          <w:rFonts w:hint="eastAsia" w:ascii="黑体" w:hAnsi="黑体" w:eastAsia="黑体"/>
          <w:snapToGrid w:val="0"/>
          <w:color w:val="000000"/>
          <w:sz w:val="30"/>
          <w:szCs w:val="30"/>
        </w:rPr>
        <w:t>二、建设项目工程分析</w:t>
      </w:r>
    </w:p>
    <w:tbl>
      <w:tblPr>
        <w:tblStyle w:val="4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9" w:hRule="atLeast"/>
          <w:jc w:val="center"/>
        </w:trPr>
        <w:tc>
          <w:tcPr>
            <w:tcW w:w="823" w:type="dxa"/>
            <w:noWrap w:val="0"/>
            <w:vAlign w:val="center"/>
          </w:tcPr>
          <w:p>
            <w:pPr>
              <w:pStyle w:val="37"/>
              <w:adjustRightInd w:val="0"/>
              <w:snapToGrid w:val="0"/>
              <w:spacing w:before="0" w:beforeAutospacing="0" w:after="0" w:afterAutospacing="0"/>
              <w:jc w:val="center"/>
              <w:rPr>
                <w:rFonts w:ascii="Times New Roman" w:hAnsi="Times New Roman" w:eastAsia="宋体"/>
                <w:color w:val="000000"/>
                <w:sz w:val="21"/>
                <w:szCs w:val="21"/>
              </w:rPr>
            </w:pPr>
            <w:r>
              <w:rPr>
                <w:rFonts w:ascii="Times New Roman" w:hAnsi="Times New Roman" w:eastAsia="宋体"/>
                <w:color w:val="000000"/>
                <w:sz w:val="21"/>
                <w:szCs w:val="21"/>
              </w:rPr>
              <w:t>建设内容</w:t>
            </w:r>
          </w:p>
        </w:tc>
        <w:tc>
          <w:tcPr>
            <w:tcW w:w="8161" w:type="dxa"/>
            <w:noWrap w:val="0"/>
            <w:vAlign w:val="top"/>
          </w:tcPr>
          <w:p>
            <w:pPr>
              <w:pStyle w:val="185"/>
              <w:ind w:firstLine="482"/>
              <w:rPr>
                <w:rFonts w:ascii="Times New Roman" w:hAnsi="Times New Roman" w:eastAsia="宋体"/>
                <w:b/>
                <w:color w:val="000000"/>
              </w:rPr>
            </w:pPr>
            <w:r>
              <w:rPr>
                <w:rFonts w:hint="eastAsia" w:ascii="Times New Roman" w:hAnsi="Times New Roman" w:eastAsia="宋体"/>
                <w:b/>
                <w:color w:val="000000"/>
                <w:lang w:eastAsia="zh-CN"/>
              </w:rPr>
              <w:t>一</w:t>
            </w:r>
            <w:r>
              <w:rPr>
                <w:rFonts w:ascii="Times New Roman" w:hAnsi="Times New Roman" w:eastAsia="宋体"/>
                <w:b/>
                <w:color w:val="000000"/>
              </w:rPr>
              <w:t>、项目概况</w:t>
            </w:r>
          </w:p>
          <w:p>
            <w:pPr>
              <w:pStyle w:val="185"/>
              <w:ind w:firstLine="480"/>
              <w:rPr>
                <w:rFonts w:hint="eastAsia" w:ascii="Times New Roman" w:hAnsi="Times New Roman" w:eastAsia="宋体"/>
              </w:rPr>
            </w:pPr>
            <w:r>
              <w:rPr>
                <w:rFonts w:hint="eastAsia" w:ascii="Times New Roman" w:hAnsi="Times New Roman" w:eastAsia="宋体"/>
              </w:rPr>
              <w:t>乐山市卫生和计划生育局于2017年5月以（乐市计复[2017]49号）文件和（乐市计复[2017]50号）设置医疗机构批准书同意设置乐山巴川精神病专科医院，于2018年1月颁发《医疗机构执业许可证》（登记号：PDY81864751110217A5202）。2017年8月，四川巴川医疗科技有限公司委托四川中环立新环保工程咨询有限公司编制《乐山巴川精神病专科医院项目环境影响报告表》，并于2017年12月通过原乐山市环境保护局取得《关于乐山巴川精神病专科医院项目环境影响报告表的审批意见》（乐市环审[2017]105号），经批复后建设内容为：项目总用地面积3576m</w:t>
            </w:r>
            <w:r>
              <w:rPr>
                <w:rFonts w:hint="eastAsia" w:ascii="Times New Roman" w:hAnsi="Times New Roman" w:eastAsia="宋体"/>
                <w:vertAlign w:val="superscript"/>
              </w:rPr>
              <w:t>2</w:t>
            </w:r>
            <w:r>
              <w:rPr>
                <w:rFonts w:hint="eastAsia" w:ascii="Times New Roman" w:hAnsi="Times New Roman" w:eastAsia="宋体"/>
              </w:rPr>
              <w:t>，总建筑面积约8000m</w:t>
            </w:r>
            <w:r>
              <w:rPr>
                <w:rFonts w:hint="eastAsia" w:ascii="Times New Roman" w:hAnsi="Times New Roman" w:eastAsia="宋体"/>
                <w:vertAlign w:val="superscript"/>
              </w:rPr>
              <w:t>2</w:t>
            </w:r>
            <w:r>
              <w:rPr>
                <w:rFonts w:hint="eastAsia" w:ascii="Times New Roman" w:hAnsi="Times New Roman" w:eastAsia="宋体"/>
              </w:rPr>
              <w:t>，主体工程包括1栋3层综合楼，建筑面积约1800m</w:t>
            </w:r>
            <w:r>
              <w:rPr>
                <w:rFonts w:hint="eastAsia" w:ascii="Times New Roman" w:hAnsi="Times New Roman" w:eastAsia="宋体"/>
                <w:vertAlign w:val="superscript"/>
              </w:rPr>
              <w:t>2</w:t>
            </w:r>
            <w:r>
              <w:rPr>
                <w:rFonts w:hint="eastAsia" w:ascii="Times New Roman" w:hAnsi="Times New Roman" w:eastAsia="宋体"/>
              </w:rPr>
              <w:t>，内设检查室、治疗室、药房、挂号室、收费室、B超心电室、心理咨询室、员工办公室等；1栋2层的住院楼，建筑面积约1000m</w:t>
            </w:r>
            <w:r>
              <w:rPr>
                <w:rFonts w:hint="eastAsia" w:ascii="Times New Roman" w:hAnsi="Times New Roman" w:eastAsia="宋体"/>
                <w:vertAlign w:val="superscript"/>
              </w:rPr>
              <w:t>2</w:t>
            </w:r>
            <w:r>
              <w:rPr>
                <w:rFonts w:hint="eastAsia" w:ascii="Times New Roman" w:hAnsi="Times New Roman" w:eastAsia="宋体"/>
              </w:rPr>
              <w:t>，内设治疗室、抢救室，主要为普通病房区；1栋4层的员工宿舍楼建筑面积约1500m</w:t>
            </w:r>
            <w:r>
              <w:rPr>
                <w:rFonts w:hint="eastAsia" w:ascii="Times New Roman" w:hAnsi="Times New Roman" w:eastAsia="宋体"/>
                <w:vertAlign w:val="superscript"/>
              </w:rPr>
              <w:t>2</w:t>
            </w:r>
            <w:r>
              <w:rPr>
                <w:rFonts w:hint="eastAsia" w:ascii="Times New Roman" w:hAnsi="Times New Roman" w:eastAsia="宋体"/>
              </w:rPr>
              <w:t>；项目配套建设其它公辅工程及环保工程。医院设置床位数70张，医院综合废水经自建污水处理站预处理后，排入集镇污水管网。</w:t>
            </w:r>
          </w:p>
          <w:p>
            <w:pPr>
              <w:pStyle w:val="185"/>
              <w:ind w:firstLine="480"/>
              <w:rPr>
                <w:rFonts w:hint="eastAsia" w:ascii="Times New Roman" w:hAnsi="Times New Roman" w:eastAsia="宋体"/>
              </w:rPr>
            </w:pPr>
            <w:r>
              <w:rPr>
                <w:rFonts w:hint="eastAsia" w:ascii="Times New Roman" w:hAnsi="Times New Roman" w:eastAsia="宋体"/>
              </w:rPr>
              <w:t>乐山巴川精神病专科医院项目于2018年7月完成竣工环境保护验收工作，取得乐山巴川精神病专科医院项目的自主验收专家意见。</w:t>
            </w:r>
          </w:p>
          <w:p>
            <w:pPr>
              <w:pStyle w:val="185"/>
              <w:ind w:firstLine="480"/>
              <w:rPr>
                <w:rFonts w:hint="eastAsia" w:ascii="Times New Roman" w:hAnsi="Times New Roman" w:eastAsia="宋体"/>
              </w:rPr>
            </w:pPr>
            <w:r>
              <w:rPr>
                <w:rFonts w:hint="eastAsia" w:ascii="Times New Roman" w:hAnsi="Times New Roman" w:eastAsia="宋体"/>
              </w:rPr>
              <w:t>为改善乐山市市中区及周边区域精神病患者的就医问题，乐山巴川精神病专科医院拟在本院内投资300万元建设“巴川精神病医院床位扩建项目”</w:t>
            </w:r>
            <w:r>
              <w:rPr>
                <w:rFonts w:hint="eastAsia" w:ascii="Times New Roman" w:hAnsi="Times New Roman" w:eastAsia="宋体"/>
                <w:lang w:eastAsia="zh-CN"/>
              </w:rPr>
              <w:t>，建设内容为床位数从</w:t>
            </w:r>
            <w:r>
              <w:rPr>
                <w:rFonts w:hint="eastAsia" w:ascii="Times New Roman" w:hAnsi="Times New Roman" w:eastAsia="宋体"/>
                <w:lang w:val="en-US" w:eastAsia="zh-CN"/>
              </w:rPr>
              <w:t>70张扩张到180张并完善医疗公辅设施</w:t>
            </w:r>
            <w:r>
              <w:rPr>
                <w:rFonts w:hint="eastAsia" w:ascii="Times New Roman" w:hAnsi="Times New Roman" w:eastAsia="宋体"/>
              </w:rPr>
              <w:t>。</w:t>
            </w:r>
          </w:p>
          <w:p>
            <w:pPr>
              <w:pStyle w:val="185"/>
              <w:ind w:firstLine="480"/>
              <w:rPr>
                <w:rFonts w:hint="eastAsia" w:ascii="Times New Roman" w:hAnsi="Times New Roman" w:eastAsia="宋体"/>
              </w:rPr>
            </w:pPr>
            <w:r>
              <w:rPr>
                <w:rFonts w:hint="eastAsia" w:ascii="Times New Roman" w:hAnsi="Times New Roman" w:eastAsia="宋体"/>
              </w:rPr>
              <w:t>目前，本项目已获得乐山市中区发展和改革委备案，备案号：川投资备【2301-511102-04-01-574540】FGQB-0007号。乐山市卫生健康委员会于2022年12月颁发新的《医疗机构执业许可证》（登记号：PDY81864751110217A5202）。</w:t>
            </w:r>
          </w:p>
          <w:p>
            <w:pPr>
              <w:pStyle w:val="185"/>
              <w:ind w:firstLine="480"/>
              <w:rPr>
                <w:rFonts w:ascii="Times New Roman" w:hAnsi="Times New Roman" w:eastAsia="宋体"/>
                <w:color w:val="000000"/>
              </w:rPr>
            </w:pPr>
            <w:r>
              <w:rPr>
                <w:rFonts w:hint="eastAsia" w:ascii="Times New Roman" w:hAnsi="Times New Roman" w:eastAsia="宋体"/>
              </w:rPr>
              <w:t>按照《中华人民共和国环境保护法》、《中华人民共和国环境影响评价法》和《建设项目环境保护管理条例》（国务院令第682号令）的有关规定，一切新建、扩建、技改项目必须进行环境影响评价。根据《建设项目环境影响评价分类管理名录（2021年版）》（生态环境部令第16号），本项目属于“四十九、卫生—108 专科疾病防治院（所、站）8432”中的“其他（住院床位20张以下的除外）”，应编制环境影响报告表。为此，乐山巴川精神病专科医院有限公司委托乐山市四维环保科技有限责任公司开展该项目环境影响评价工作。我公司接受委托后，派工程技术人员到现场进行调查和资料收集，按照国家建设项目环境影响报告表的有关技术规范要求，编制完成该项目环境影响报告表。</w:t>
            </w:r>
          </w:p>
          <w:p>
            <w:pPr>
              <w:adjustRightInd w:val="0"/>
              <w:snapToGrid w:val="0"/>
              <w:spacing w:line="360" w:lineRule="auto"/>
              <w:ind w:firstLine="482" w:firstLineChars="200"/>
              <w:rPr>
                <w:rFonts w:ascii="Times New Roman" w:hAnsi="Times New Roman" w:eastAsia="宋体"/>
                <w:color w:val="000000"/>
                <w:sz w:val="28"/>
                <w:szCs w:val="28"/>
              </w:rPr>
            </w:pPr>
            <w:r>
              <w:rPr>
                <w:rFonts w:hint="eastAsia" w:ascii="Times New Roman" w:hAnsi="Times New Roman" w:eastAsia="宋体"/>
                <w:b/>
                <w:color w:val="000000"/>
                <w:sz w:val="24"/>
                <w:lang w:eastAsia="zh-CN"/>
              </w:rPr>
              <w:t>二</w:t>
            </w:r>
            <w:r>
              <w:rPr>
                <w:rFonts w:ascii="Times New Roman" w:hAnsi="Times New Roman" w:eastAsia="宋体"/>
                <w:b/>
                <w:color w:val="000000"/>
                <w:sz w:val="24"/>
              </w:rPr>
              <w:t>、</w:t>
            </w:r>
            <w:r>
              <w:rPr>
                <w:rFonts w:ascii="Times New Roman" w:hAnsi="Times New Roman" w:eastAsia="宋体"/>
                <w:b/>
                <w:bCs/>
                <w:color w:val="000000"/>
                <w:sz w:val="24"/>
              </w:rPr>
              <w:t>项目名称、建设单位、建设地点、性质</w:t>
            </w:r>
          </w:p>
          <w:p>
            <w:pPr>
              <w:adjustRightInd w:val="0"/>
              <w:snapToGrid w:val="0"/>
              <w:spacing w:line="360" w:lineRule="auto"/>
              <w:ind w:firstLine="480" w:firstLineChars="200"/>
              <w:rPr>
                <w:rFonts w:hint="eastAsia" w:ascii="Times New Roman" w:hAnsi="Times New Roman" w:eastAsia="宋体"/>
                <w:color w:val="000000"/>
                <w:sz w:val="24"/>
              </w:rPr>
            </w:pPr>
            <w:r>
              <w:rPr>
                <w:rFonts w:hint="eastAsia" w:ascii="Times New Roman" w:hAnsi="Times New Roman" w:eastAsia="宋体"/>
                <w:color w:val="000000"/>
                <w:sz w:val="24"/>
              </w:rPr>
              <w:t>项目名称：巴川精神病医院床位扩建项目</w:t>
            </w:r>
          </w:p>
          <w:p>
            <w:pPr>
              <w:adjustRightInd w:val="0"/>
              <w:snapToGrid w:val="0"/>
              <w:spacing w:line="360" w:lineRule="auto"/>
              <w:ind w:firstLine="480" w:firstLineChars="200"/>
              <w:rPr>
                <w:rFonts w:hint="eastAsia" w:ascii="Times New Roman" w:hAnsi="Times New Roman" w:eastAsia="宋体"/>
                <w:color w:val="000000"/>
                <w:sz w:val="24"/>
              </w:rPr>
            </w:pPr>
            <w:r>
              <w:rPr>
                <w:rFonts w:hint="eastAsia" w:ascii="Times New Roman" w:hAnsi="Times New Roman" w:eastAsia="宋体"/>
                <w:color w:val="000000"/>
                <w:sz w:val="24"/>
              </w:rPr>
              <w:t>建设单位：乐山巴川精神病专科医院有限公司</w:t>
            </w:r>
          </w:p>
          <w:p>
            <w:pPr>
              <w:adjustRightInd w:val="0"/>
              <w:snapToGrid w:val="0"/>
              <w:spacing w:line="360" w:lineRule="auto"/>
              <w:ind w:firstLine="480" w:firstLineChars="200"/>
              <w:rPr>
                <w:rFonts w:hint="eastAsia" w:ascii="Times New Roman" w:hAnsi="Times New Roman" w:eastAsia="宋体"/>
                <w:color w:val="000000"/>
                <w:sz w:val="24"/>
              </w:rPr>
            </w:pPr>
            <w:r>
              <w:rPr>
                <w:rFonts w:hint="eastAsia" w:ascii="Times New Roman" w:hAnsi="Times New Roman" w:eastAsia="宋体"/>
                <w:color w:val="000000"/>
                <w:sz w:val="24"/>
              </w:rPr>
              <w:t>建设地点：乐山市市中区水口镇徐月村7组456号</w:t>
            </w:r>
          </w:p>
          <w:p>
            <w:pPr>
              <w:adjustRightInd w:val="0"/>
              <w:snapToGrid w:val="0"/>
              <w:spacing w:line="360" w:lineRule="auto"/>
              <w:ind w:firstLine="480" w:firstLineChars="200"/>
              <w:rPr>
                <w:rFonts w:hint="eastAsia" w:ascii="Times New Roman" w:hAnsi="Times New Roman" w:eastAsia="宋体"/>
                <w:color w:val="000000"/>
                <w:sz w:val="24"/>
              </w:rPr>
            </w:pPr>
            <w:r>
              <w:rPr>
                <w:rFonts w:hint="eastAsia" w:ascii="Times New Roman" w:hAnsi="Times New Roman" w:eastAsia="宋体"/>
                <w:color w:val="000000"/>
                <w:sz w:val="24"/>
              </w:rPr>
              <w:t>建设性质：扩建</w:t>
            </w:r>
          </w:p>
          <w:p>
            <w:pPr>
              <w:adjustRightInd w:val="0"/>
              <w:snapToGrid w:val="0"/>
              <w:spacing w:line="360" w:lineRule="auto"/>
              <w:ind w:firstLine="480" w:firstLineChars="200"/>
              <w:rPr>
                <w:rFonts w:hint="eastAsia" w:ascii="Times New Roman" w:hAnsi="Times New Roman" w:eastAsia="宋体"/>
                <w:color w:val="000000"/>
                <w:sz w:val="24"/>
              </w:rPr>
            </w:pPr>
            <w:r>
              <w:rPr>
                <w:rFonts w:hint="eastAsia" w:ascii="Times New Roman" w:hAnsi="Times New Roman" w:eastAsia="宋体"/>
                <w:color w:val="000000"/>
                <w:sz w:val="24"/>
              </w:rPr>
              <w:t>项目总投资：300万元</w:t>
            </w:r>
          </w:p>
          <w:p>
            <w:pPr>
              <w:adjustRightInd w:val="0"/>
              <w:snapToGrid w:val="0"/>
              <w:spacing w:line="360" w:lineRule="auto"/>
              <w:ind w:firstLine="480" w:firstLineChars="200"/>
              <w:rPr>
                <w:rFonts w:hint="eastAsia" w:ascii="Times New Roman" w:hAnsi="Times New Roman" w:eastAsia="宋体"/>
                <w:color w:val="000000"/>
                <w:sz w:val="24"/>
              </w:rPr>
            </w:pPr>
            <w:r>
              <w:rPr>
                <w:rFonts w:hint="eastAsia" w:ascii="Times New Roman" w:hAnsi="Times New Roman" w:eastAsia="宋体"/>
                <w:color w:val="000000"/>
                <w:sz w:val="24"/>
              </w:rPr>
              <w:t>建设内容：本项目</w:t>
            </w:r>
            <w:r>
              <w:rPr>
                <w:rFonts w:hint="eastAsia" w:ascii="Times New Roman" w:hAnsi="Times New Roman" w:eastAsia="宋体"/>
                <w:color w:val="000000"/>
                <w:sz w:val="24"/>
                <w:lang w:eastAsia="zh-CN"/>
              </w:rPr>
              <w:t>院</w:t>
            </w:r>
            <w:r>
              <w:rPr>
                <w:rFonts w:hint="eastAsia" w:ascii="Times New Roman" w:hAnsi="Times New Roman" w:eastAsia="宋体"/>
                <w:color w:val="000000"/>
                <w:sz w:val="24"/>
              </w:rPr>
              <w:t>区内不进行主体结构的修建，仅将床位数从70张扩张到180张，完善配套医疗公辅设施。</w:t>
            </w:r>
          </w:p>
          <w:p>
            <w:pPr>
              <w:adjustRightInd w:val="0"/>
              <w:snapToGrid w:val="0"/>
              <w:spacing w:line="360" w:lineRule="auto"/>
              <w:ind w:firstLine="480" w:firstLineChars="200"/>
              <w:rPr>
                <w:rFonts w:hint="eastAsia" w:ascii="Times New Roman" w:hAnsi="Times New Roman" w:eastAsia="宋体"/>
                <w:color w:val="000000"/>
                <w:sz w:val="24"/>
              </w:rPr>
            </w:pPr>
            <w:r>
              <w:rPr>
                <w:rFonts w:hint="eastAsia" w:ascii="Times New Roman" w:hAnsi="Times New Roman" w:eastAsia="宋体"/>
                <w:color w:val="000000"/>
                <w:sz w:val="24"/>
              </w:rPr>
              <w:t>医疗服务能力及范围：根据卫生健康委员会批准文件及业主提供资料，乐山巴川精神病专科医院设置床位180张，本项目属于精神病专科医院，不接收传染病人。</w:t>
            </w:r>
          </w:p>
          <w:p>
            <w:pPr>
              <w:adjustRightInd w:val="0"/>
              <w:snapToGrid w:val="0"/>
              <w:spacing w:line="360" w:lineRule="auto"/>
              <w:ind w:firstLine="482" w:firstLineChars="200"/>
              <w:rPr>
                <w:rFonts w:ascii="Times New Roman" w:hAnsi="Times New Roman" w:eastAsia="宋体"/>
                <w:b/>
                <w:color w:val="000000"/>
                <w:sz w:val="24"/>
              </w:rPr>
            </w:pPr>
            <w:r>
              <w:rPr>
                <w:rFonts w:hint="eastAsia" w:ascii="Times New Roman" w:hAnsi="Times New Roman" w:eastAsia="宋体"/>
                <w:b/>
                <w:color w:val="000000"/>
                <w:sz w:val="24"/>
                <w:lang w:eastAsia="zh-CN"/>
              </w:rPr>
              <w:t>三</w:t>
            </w:r>
            <w:r>
              <w:rPr>
                <w:rFonts w:ascii="Times New Roman" w:hAnsi="Times New Roman" w:eastAsia="宋体"/>
                <w:b/>
                <w:color w:val="000000"/>
                <w:sz w:val="24"/>
              </w:rPr>
              <w:t>、</w:t>
            </w:r>
            <w:r>
              <w:rPr>
                <w:rFonts w:hint="eastAsia" w:ascii="Times New Roman" w:hAnsi="Times New Roman" w:eastAsia="宋体"/>
                <w:b/>
                <w:color w:val="000000"/>
                <w:sz w:val="24"/>
              </w:rPr>
              <w:t>项目组成</w:t>
            </w:r>
          </w:p>
          <w:p>
            <w:pPr>
              <w:adjustRightInd w:val="0"/>
              <w:snapToGrid w:val="0"/>
              <w:spacing w:line="360" w:lineRule="auto"/>
              <w:ind w:firstLine="480" w:firstLineChars="200"/>
              <w:rPr>
                <w:rFonts w:ascii="Times New Roman" w:hAnsi="Times New Roman" w:eastAsia="宋体"/>
                <w:color w:val="000000"/>
                <w:sz w:val="24"/>
              </w:rPr>
            </w:pPr>
            <w:r>
              <w:rPr>
                <w:rFonts w:hint="eastAsia" w:ascii="Times New Roman" w:hAnsi="Times New Roman" w:eastAsia="宋体"/>
                <w:color w:val="000000"/>
                <w:sz w:val="24"/>
              </w:rPr>
              <w:t>本项目主要由主体工程、辅助工程、环保工程及公用工程组成，本项目在营运期的项目组成及主要的环境问题列表如下表：</w:t>
            </w:r>
          </w:p>
          <w:p>
            <w:pPr>
              <w:pStyle w:val="186"/>
              <w:spacing w:line="240" w:lineRule="auto"/>
              <w:rPr>
                <w:rFonts w:hint="eastAsia" w:ascii="Times New Roman" w:hAnsi="Times New Roman" w:eastAsia="宋体"/>
              </w:rPr>
            </w:pPr>
            <w:r>
              <w:rPr>
                <w:rFonts w:ascii="Times New Roman" w:hAnsi="Times New Roman" w:eastAsia="宋体"/>
              </w:rPr>
              <w:t>表2-</w:t>
            </w:r>
            <w:r>
              <w:rPr>
                <w:rFonts w:hint="eastAsia" w:ascii="Times New Roman" w:hAnsi="Times New Roman" w:eastAsia="宋体"/>
                <w:lang w:val="en-US" w:eastAsia="zh-CN"/>
              </w:rPr>
              <w:t>1</w:t>
            </w:r>
            <w:r>
              <w:rPr>
                <w:rFonts w:ascii="Times New Roman" w:hAnsi="Times New Roman" w:eastAsia="宋体"/>
              </w:rPr>
              <w:t xml:space="preserve">  </w:t>
            </w:r>
            <w:r>
              <w:rPr>
                <w:rFonts w:hint="eastAsia" w:ascii="Times New Roman" w:hAnsi="Times New Roman" w:eastAsia="宋体"/>
              </w:rPr>
              <w:t>扩建项目组成及主要环境问题</w:t>
            </w:r>
          </w:p>
          <w:tbl>
            <w:tblPr>
              <w:tblStyle w:val="41"/>
              <w:tblW w:w="508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1"/>
              <w:gridCol w:w="699"/>
              <w:gridCol w:w="3833"/>
              <w:gridCol w:w="900"/>
              <w:gridCol w:w="884"/>
              <w:gridCol w:w="11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1" w:hRule="atLeast"/>
                <w:jc w:val="center"/>
              </w:trPr>
              <w:tc>
                <w:tcPr>
                  <w:tcW w:w="409" w:type="pct"/>
                  <w:vMerge w:val="restart"/>
                  <w:tcBorders>
                    <w:bottom w:val="single" w:color="auto" w:sz="12" w:space="0"/>
                  </w:tcBorders>
                  <w:noWrap w:val="0"/>
                  <w:vAlign w:val="center"/>
                </w:tcPr>
                <w:p>
                  <w:pPr>
                    <w:pStyle w:val="129"/>
                    <w:rPr>
                      <w:b/>
                    </w:rPr>
                  </w:pPr>
                  <w:r>
                    <w:rPr>
                      <w:b/>
                    </w:rPr>
                    <w:t>项目组成</w:t>
                  </w:r>
                </w:p>
              </w:tc>
              <w:tc>
                <w:tcPr>
                  <w:tcW w:w="2805" w:type="pct"/>
                  <w:gridSpan w:val="2"/>
                  <w:vMerge w:val="restart"/>
                  <w:tcBorders>
                    <w:bottom w:val="single" w:color="auto" w:sz="12" w:space="0"/>
                  </w:tcBorders>
                  <w:noWrap w:val="0"/>
                  <w:vAlign w:val="center"/>
                </w:tcPr>
                <w:p>
                  <w:pPr>
                    <w:pStyle w:val="129"/>
                    <w:rPr>
                      <w:b/>
                    </w:rPr>
                  </w:pPr>
                  <w:r>
                    <w:rPr>
                      <w:b/>
                    </w:rPr>
                    <w:t>工程内容</w:t>
                  </w:r>
                </w:p>
              </w:tc>
              <w:tc>
                <w:tcPr>
                  <w:tcW w:w="1104" w:type="pct"/>
                  <w:gridSpan w:val="2"/>
                  <w:tcBorders>
                    <w:bottom w:val="single" w:color="auto" w:sz="12" w:space="0"/>
                  </w:tcBorders>
                  <w:noWrap w:val="0"/>
                  <w:vAlign w:val="center"/>
                </w:tcPr>
                <w:p>
                  <w:pPr>
                    <w:pStyle w:val="129"/>
                    <w:rPr>
                      <w:b/>
                    </w:rPr>
                  </w:pPr>
                  <w:r>
                    <w:rPr>
                      <w:b/>
                    </w:rPr>
                    <w:t>主要环境问题</w:t>
                  </w:r>
                </w:p>
              </w:tc>
              <w:tc>
                <w:tcPr>
                  <w:tcW w:w="680" w:type="pct"/>
                  <w:vMerge w:val="restart"/>
                  <w:noWrap w:val="0"/>
                  <w:vAlign w:val="center"/>
                </w:tcPr>
                <w:p>
                  <w:pPr>
                    <w:pStyle w:val="129"/>
                    <w:jc w:val="center"/>
                    <w:rPr>
                      <w:b/>
                    </w:rPr>
                  </w:pPr>
                  <w:r>
                    <w:rPr>
                      <w:rFonts w:hint="eastAsia"/>
                      <w:b/>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1" w:hRule="atLeast"/>
                <w:jc w:val="center"/>
              </w:trPr>
              <w:tc>
                <w:tcPr>
                  <w:tcW w:w="409" w:type="pct"/>
                  <w:vMerge w:val="continue"/>
                  <w:tcBorders>
                    <w:top w:val="single" w:color="auto" w:sz="12" w:space="0"/>
                    <w:bottom w:val="single" w:color="auto" w:sz="12" w:space="0"/>
                  </w:tcBorders>
                  <w:noWrap w:val="0"/>
                  <w:vAlign w:val="center"/>
                </w:tcPr>
                <w:p>
                  <w:pPr>
                    <w:pStyle w:val="129"/>
                    <w:rPr>
                      <w:b/>
                    </w:rPr>
                  </w:pPr>
                </w:p>
              </w:tc>
              <w:tc>
                <w:tcPr>
                  <w:tcW w:w="2805" w:type="pct"/>
                  <w:gridSpan w:val="2"/>
                  <w:vMerge w:val="continue"/>
                  <w:tcBorders>
                    <w:top w:val="single" w:color="auto" w:sz="12" w:space="0"/>
                    <w:bottom w:val="single" w:color="auto" w:sz="12" w:space="0"/>
                  </w:tcBorders>
                  <w:noWrap w:val="0"/>
                  <w:vAlign w:val="center"/>
                </w:tcPr>
                <w:p>
                  <w:pPr>
                    <w:pStyle w:val="129"/>
                    <w:rPr>
                      <w:b/>
                    </w:rPr>
                  </w:pPr>
                </w:p>
              </w:tc>
              <w:tc>
                <w:tcPr>
                  <w:tcW w:w="557" w:type="pct"/>
                  <w:tcBorders>
                    <w:top w:val="single" w:color="auto" w:sz="12" w:space="0"/>
                    <w:bottom w:val="single" w:color="auto" w:sz="12" w:space="0"/>
                  </w:tcBorders>
                  <w:noWrap w:val="0"/>
                  <w:vAlign w:val="center"/>
                </w:tcPr>
                <w:p>
                  <w:pPr>
                    <w:pStyle w:val="129"/>
                    <w:rPr>
                      <w:b/>
                    </w:rPr>
                  </w:pPr>
                  <w:r>
                    <w:rPr>
                      <w:b/>
                    </w:rPr>
                    <w:t>施工期</w:t>
                  </w:r>
                </w:p>
              </w:tc>
              <w:tc>
                <w:tcPr>
                  <w:tcW w:w="547" w:type="pct"/>
                  <w:tcBorders>
                    <w:top w:val="single" w:color="auto" w:sz="12" w:space="0"/>
                    <w:bottom w:val="single" w:color="auto" w:sz="12" w:space="0"/>
                  </w:tcBorders>
                  <w:noWrap w:val="0"/>
                  <w:vAlign w:val="center"/>
                </w:tcPr>
                <w:p>
                  <w:pPr>
                    <w:pStyle w:val="129"/>
                    <w:rPr>
                      <w:b/>
                    </w:rPr>
                  </w:pPr>
                  <w:r>
                    <w:rPr>
                      <w:b/>
                    </w:rPr>
                    <w:t>运营期</w:t>
                  </w:r>
                </w:p>
              </w:tc>
              <w:tc>
                <w:tcPr>
                  <w:tcW w:w="680" w:type="pct"/>
                  <w:vMerge w:val="continue"/>
                  <w:tcBorders>
                    <w:bottom w:val="single" w:color="auto" w:sz="12" w:space="0"/>
                  </w:tcBorders>
                  <w:noWrap w:val="0"/>
                  <w:vAlign w:val="center"/>
                </w:tcPr>
                <w:p>
                  <w:pPr>
                    <w:pStyle w:val="129"/>
                    <w:jc w:val="center"/>
                    <w:rPr>
                      <w:b/>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09" w:type="pct"/>
                  <w:vMerge w:val="restart"/>
                  <w:tcBorders>
                    <w:top w:val="single" w:color="auto" w:sz="12" w:space="0"/>
                  </w:tcBorders>
                  <w:noWrap w:val="0"/>
                  <w:vAlign w:val="center"/>
                </w:tcPr>
                <w:p>
                  <w:pPr>
                    <w:adjustRightInd w:val="0"/>
                    <w:jc w:val="center"/>
                    <w:rPr>
                      <w:rFonts w:hint="default" w:eastAsia="宋体"/>
                      <w:szCs w:val="21"/>
                      <w:lang w:val="en-US" w:eastAsia="zh-CN"/>
                    </w:rPr>
                  </w:pPr>
                  <w:r>
                    <w:rPr>
                      <w:rFonts w:hint="eastAsia"/>
                    </w:rPr>
                    <w:t>主体工程</w:t>
                  </w:r>
                </w:p>
              </w:tc>
              <w:tc>
                <w:tcPr>
                  <w:tcW w:w="2805" w:type="pct"/>
                  <w:gridSpan w:val="2"/>
                  <w:tcBorders>
                    <w:top w:val="single" w:color="auto" w:sz="12" w:space="0"/>
                  </w:tcBorders>
                  <w:noWrap w:val="0"/>
                  <w:vAlign w:val="center"/>
                </w:tcPr>
                <w:p>
                  <w:pPr>
                    <w:adjustRightInd w:val="0"/>
                    <w:jc w:val="center"/>
                    <w:rPr>
                      <w:rFonts w:hint="default" w:eastAsia="宋体"/>
                      <w:szCs w:val="21"/>
                      <w:lang w:val="en-US" w:eastAsia="zh-CN"/>
                    </w:rPr>
                  </w:pPr>
                  <w:r>
                    <w:rPr>
                      <w:rFonts w:hint="eastAsia"/>
                      <w:szCs w:val="21"/>
                      <w:lang w:val="en-US" w:eastAsia="zh-CN"/>
                    </w:rPr>
                    <w:t>1栋3F</w:t>
                  </w:r>
                  <w:r>
                    <w:rPr>
                      <w:rFonts w:hint="eastAsia"/>
                      <w:szCs w:val="21"/>
                    </w:rPr>
                    <w:t>门诊</w:t>
                  </w:r>
                  <w:r>
                    <w:rPr>
                      <w:rFonts w:hint="eastAsia"/>
                      <w:szCs w:val="21"/>
                      <w:lang w:eastAsia="zh-CN"/>
                    </w:rPr>
                    <w:t>楼（</w:t>
                  </w:r>
                  <w:r>
                    <w:rPr>
                      <w:rFonts w:hint="eastAsia"/>
                      <w:szCs w:val="21"/>
                      <w:lang w:val="en-US" w:eastAsia="zh-CN"/>
                    </w:rPr>
                    <w:t>1号楼</w:t>
                  </w:r>
                  <w:r>
                    <w:rPr>
                      <w:rFonts w:hint="eastAsia"/>
                      <w:szCs w:val="21"/>
                      <w:lang w:eastAsia="zh-CN"/>
                    </w:rPr>
                    <w:t>）</w:t>
                  </w:r>
                  <w:r>
                    <w:rPr>
                      <w:rFonts w:hint="eastAsia"/>
                      <w:szCs w:val="21"/>
                      <w:lang w:val="en-US" w:eastAsia="zh-CN"/>
                    </w:rPr>
                    <w:t>，位于项目南侧，总建筑面积约1500m</w:t>
                  </w:r>
                  <w:r>
                    <w:rPr>
                      <w:rFonts w:hint="eastAsia"/>
                      <w:szCs w:val="21"/>
                      <w:vertAlign w:val="superscript"/>
                      <w:lang w:val="en-US" w:eastAsia="zh-CN"/>
                    </w:rPr>
                    <w:t>2</w:t>
                  </w:r>
                </w:p>
              </w:tc>
              <w:tc>
                <w:tcPr>
                  <w:tcW w:w="557" w:type="pct"/>
                  <w:vMerge w:val="restart"/>
                  <w:tcBorders>
                    <w:top w:val="single" w:color="auto" w:sz="12" w:space="0"/>
                  </w:tcBorders>
                  <w:noWrap w:val="0"/>
                  <w:vAlign w:val="center"/>
                </w:tcPr>
                <w:p>
                  <w:pPr>
                    <w:widowControl/>
                    <w:jc w:val="center"/>
                    <w:rPr>
                      <w:rFonts w:hint="eastAsia" w:ascii="宋体" w:hAnsi="宋体" w:cs="宋体"/>
                      <w:szCs w:val="21"/>
                    </w:rPr>
                  </w:pPr>
                  <w:r>
                    <w:rPr>
                      <w:rFonts w:hint="eastAsia" w:ascii="宋体" w:hAnsi="宋体" w:cs="宋体"/>
                      <w:kern w:val="0"/>
                      <w:szCs w:val="21"/>
                      <w:lang w:bidi="ar"/>
                    </w:rPr>
                    <w:t>施工噪</w:t>
                  </w:r>
                </w:p>
                <w:p>
                  <w:pPr>
                    <w:widowControl/>
                    <w:jc w:val="center"/>
                    <w:rPr>
                      <w:rFonts w:hint="eastAsia" w:ascii="宋体" w:hAnsi="宋体" w:cs="宋体"/>
                      <w:szCs w:val="21"/>
                    </w:rPr>
                  </w:pPr>
                  <w:r>
                    <w:rPr>
                      <w:rFonts w:hint="eastAsia" w:ascii="宋体" w:hAnsi="宋体" w:cs="宋体"/>
                      <w:kern w:val="0"/>
                      <w:szCs w:val="21"/>
                      <w:lang w:bidi="ar"/>
                    </w:rPr>
                    <w:t>声、</w:t>
                  </w:r>
                  <w:r>
                    <w:rPr>
                      <w:rFonts w:hint="eastAsia" w:ascii="宋体" w:hAnsi="宋体" w:cs="宋体"/>
                      <w:kern w:val="0"/>
                      <w:szCs w:val="21"/>
                      <w:lang w:eastAsia="zh-CN" w:bidi="ar"/>
                    </w:rPr>
                    <w:t>废水、</w:t>
                  </w:r>
                  <w:r>
                    <w:rPr>
                      <w:rFonts w:hint="eastAsia" w:ascii="宋体" w:hAnsi="宋体" w:cs="宋体"/>
                      <w:kern w:val="0"/>
                      <w:szCs w:val="21"/>
                      <w:lang w:bidi="ar"/>
                    </w:rPr>
                    <w:t>固</w:t>
                  </w:r>
                </w:p>
                <w:p>
                  <w:pPr>
                    <w:widowControl/>
                    <w:jc w:val="center"/>
                    <w:rPr>
                      <w:rFonts w:hint="eastAsia" w:ascii="宋体" w:hAnsi="宋体" w:cs="宋体"/>
                      <w:szCs w:val="21"/>
                    </w:rPr>
                  </w:pPr>
                  <w:r>
                    <w:rPr>
                      <w:rFonts w:hint="eastAsia" w:ascii="宋体" w:hAnsi="宋体" w:cs="宋体"/>
                      <w:kern w:val="0"/>
                      <w:szCs w:val="21"/>
                      <w:lang w:bidi="ar"/>
                    </w:rPr>
                    <w:t>废等</w:t>
                  </w:r>
                </w:p>
                <w:p>
                  <w:pPr>
                    <w:pStyle w:val="129"/>
                    <w:rPr>
                      <w:rFonts w:hint="eastAsia"/>
                    </w:rPr>
                  </w:pPr>
                  <w:r>
                    <w:rPr>
                      <w:rFonts w:hint="eastAsia"/>
                    </w:rPr>
                    <w:t>/</w:t>
                  </w:r>
                </w:p>
              </w:tc>
              <w:tc>
                <w:tcPr>
                  <w:tcW w:w="547" w:type="pct"/>
                  <w:vMerge w:val="restart"/>
                  <w:tcBorders>
                    <w:top w:val="single" w:color="auto" w:sz="12" w:space="0"/>
                  </w:tcBorders>
                  <w:noWrap w:val="0"/>
                  <w:vAlign w:val="center"/>
                </w:tcPr>
                <w:p>
                  <w:pPr>
                    <w:pStyle w:val="129"/>
                    <w:jc w:val="center"/>
                  </w:pPr>
                  <w:r>
                    <w:rPr>
                      <w:rFonts w:hint="eastAsia" w:ascii="宋体" w:hAnsi="宋体" w:cs="宋体"/>
                    </w:rPr>
                    <w:t>医疗废物、医疗废水、设备噪声等</w:t>
                  </w:r>
                </w:p>
              </w:tc>
              <w:tc>
                <w:tcPr>
                  <w:tcW w:w="680" w:type="pct"/>
                  <w:vMerge w:val="restart"/>
                  <w:tcBorders>
                    <w:top w:val="single" w:color="auto" w:sz="12" w:space="0"/>
                  </w:tcBorders>
                  <w:noWrap w:val="0"/>
                  <w:vAlign w:val="center"/>
                </w:tcPr>
                <w:p>
                  <w:pPr>
                    <w:pStyle w:val="129"/>
                    <w:jc w:val="center"/>
                  </w:pPr>
                  <w:r>
                    <w:rPr>
                      <w:rFonts w:hint="eastAsia"/>
                    </w:rPr>
                    <w:t>新增</w:t>
                  </w:r>
                  <w:r>
                    <w:rPr>
                      <w:rFonts w:hint="eastAsia"/>
                      <w:lang w:eastAsia="zh-CN"/>
                    </w:rPr>
                    <w:t>的</w:t>
                  </w:r>
                  <w:r>
                    <w:rPr>
                      <w:rFonts w:hint="eastAsia"/>
                    </w:rPr>
                    <w:t>床位</w:t>
                  </w:r>
                  <w:r>
                    <w:rPr>
                      <w:rFonts w:hint="eastAsia"/>
                      <w:lang w:eastAsia="zh-CN"/>
                    </w:rPr>
                    <w:t>主要</w:t>
                  </w:r>
                  <w:r>
                    <w:rPr>
                      <w:rFonts w:hint="eastAsia"/>
                    </w:rPr>
                    <w:t>位于现有门诊楼</w:t>
                  </w:r>
                  <w:r>
                    <w:rPr>
                      <w:rFonts w:hint="eastAsia"/>
                      <w:lang w:eastAsia="zh-CN"/>
                    </w:rPr>
                    <w:t>（</w:t>
                  </w:r>
                  <w:r>
                    <w:rPr>
                      <w:rFonts w:hint="eastAsia"/>
                      <w:lang w:val="en-US" w:eastAsia="zh-CN"/>
                    </w:rPr>
                    <w:t>1F、3F</w:t>
                  </w:r>
                  <w:r>
                    <w:rPr>
                      <w:rFonts w:hint="eastAsia"/>
                      <w:lang w:eastAsia="zh-CN"/>
                    </w:rPr>
                    <w:t>）和住院楼（</w:t>
                  </w:r>
                  <w:r>
                    <w:rPr>
                      <w:rFonts w:hint="eastAsia"/>
                      <w:lang w:val="en-US" w:eastAsia="zh-CN"/>
                    </w:rPr>
                    <w:t>2F</w:t>
                  </w:r>
                  <w:r>
                    <w:rPr>
                      <w:rFonts w:hint="eastAsia"/>
                      <w:lang w:eastAsia="zh-CN"/>
                    </w:rPr>
                    <w:t>）</w:t>
                  </w:r>
                  <w:r>
                    <w:rPr>
                      <w:rFonts w:hint="eastAsia"/>
                    </w:rPr>
                    <w:t>内，不进行土建，仅进行简单装修和安装床位设备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96" w:hRule="atLeast"/>
                <w:jc w:val="center"/>
              </w:trPr>
              <w:tc>
                <w:tcPr>
                  <w:tcW w:w="409" w:type="pct"/>
                  <w:vMerge w:val="continue"/>
                  <w:noWrap w:val="0"/>
                  <w:vAlign w:val="center"/>
                </w:tcPr>
                <w:p>
                  <w:pPr>
                    <w:adjustRightInd w:val="0"/>
                    <w:jc w:val="center"/>
                    <w:rPr>
                      <w:rFonts w:hint="eastAsia"/>
                      <w:szCs w:val="21"/>
                    </w:rPr>
                  </w:pPr>
                </w:p>
              </w:tc>
              <w:tc>
                <w:tcPr>
                  <w:tcW w:w="432" w:type="pct"/>
                  <w:tcBorders>
                    <w:top w:val="single" w:color="auto" w:sz="12" w:space="0"/>
                  </w:tcBorders>
                  <w:noWrap w:val="0"/>
                  <w:vAlign w:val="center"/>
                </w:tcPr>
                <w:p>
                  <w:pPr>
                    <w:adjustRightInd w:val="0"/>
                    <w:jc w:val="center"/>
                    <w:rPr>
                      <w:rFonts w:hint="eastAsia" w:eastAsia="宋体"/>
                      <w:kern w:val="2"/>
                      <w:sz w:val="21"/>
                      <w:szCs w:val="21"/>
                      <w:lang w:val="en-US" w:eastAsia="zh-CN" w:bidi="ar-SA"/>
                    </w:rPr>
                  </w:pPr>
                  <w:r>
                    <w:rPr>
                      <w:rFonts w:hint="eastAsia"/>
                      <w:szCs w:val="21"/>
                      <w:lang w:val="en-US" w:eastAsia="zh-CN"/>
                    </w:rPr>
                    <w:t>1F</w:t>
                  </w:r>
                </w:p>
              </w:tc>
              <w:tc>
                <w:tcPr>
                  <w:tcW w:w="2372" w:type="pct"/>
                  <w:tcBorders>
                    <w:top w:val="single" w:color="auto" w:sz="12" w:space="0"/>
                  </w:tcBorders>
                  <w:noWrap w:val="0"/>
                  <w:vAlign w:val="center"/>
                </w:tcPr>
                <w:p>
                  <w:pPr>
                    <w:adjustRightInd w:val="0"/>
                    <w:jc w:val="center"/>
                    <w:rPr>
                      <w:rFonts w:hint="eastAsia" w:eastAsia="宋体"/>
                      <w:kern w:val="2"/>
                      <w:sz w:val="21"/>
                      <w:szCs w:val="21"/>
                      <w:lang w:val="en-US" w:eastAsia="zh-CN" w:bidi="ar-SA"/>
                    </w:rPr>
                  </w:pPr>
                  <w:r>
                    <w:rPr>
                      <w:rFonts w:hint="eastAsia"/>
                      <w:szCs w:val="21"/>
                      <w:lang w:eastAsia="zh-CN"/>
                    </w:rPr>
                    <w:t>建筑面积约</w:t>
                  </w:r>
                  <w:r>
                    <w:rPr>
                      <w:rFonts w:hint="eastAsia"/>
                      <w:szCs w:val="21"/>
                      <w:lang w:val="en-US" w:eastAsia="zh-CN"/>
                    </w:rPr>
                    <w:t>620m</w:t>
                  </w:r>
                  <w:r>
                    <w:rPr>
                      <w:rFonts w:hint="eastAsia"/>
                      <w:szCs w:val="21"/>
                      <w:vertAlign w:val="superscript"/>
                      <w:lang w:val="en-US" w:eastAsia="zh-CN"/>
                    </w:rPr>
                    <w:t>2</w:t>
                  </w:r>
                  <w:r>
                    <w:rPr>
                      <w:rFonts w:hint="eastAsia"/>
                      <w:szCs w:val="21"/>
                      <w:lang w:val="en-US" w:eastAsia="zh-CN"/>
                    </w:rPr>
                    <w:t>，设医疗废物暂存间、门诊室、收费室、药房、财务室、办公室、会议室、杂物间、医务科、门卫室等，</w:t>
                  </w:r>
                  <w:r>
                    <w:rPr>
                      <w:rFonts w:hint="eastAsia"/>
                      <w:b/>
                      <w:bCs/>
                      <w:szCs w:val="21"/>
                      <w:lang w:val="en-US" w:eastAsia="zh-CN"/>
                    </w:rPr>
                    <w:t>本楼层新增床位22张</w:t>
                  </w:r>
                </w:p>
              </w:tc>
              <w:tc>
                <w:tcPr>
                  <w:tcW w:w="557" w:type="pct"/>
                  <w:vMerge w:val="continue"/>
                  <w:noWrap w:val="0"/>
                  <w:vAlign w:val="center"/>
                </w:tcPr>
                <w:p>
                  <w:pPr>
                    <w:pStyle w:val="129"/>
                    <w:rPr>
                      <w:rFonts w:hint="eastAsia"/>
                    </w:rPr>
                  </w:pPr>
                </w:p>
              </w:tc>
              <w:tc>
                <w:tcPr>
                  <w:tcW w:w="547" w:type="pct"/>
                  <w:vMerge w:val="continue"/>
                  <w:noWrap w:val="0"/>
                  <w:vAlign w:val="center"/>
                </w:tcPr>
                <w:p>
                  <w:pPr>
                    <w:pStyle w:val="129"/>
                    <w:rPr>
                      <w:rFonts w:hint="eastAsia" w:ascii="宋体" w:hAnsi="宋体" w:cs="宋体"/>
                    </w:rPr>
                  </w:pPr>
                </w:p>
              </w:tc>
              <w:tc>
                <w:tcPr>
                  <w:tcW w:w="680" w:type="pct"/>
                  <w:vMerge w:val="continue"/>
                  <w:noWrap w:val="0"/>
                  <w:vAlign w:val="center"/>
                </w:tcPr>
                <w:p>
                  <w:pPr>
                    <w:pStyle w:val="129"/>
                    <w:jc w:val="center"/>
                    <w:rPr>
                      <w:rFonts w:hint="eastAsi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6" w:hRule="atLeast"/>
                <w:jc w:val="center"/>
              </w:trPr>
              <w:tc>
                <w:tcPr>
                  <w:tcW w:w="409" w:type="pct"/>
                  <w:vMerge w:val="continue"/>
                  <w:noWrap w:val="0"/>
                  <w:vAlign w:val="center"/>
                </w:tcPr>
                <w:p>
                  <w:pPr>
                    <w:adjustRightInd w:val="0"/>
                    <w:jc w:val="center"/>
                    <w:rPr>
                      <w:rFonts w:hint="eastAsia"/>
                      <w:szCs w:val="21"/>
                    </w:rPr>
                  </w:pPr>
                </w:p>
              </w:tc>
              <w:tc>
                <w:tcPr>
                  <w:tcW w:w="432" w:type="pct"/>
                  <w:tcBorders>
                    <w:top w:val="single" w:color="auto" w:sz="12" w:space="0"/>
                  </w:tcBorders>
                  <w:noWrap w:val="0"/>
                  <w:vAlign w:val="center"/>
                </w:tcPr>
                <w:p>
                  <w:pPr>
                    <w:adjustRightInd w:val="0"/>
                    <w:jc w:val="center"/>
                    <w:rPr>
                      <w:rFonts w:hint="default"/>
                      <w:szCs w:val="21"/>
                      <w:lang w:val="en-US" w:eastAsia="zh-CN"/>
                    </w:rPr>
                  </w:pPr>
                  <w:r>
                    <w:rPr>
                      <w:rFonts w:hint="eastAsia"/>
                      <w:szCs w:val="21"/>
                      <w:lang w:val="en-US" w:eastAsia="zh-CN"/>
                    </w:rPr>
                    <w:t>2F</w:t>
                  </w:r>
                </w:p>
              </w:tc>
              <w:tc>
                <w:tcPr>
                  <w:tcW w:w="2372" w:type="pct"/>
                  <w:tcBorders>
                    <w:top w:val="single" w:color="auto" w:sz="12" w:space="0"/>
                  </w:tcBorders>
                  <w:noWrap w:val="0"/>
                  <w:vAlign w:val="center"/>
                </w:tcPr>
                <w:p>
                  <w:pPr>
                    <w:adjustRightInd w:val="0"/>
                    <w:jc w:val="center"/>
                    <w:rPr>
                      <w:rFonts w:hint="default" w:eastAsia="宋体"/>
                      <w:szCs w:val="21"/>
                      <w:lang w:val="en-US" w:eastAsia="zh-CN"/>
                    </w:rPr>
                  </w:pPr>
                  <w:r>
                    <w:rPr>
                      <w:rFonts w:hint="eastAsia"/>
                      <w:szCs w:val="21"/>
                      <w:lang w:eastAsia="zh-CN"/>
                    </w:rPr>
                    <w:t>建筑面积约</w:t>
                  </w:r>
                  <w:r>
                    <w:rPr>
                      <w:rFonts w:hint="eastAsia"/>
                      <w:szCs w:val="21"/>
                      <w:lang w:val="en-US" w:eastAsia="zh-CN"/>
                    </w:rPr>
                    <w:t>520m</w:t>
                  </w:r>
                  <w:r>
                    <w:rPr>
                      <w:rFonts w:hint="eastAsia"/>
                      <w:szCs w:val="21"/>
                      <w:vertAlign w:val="superscript"/>
                      <w:lang w:val="en-US" w:eastAsia="zh-CN"/>
                    </w:rPr>
                    <w:t>2</w:t>
                  </w:r>
                  <w:r>
                    <w:rPr>
                      <w:rFonts w:hint="eastAsia"/>
                      <w:szCs w:val="21"/>
                      <w:lang w:val="en-US" w:eastAsia="zh-CN"/>
                    </w:rPr>
                    <w:t>，设办公室、心理咨询室、保健室、资料室、会议室等</w:t>
                  </w:r>
                </w:p>
              </w:tc>
              <w:tc>
                <w:tcPr>
                  <w:tcW w:w="557" w:type="pct"/>
                  <w:vMerge w:val="continue"/>
                  <w:noWrap w:val="0"/>
                  <w:vAlign w:val="center"/>
                </w:tcPr>
                <w:p>
                  <w:pPr>
                    <w:pStyle w:val="129"/>
                    <w:rPr>
                      <w:rFonts w:hint="eastAsia"/>
                    </w:rPr>
                  </w:pPr>
                </w:p>
              </w:tc>
              <w:tc>
                <w:tcPr>
                  <w:tcW w:w="547" w:type="pct"/>
                  <w:vMerge w:val="continue"/>
                  <w:noWrap w:val="0"/>
                  <w:vAlign w:val="center"/>
                </w:tcPr>
                <w:p>
                  <w:pPr>
                    <w:pStyle w:val="129"/>
                    <w:rPr>
                      <w:rFonts w:hint="eastAsia" w:ascii="宋体" w:hAnsi="宋体" w:cs="宋体"/>
                    </w:rPr>
                  </w:pPr>
                </w:p>
              </w:tc>
              <w:tc>
                <w:tcPr>
                  <w:tcW w:w="680" w:type="pct"/>
                  <w:vMerge w:val="continue"/>
                  <w:noWrap w:val="0"/>
                  <w:vAlign w:val="center"/>
                </w:tcPr>
                <w:p>
                  <w:pPr>
                    <w:pStyle w:val="129"/>
                    <w:jc w:val="center"/>
                    <w:rPr>
                      <w:rFonts w:hint="eastAsi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6" w:hRule="atLeast"/>
                <w:jc w:val="center"/>
              </w:trPr>
              <w:tc>
                <w:tcPr>
                  <w:tcW w:w="409" w:type="pct"/>
                  <w:vMerge w:val="continue"/>
                  <w:noWrap w:val="0"/>
                  <w:vAlign w:val="center"/>
                </w:tcPr>
                <w:p>
                  <w:pPr>
                    <w:adjustRightInd w:val="0"/>
                    <w:jc w:val="center"/>
                    <w:rPr>
                      <w:rFonts w:hint="eastAsia"/>
                      <w:szCs w:val="21"/>
                    </w:rPr>
                  </w:pPr>
                </w:p>
              </w:tc>
              <w:tc>
                <w:tcPr>
                  <w:tcW w:w="432" w:type="pct"/>
                  <w:tcBorders>
                    <w:top w:val="single" w:color="auto" w:sz="12" w:space="0"/>
                  </w:tcBorders>
                  <w:noWrap w:val="0"/>
                  <w:vAlign w:val="center"/>
                </w:tcPr>
                <w:p>
                  <w:pPr>
                    <w:adjustRightInd w:val="0"/>
                    <w:jc w:val="center"/>
                    <w:rPr>
                      <w:rFonts w:hint="default"/>
                      <w:szCs w:val="21"/>
                      <w:lang w:val="en-US" w:eastAsia="zh-CN"/>
                    </w:rPr>
                  </w:pPr>
                  <w:r>
                    <w:rPr>
                      <w:rFonts w:hint="eastAsia"/>
                      <w:szCs w:val="21"/>
                      <w:lang w:val="en-US" w:eastAsia="zh-CN"/>
                    </w:rPr>
                    <w:t>3F</w:t>
                  </w:r>
                </w:p>
              </w:tc>
              <w:tc>
                <w:tcPr>
                  <w:tcW w:w="2372" w:type="pct"/>
                  <w:tcBorders>
                    <w:top w:val="single" w:color="auto" w:sz="12" w:space="0"/>
                  </w:tcBorders>
                  <w:noWrap w:val="0"/>
                  <w:vAlign w:val="center"/>
                </w:tcPr>
                <w:p>
                  <w:pPr>
                    <w:adjustRightInd w:val="0"/>
                    <w:jc w:val="center"/>
                    <w:rPr>
                      <w:rFonts w:hint="default" w:eastAsia="宋体"/>
                      <w:szCs w:val="21"/>
                      <w:lang w:val="en-US" w:eastAsia="zh-CN"/>
                    </w:rPr>
                  </w:pPr>
                  <w:r>
                    <w:rPr>
                      <w:rFonts w:hint="eastAsia"/>
                      <w:szCs w:val="21"/>
                      <w:lang w:eastAsia="zh-CN"/>
                    </w:rPr>
                    <w:t>建筑面积约</w:t>
                  </w:r>
                  <w:r>
                    <w:rPr>
                      <w:rFonts w:hint="eastAsia"/>
                      <w:szCs w:val="21"/>
                      <w:lang w:val="en-US" w:eastAsia="zh-CN"/>
                    </w:rPr>
                    <w:t>320m</w:t>
                  </w:r>
                  <w:r>
                    <w:rPr>
                      <w:rFonts w:hint="eastAsia"/>
                      <w:szCs w:val="21"/>
                      <w:vertAlign w:val="superscript"/>
                      <w:lang w:val="en-US" w:eastAsia="zh-CN"/>
                    </w:rPr>
                    <w:t>2</w:t>
                  </w:r>
                  <w:r>
                    <w:rPr>
                      <w:rFonts w:hint="eastAsia"/>
                      <w:szCs w:val="21"/>
                      <w:lang w:val="en-US" w:eastAsia="zh-CN"/>
                    </w:rPr>
                    <w:t>，设隔离室、病房等，</w:t>
                  </w:r>
                  <w:r>
                    <w:rPr>
                      <w:rFonts w:hint="eastAsia"/>
                      <w:b/>
                      <w:bCs/>
                      <w:szCs w:val="21"/>
                      <w:lang w:val="en-US" w:eastAsia="zh-CN"/>
                    </w:rPr>
                    <w:t>本楼层新增床位39张</w:t>
                  </w:r>
                </w:p>
              </w:tc>
              <w:tc>
                <w:tcPr>
                  <w:tcW w:w="557" w:type="pct"/>
                  <w:vMerge w:val="continue"/>
                  <w:noWrap w:val="0"/>
                  <w:vAlign w:val="center"/>
                </w:tcPr>
                <w:p>
                  <w:pPr>
                    <w:pStyle w:val="129"/>
                    <w:rPr>
                      <w:rFonts w:hint="eastAsia"/>
                    </w:rPr>
                  </w:pPr>
                </w:p>
              </w:tc>
              <w:tc>
                <w:tcPr>
                  <w:tcW w:w="547" w:type="pct"/>
                  <w:vMerge w:val="continue"/>
                  <w:noWrap w:val="0"/>
                  <w:vAlign w:val="center"/>
                </w:tcPr>
                <w:p>
                  <w:pPr>
                    <w:pStyle w:val="129"/>
                    <w:rPr>
                      <w:rFonts w:hint="eastAsia" w:ascii="宋体" w:hAnsi="宋体" w:cs="宋体"/>
                    </w:rPr>
                  </w:pPr>
                </w:p>
              </w:tc>
              <w:tc>
                <w:tcPr>
                  <w:tcW w:w="680" w:type="pct"/>
                  <w:vMerge w:val="continue"/>
                  <w:noWrap w:val="0"/>
                  <w:vAlign w:val="center"/>
                </w:tcPr>
                <w:p>
                  <w:pPr>
                    <w:pStyle w:val="129"/>
                    <w:jc w:val="center"/>
                    <w:rPr>
                      <w:rFonts w:hint="eastAsi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09" w:type="pct"/>
                  <w:vMerge w:val="continue"/>
                  <w:noWrap w:val="0"/>
                  <w:vAlign w:val="center"/>
                </w:tcPr>
                <w:p>
                  <w:pPr>
                    <w:adjustRightInd w:val="0"/>
                    <w:jc w:val="center"/>
                    <w:rPr>
                      <w:rFonts w:hint="default" w:eastAsia="宋体"/>
                      <w:szCs w:val="21"/>
                      <w:lang w:val="en-US" w:eastAsia="zh-CN"/>
                    </w:rPr>
                  </w:pPr>
                </w:p>
              </w:tc>
              <w:tc>
                <w:tcPr>
                  <w:tcW w:w="2805" w:type="pct"/>
                  <w:gridSpan w:val="2"/>
                  <w:noWrap w:val="0"/>
                  <w:vAlign w:val="center"/>
                </w:tcPr>
                <w:p>
                  <w:pPr>
                    <w:adjustRightInd w:val="0"/>
                    <w:jc w:val="center"/>
                    <w:rPr>
                      <w:rFonts w:hint="default" w:eastAsia="宋体"/>
                      <w:szCs w:val="21"/>
                      <w:lang w:val="en-US" w:eastAsia="zh-CN"/>
                    </w:rPr>
                  </w:pPr>
                  <w:r>
                    <w:rPr>
                      <w:rFonts w:hint="eastAsia"/>
                      <w:szCs w:val="21"/>
                      <w:lang w:val="en-US" w:eastAsia="zh-CN"/>
                    </w:rPr>
                    <w:t>1栋2F</w:t>
                  </w:r>
                  <w:r>
                    <w:rPr>
                      <w:rFonts w:hint="eastAsia"/>
                      <w:szCs w:val="21"/>
                    </w:rPr>
                    <w:t>住院</w:t>
                  </w:r>
                  <w:r>
                    <w:rPr>
                      <w:rFonts w:hint="eastAsia"/>
                      <w:szCs w:val="21"/>
                      <w:lang w:eastAsia="zh-CN"/>
                    </w:rPr>
                    <w:t>楼（</w:t>
                  </w:r>
                  <w:r>
                    <w:rPr>
                      <w:rFonts w:hint="eastAsia"/>
                      <w:szCs w:val="21"/>
                      <w:lang w:val="en-US" w:eastAsia="zh-CN"/>
                    </w:rPr>
                    <w:t>2号楼</w:t>
                  </w:r>
                  <w:r>
                    <w:rPr>
                      <w:rFonts w:hint="eastAsia"/>
                      <w:szCs w:val="21"/>
                      <w:lang w:eastAsia="zh-CN"/>
                    </w:rPr>
                    <w:t>），位于项目西侧，总建筑面积约</w:t>
                  </w:r>
                  <w:r>
                    <w:rPr>
                      <w:rFonts w:hint="eastAsia"/>
                      <w:szCs w:val="21"/>
                      <w:lang w:val="en-US" w:eastAsia="zh-CN"/>
                    </w:rPr>
                    <w:t>1220m</w:t>
                  </w:r>
                  <w:r>
                    <w:rPr>
                      <w:rFonts w:hint="eastAsia"/>
                      <w:szCs w:val="21"/>
                      <w:vertAlign w:val="superscript"/>
                      <w:lang w:val="en-US" w:eastAsia="zh-CN"/>
                    </w:rPr>
                    <w:t>2</w:t>
                  </w:r>
                </w:p>
              </w:tc>
              <w:tc>
                <w:tcPr>
                  <w:tcW w:w="557" w:type="pct"/>
                  <w:vMerge w:val="continue"/>
                  <w:noWrap w:val="0"/>
                  <w:vAlign w:val="center"/>
                </w:tcPr>
                <w:p>
                  <w:pPr>
                    <w:pStyle w:val="129"/>
                  </w:pPr>
                </w:p>
              </w:tc>
              <w:tc>
                <w:tcPr>
                  <w:tcW w:w="547" w:type="pct"/>
                  <w:vMerge w:val="continue"/>
                  <w:noWrap w:val="0"/>
                  <w:vAlign w:val="center"/>
                </w:tcPr>
                <w:p>
                  <w:pPr>
                    <w:pStyle w:val="129"/>
                  </w:pPr>
                </w:p>
              </w:tc>
              <w:tc>
                <w:tcPr>
                  <w:tcW w:w="680" w:type="pct"/>
                  <w:vMerge w:val="continue"/>
                  <w:noWrap w:val="0"/>
                  <w:vAlign w:val="center"/>
                </w:tcPr>
                <w:p>
                  <w:pPr>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9" w:hRule="atLeast"/>
                <w:jc w:val="center"/>
              </w:trPr>
              <w:tc>
                <w:tcPr>
                  <w:tcW w:w="409" w:type="pct"/>
                  <w:vMerge w:val="continue"/>
                  <w:noWrap w:val="0"/>
                  <w:vAlign w:val="center"/>
                </w:tcPr>
                <w:p>
                  <w:pPr>
                    <w:adjustRightInd w:val="0"/>
                    <w:jc w:val="center"/>
                    <w:rPr>
                      <w:rFonts w:hint="eastAsia"/>
                      <w:szCs w:val="21"/>
                    </w:rPr>
                  </w:pPr>
                </w:p>
              </w:tc>
              <w:tc>
                <w:tcPr>
                  <w:tcW w:w="432" w:type="pct"/>
                  <w:noWrap w:val="0"/>
                  <w:vAlign w:val="center"/>
                </w:tcPr>
                <w:p>
                  <w:pPr>
                    <w:adjustRightInd w:val="0"/>
                    <w:jc w:val="center"/>
                    <w:rPr>
                      <w:rFonts w:hint="eastAsia" w:eastAsia="宋体"/>
                      <w:kern w:val="2"/>
                      <w:sz w:val="21"/>
                      <w:szCs w:val="21"/>
                      <w:lang w:val="en-US" w:eastAsia="zh-CN" w:bidi="ar-SA"/>
                    </w:rPr>
                  </w:pPr>
                  <w:r>
                    <w:rPr>
                      <w:rFonts w:hint="eastAsia"/>
                      <w:szCs w:val="21"/>
                      <w:lang w:val="en-US" w:eastAsia="zh-CN"/>
                    </w:rPr>
                    <w:t>1F</w:t>
                  </w:r>
                </w:p>
              </w:tc>
              <w:tc>
                <w:tcPr>
                  <w:tcW w:w="2372" w:type="pct"/>
                  <w:noWrap w:val="0"/>
                  <w:vAlign w:val="center"/>
                </w:tcPr>
                <w:p>
                  <w:pPr>
                    <w:adjustRightInd w:val="0"/>
                    <w:jc w:val="center"/>
                    <w:rPr>
                      <w:rFonts w:hint="eastAsia" w:eastAsia="宋体"/>
                      <w:kern w:val="2"/>
                      <w:sz w:val="21"/>
                      <w:szCs w:val="21"/>
                      <w:lang w:val="en-US" w:eastAsia="zh-CN" w:bidi="ar-SA"/>
                    </w:rPr>
                  </w:pPr>
                  <w:r>
                    <w:rPr>
                      <w:rFonts w:hint="eastAsia"/>
                      <w:szCs w:val="21"/>
                    </w:rPr>
                    <w:t>设置于项目区</w:t>
                  </w:r>
                  <w:r>
                    <w:rPr>
                      <w:rFonts w:hint="eastAsia"/>
                      <w:szCs w:val="21"/>
                      <w:lang w:eastAsia="zh-CN"/>
                    </w:rPr>
                    <w:t>西侧，建筑面积约</w:t>
                  </w:r>
                  <w:r>
                    <w:rPr>
                      <w:rFonts w:hint="eastAsia"/>
                      <w:szCs w:val="21"/>
                      <w:lang w:val="en-US" w:eastAsia="zh-CN"/>
                    </w:rPr>
                    <w:t>610m</w:t>
                  </w:r>
                  <w:r>
                    <w:rPr>
                      <w:rFonts w:hint="eastAsia"/>
                      <w:szCs w:val="21"/>
                      <w:vertAlign w:val="superscript"/>
                      <w:lang w:val="en-US" w:eastAsia="zh-CN"/>
                    </w:rPr>
                    <w:t>2</w:t>
                  </w:r>
                  <w:r>
                    <w:rPr>
                      <w:rFonts w:hint="eastAsia"/>
                      <w:szCs w:val="21"/>
                      <w:lang w:val="en-US" w:eastAsia="zh-CN"/>
                    </w:rPr>
                    <w:t>，设卫生间、病房等</w:t>
                  </w:r>
                </w:p>
              </w:tc>
              <w:tc>
                <w:tcPr>
                  <w:tcW w:w="557" w:type="pct"/>
                  <w:vMerge w:val="continue"/>
                  <w:noWrap w:val="0"/>
                  <w:vAlign w:val="center"/>
                </w:tcPr>
                <w:p>
                  <w:pPr>
                    <w:pStyle w:val="129"/>
                  </w:pPr>
                </w:p>
              </w:tc>
              <w:tc>
                <w:tcPr>
                  <w:tcW w:w="547" w:type="pct"/>
                  <w:vMerge w:val="continue"/>
                  <w:noWrap w:val="0"/>
                  <w:vAlign w:val="center"/>
                </w:tcPr>
                <w:p>
                  <w:pPr>
                    <w:pStyle w:val="129"/>
                  </w:pPr>
                </w:p>
              </w:tc>
              <w:tc>
                <w:tcPr>
                  <w:tcW w:w="680" w:type="pct"/>
                  <w:vMerge w:val="continue"/>
                  <w:noWrap w:val="0"/>
                  <w:vAlign w:val="center"/>
                </w:tcPr>
                <w:p>
                  <w:pPr>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62" w:hRule="atLeast"/>
                <w:jc w:val="center"/>
              </w:trPr>
              <w:tc>
                <w:tcPr>
                  <w:tcW w:w="409" w:type="pct"/>
                  <w:vMerge w:val="continue"/>
                  <w:noWrap w:val="0"/>
                  <w:vAlign w:val="center"/>
                </w:tcPr>
                <w:p>
                  <w:pPr>
                    <w:adjustRightInd w:val="0"/>
                    <w:jc w:val="center"/>
                    <w:rPr>
                      <w:rFonts w:hint="eastAsia"/>
                      <w:szCs w:val="21"/>
                    </w:rPr>
                  </w:pPr>
                </w:p>
              </w:tc>
              <w:tc>
                <w:tcPr>
                  <w:tcW w:w="432" w:type="pct"/>
                  <w:noWrap w:val="0"/>
                  <w:vAlign w:val="center"/>
                </w:tcPr>
                <w:p>
                  <w:pPr>
                    <w:adjustRightInd w:val="0"/>
                    <w:jc w:val="center"/>
                    <w:rPr>
                      <w:rFonts w:hint="default" w:eastAsia="宋体"/>
                      <w:szCs w:val="21"/>
                      <w:lang w:val="en-US" w:eastAsia="zh-CN"/>
                    </w:rPr>
                  </w:pPr>
                  <w:r>
                    <w:rPr>
                      <w:rFonts w:hint="eastAsia"/>
                      <w:szCs w:val="21"/>
                      <w:lang w:val="en-US" w:eastAsia="zh-CN"/>
                    </w:rPr>
                    <w:t>2F</w:t>
                  </w:r>
                </w:p>
              </w:tc>
              <w:tc>
                <w:tcPr>
                  <w:tcW w:w="2372" w:type="pct"/>
                  <w:noWrap w:val="0"/>
                  <w:vAlign w:val="center"/>
                </w:tcPr>
                <w:p>
                  <w:pPr>
                    <w:adjustRightInd w:val="0"/>
                    <w:jc w:val="center"/>
                    <w:rPr>
                      <w:rFonts w:hint="default"/>
                      <w:szCs w:val="21"/>
                      <w:lang w:val="en-US"/>
                    </w:rPr>
                  </w:pPr>
                  <w:r>
                    <w:rPr>
                      <w:rFonts w:hint="eastAsia"/>
                      <w:szCs w:val="21"/>
                      <w:lang w:eastAsia="zh-CN"/>
                    </w:rPr>
                    <w:t>建筑面积约</w:t>
                  </w:r>
                  <w:r>
                    <w:rPr>
                      <w:rFonts w:hint="eastAsia"/>
                      <w:szCs w:val="21"/>
                      <w:lang w:val="en-US" w:eastAsia="zh-CN"/>
                    </w:rPr>
                    <w:t>610m</w:t>
                  </w:r>
                  <w:r>
                    <w:rPr>
                      <w:rFonts w:hint="eastAsia"/>
                      <w:szCs w:val="21"/>
                      <w:vertAlign w:val="superscript"/>
                      <w:lang w:val="en-US" w:eastAsia="zh-CN"/>
                    </w:rPr>
                    <w:t>2</w:t>
                  </w:r>
                  <w:r>
                    <w:rPr>
                      <w:rFonts w:hint="eastAsia"/>
                      <w:szCs w:val="21"/>
                      <w:lang w:val="en-US" w:eastAsia="zh-CN"/>
                    </w:rPr>
                    <w:t>，设卫生间、病房等，</w:t>
                  </w:r>
                  <w:r>
                    <w:rPr>
                      <w:rFonts w:hint="eastAsia"/>
                      <w:b/>
                      <w:bCs/>
                      <w:szCs w:val="21"/>
                      <w:lang w:val="en-US" w:eastAsia="zh-CN"/>
                    </w:rPr>
                    <w:t>本楼层新增床位49张</w:t>
                  </w:r>
                </w:p>
              </w:tc>
              <w:tc>
                <w:tcPr>
                  <w:tcW w:w="557" w:type="pct"/>
                  <w:vMerge w:val="continue"/>
                  <w:noWrap w:val="0"/>
                  <w:vAlign w:val="center"/>
                </w:tcPr>
                <w:p>
                  <w:pPr>
                    <w:pStyle w:val="129"/>
                  </w:pPr>
                </w:p>
              </w:tc>
              <w:tc>
                <w:tcPr>
                  <w:tcW w:w="547" w:type="pct"/>
                  <w:vMerge w:val="continue"/>
                  <w:noWrap w:val="0"/>
                  <w:vAlign w:val="center"/>
                </w:tcPr>
                <w:p>
                  <w:pPr>
                    <w:pStyle w:val="129"/>
                  </w:pPr>
                </w:p>
              </w:tc>
              <w:tc>
                <w:tcPr>
                  <w:tcW w:w="680" w:type="pct"/>
                  <w:vMerge w:val="continue"/>
                  <w:noWrap w:val="0"/>
                  <w:vAlign w:val="center"/>
                </w:tcPr>
                <w:p>
                  <w:pPr>
                    <w:jc w:val="center"/>
                    <w:rPr>
                      <w:rFonts w:hint="eastAsi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62" w:hRule="atLeast"/>
                <w:jc w:val="center"/>
              </w:trPr>
              <w:tc>
                <w:tcPr>
                  <w:tcW w:w="409" w:type="pct"/>
                  <w:vMerge w:val="continue"/>
                  <w:noWrap w:val="0"/>
                  <w:vAlign w:val="center"/>
                </w:tcPr>
                <w:p>
                  <w:pPr>
                    <w:adjustRightInd w:val="0"/>
                    <w:jc w:val="center"/>
                    <w:rPr>
                      <w:rFonts w:hint="eastAsia"/>
                      <w:szCs w:val="21"/>
                    </w:rPr>
                  </w:pPr>
                </w:p>
              </w:tc>
              <w:tc>
                <w:tcPr>
                  <w:tcW w:w="2805" w:type="pct"/>
                  <w:gridSpan w:val="2"/>
                  <w:noWrap w:val="0"/>
                  <w:vAlign w:val="center"/>
                </w:tcPr>
                <w:p>
                  <w:pPr>
                    <w:adjustRightInd w:val="0"/>
                    <w:jc w:val="center"/>
                    <w:rPr>
                      <w:rFonts w:hint="default"/>
                      <w:szCs w:val="21"/>
                      <w:lang w:val="en-US" w:eastAsia="zh-CN"/>
                    </w:rPr>
                  </w:pPr>
                  <w:r>
                    <w:rPr>
                      <w:rFonts w:hint="eastAsia"/>
                      <w:szCs w:val="21"/>
                      <w:lang w:val="en-US" w:eastAsia="zh-CN"/>
                    </w:rPr>
                    <w:t>1栋3F闲置住院楼（3号楼），建筑面积约1400m</w:t>
                  </w:r>
                  <w:r>
                    <w:rPr>
                      <w:rFonts w:hint="eastAsia"/>
                      <w:szCs w:val="21"/>
                      <w:vertAlign w:val="superscript"/>
                      <w:lang w:val="en-US" w:eastAsia="zh-CN"/>
                    </w:rPr>
                    <w:t>2</w:t>
                  </w:r>
                  <w:r>
                    <w:rPr>
                      <w:rFonts w:hint="eastAsia"/>
                      <w:szCs w:val="21"/>
                      <w:lang w:val="en-US" w:eastAsia="zh-CN"/>
                    </w:rPr>
                    <w:t>，本次扩建投入使用</w:t>
                  </w:r>
                </w:p>
              </w:tc>
              <w:tc>
                <w:tcPr>
                  <w:tcW w:w="557" w:type="pct"/>
                  <w:vMerge w:val="continue"/>
                  <w:noWrap w:val="0"/>
                  <w:vAlign w:val="center"/>
                </w:tcPr>
                <w:p>
                  <w:pPr>
                    <w:pStyle w:val="129"/>
                  </w:pPr>
                </w:p>
              </w:tc>
              <w:tc>
                <w:tcPr>
                  <w:tcW w:w="547" w:type="pct"/>
                  <w:noWrap w:val="0"/>
                  <w:vAlign w:val="center"/>
                </w:tcPr>
                <w:p>
                  <w:pPr>
                    <w:pStyle w:val="129"/>
                    <w:rPr>
                      <w:rFonts w:hint="default" w:eastAsia="宋体"/>
                      <w:lang w:val="en-US" w:eastAsia="zh-CN"/>
                    </w:rPr>
                  </w:pPr>
                  <w:r>
                    <w:rPr>
                      <w:rFonts w:hint="eastAsia"/>
                      <w:lang w:val="en-US" w:eastAsia="zh-CN"/>
                    </w:rPr>
                    <w:t>废水、噪声、固废</w:t>
                  </w:r>
                </w:p>
              </w:tc>
              <w:tc>
                <w:tcPr>
                  <w:tcW w:w="680" w:type="pct"/>
                  <w:noWrap w:val="0"/>
                  <w:vAlign w:val="center"/>
                </w:tcPr>
                <w:p>
                  <w:pPr>
                    <w:jc w:val="center"/>
                    <w:rPr>
                      <w:rFonts w:hint="default" w:eastAsia="宋体"/>
                      <w:lang w:val="en-US" w:eastAsia="zh-CN"/>
                    </w:rPr>
                  </w:pPr>
                  <w:r>
                    <w:rPr>
                      <w:rFonts w:hint="eastAsia"/>
                      <w:lang w:val="en-US" w:eastAsia="zh-CN"/>
                    </w:rPr>
                    <w:t>依托已建的闲置楼房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79" w:hRule="atLeast"/>
                <w:jc w:val="center"/>
              </w:trPr>
              <w:tc>
                <w:tcPr>
                  <w:tcW w:w="409" w:type="pct"/>
                  <w:vMerge w:val="restart"/>
                  <w:noWrap w:val="0"/>
                  <w:vAlign w:val="center"/>
                </w:tcPr>
                <w:p>
                  <w:pPr>
                    <w:pStyle w:val="129"/>
                  </w:pPr>
                  <w:r>
                    <w:rPr>
                      <w:rFonts w:hint="eastAsia"/>
                    </w:rPr>
                    <w:t>辅助及配套工程</w:t>
                  </w:r>
                </w:p>
              </w:tc>
              <w:tc>
                <w:tcPr>
                  <w:tcW w:w="432" w:type="pct"/>
                  <w:noWrap w:val="0"/>
                  <w:vAlign w:val="center"/>
                </w:tcPr>
                <w:p>
                  <w:pPr>
                    <w:adjustRightInd w:val="0"/>
                    <w:jc w:val="center"/>
                    <w:rPr>
                      <w:rFonts w:hint="eastAsia"/>
                      <w:kern w:val="2"/>
                      <w:sz w:val="24"/>
                      <w:szCs w:val="24"/>
                      <w:lang w:val="en-US" w:eastAsia="zh-CN" w:bidi="ar-SA"/>
                    </w:rPr>
                  </w:pPr>
                  <w:r>
                    <w:rPr>
                      <w:rFonts w:ascii="宋体" w:hAnsi="宋体" w:cs="宋体"/>
                      <w:spacing w:val="-2"/>
                      <w:sz w:val="21"/>
                      <w:szCs w:val="21"/>
                    </w:rPr>
                    <w:t>洗衣房</w:t>
                  </w:r>
                </w:p>
              </w:tc>
              <w:tc>
                <w:tcPr>
                  <w:tcW w:w="2372" w:type="pct"/>
                  <w:noWrap w:val="0"/>
                  <w:vAlign w:val="center"/>
                </w:tcPr>
                <w:p>
                  <w:pPr>
                    <w:adjustRightInd w:val="0"/>
                    <w:jc w:val="center"/>
                    <w:rPr>
                      <w:rFonts w:hint="default" w:eastAsia="宋体"/>
                      <w:kern w:val="2"/>
                      <w:sz w:val="21"/>
                      <w:szCs w:val="21"/>
                      <w:vertAlign w:val="baseline"/>
                      <w:lang w:val="en-US" w:eastAsia="zh-CN" w:bidi="ar-SA"/>
                    </w:rPr>
                  </w:pPr>
                  <w:r>
                    <w:rPr>
                      <w:szCs w:val="21"/>
                    </w:rPr>
                    <w:t>项目</w:t>
                  </w:r>
                  <w:r>
                    <w:rPr>
                      <w:rFonts w:hint="eastAsia"/>
                      <w:szCs w:val="21"/>
                    </w:rPr>
                    <w:t>门诊1号</w:t>
                  </w:r>
                  <w:r>
                    <w:rPr>
                      <w:szCs w:val="21"/>
                    </w:rPr>
                    <w:t>楼</w:t>
                  </w:r>
                  <w:r>
                    <w:rPr>
                      <w:rFonts w:hint="eastAsia"/>
                      <w:szCs w:val="21"/>
                    </w:rPr>
                    <w:t>1</w:t>
                  </w:r>
                  <w:r>
                    <w:rPr>
                      <w:szCs w:val="21"/>
                    </w:rPr>
                    <w:t>F</w:t>
                  </w:r>
                  <w:r>
                    <w:rPr>
                      <w:rFonts w:hint="eastAsia"/>
                      <w:szCs w:val="21"/>
                    </w:rPr>
                    <w:t>东北侧</w:t>
                  </w:r>
                  <w:r>
                    <w:rPr>
                      <w:rFonts w:hint="eastAsia"/>
                      <w:szCs w:val="21"/>
                      <w:lang w:eastAsia="zh-CN"/>
                    </w:rPr>
                    <w:t>，建筑面积约</w:t>
                  </w:r>
                  <w:r>
                    <w:rPr>
                      <w:rFonts w:hint="eastAsia"/>
                      <w:szCs w:val="21"/>
                      <w:lang w:val="en-US" w:eastAsia="zh-CN"/>
                    </w:rPr>
                    <w:t>60</w:t>
                  </w:r>
                  <w:r>
                    <w:rPr>
                      <w:rFonts w:hint="eastAsia"/>
                      <w:szCs w:val="21"/>
                      <w:vertAlign w:val="baseline"/>
                      <w:lang w:val="en-US" w:eastAsia="zh-CN"/>
                    </w:rPr>
                    <w:t>m</w:t>
                  </w:r>
                  <w:r>
                    <w:rPr>
                      <w:rFonts w:hint="eastAsia"/>
                      <w:szCs w:val="21"/>
                      <w:vertAlign w:val="superscript"/>
                      <w:lang w:val="en-US" w:eastAsia="zh-CN"/>
                    </w:rPr>
                    <w:t>2</w:t>
                  </w:r>
                  <w:r>
                    <w:rPr>
                      <w:rFonts w:hint="eastAsia"/>
                      <w:szCs w:val="21"/>
                      <w:vertAlign w:val="baseline"/>
                      <w:lang w:val="en-US" w:eastAsia="zh-CN"/>
                    </w:rPr>
                    <w:t>，设2台洗衣机；</w:t>
                  </w:r>
                  <w:r>
                    <w:rPr>
                      <w:rFonts w:hint="eastAsia"/>
                      <w:lang w:val="en" w:eastAsia="zh-CN"/>
                    </w:rPr>
                    <w:t>本次床位扩建不新增洗衣设备</w:t>
                  </w:r>
                </w:p>
              </w:tc>
              <w:tc>
                <w:tcPr>
                  <w:tcW w:w="557" w:type="pct"/>
                  <w:vMerge w:val="continue"/>
                  <w:noWrap w:val="0"/>
                  <w:vAlign w:val="center"/>
                </w:tcPr>
                <w:p>
                  <w:pPr>
                    <w:pStyle w:val="129"/>
                  </w:pPr>
                </w:p>
              </w:tc>
              <w:tc>
                <w:tcPr>
                  <w:tcW w:w="547" w:type="pct"/>
                  <w:noWrap w:val="0"/>
                  <w:vAlign w:val="center"/>
                </w:tcPr>
                <w:p>
                  <w:pPr>
                    <w:pStyle w:val="129"/>
                    <w:jc w:val="left"/>
                    <w:rPr>
                      <w:rFonts w:hint="eastAsia" w:eastAsia="宋体"/>
                      <w:lang w:val="en" w:eastAsia="zh-CN"/>
                    </w:rPr>
                  </w:pPr>
                  <w:r>
                    <w:rPr>
                      <w:rFonts w:hint="eastAsia"/>
                      <w:lang w:val="en" w:eastAsia="zh-CN"/>
                    </w:rPr>
                    <w:t>废水、噪声</w:t>
                  </w:r>
                </w:p>
              </w:tc>
              <w:tc>
                <w:tcPr>
                  <w:tcW w:w="680" w:type="pct"/>
                  <w:noWrap w:val="0"/>
                  <w:vAlign w:val="center"/>
                </w:tcPr>
                <w:p>
                  <w:pPr>
                    <w:jc w:val="center"/>
                    <w:rPr>
                      <w:rFonts w:hint="eastAsia" w:eastAsia="宋体"/>
                      <w:lang w:val="en" w:eastAsia="zh-CN"/>
                    </w:rPr>
                  </w:pPr>
                  <w:r>
                    <w:rPr>
                      <w:rFonts w:hint="eastAsia"/>
                    </w:rPr>
                    <w:t>依托</w:t>
                  </w: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2" w:hRule="atLeast"/>
                <w:jc w:val="center"/>
              </w:trPr>
              <w:tc>
                <w:tcPr>
                  <w:tcW w:w="409" w:type="pct"/>
                  <w:vMerge w:val="continue"/>
                  <w:noWrap w:val="0"/>
                  <w:vAlign w:val="center"/>
                </w:tcPr>
                <w:p>
                  <w:pPr>
                    <w:pStyle w:val="129"/>
                    <w:rPr>
                      <w:rFonts w:hint="eastAsia"/>
                    </w:rPr>
                  </w:pPr>
                </w:p>
              </w:tc>
              <w:tc>
                <w:tcPr>
                  <w:tcW w:w="432" w:type="pct"/>
                  <w:noWrap w:val="0"/>
                  <w:vAlign w:val="center"/>
                </w:tcPr>
                <w:p>
                  <w:pPr>
                    <w:adjustRightInd w:val="0"/>
                    <w:jc w:val="center"/>
                    <w:rPr>
                      <w:rFonts w:hint="eastAsia" w:ascii="宋体" w:hAnsi="宋体" w:eastAsia="宋体" w:cs="宋体"/>
                      <w:spacing w:val="-2"/>
                      <w:sz w:val="21"/>
                      <w:szCs w:val="21"/>
                      <w:lang w:eastAsia="zh-CN"/>
                    </w:rPr>
                  </w:pPr>
                  <w:r>
                    <w:rPr>
                      <w:rFonts w:hint="eastAsia" w:ascii="宋体" w:hAnsi="宋体" w:cs="宋体"/>
                      <w:spacing w:val="-2"/>
                      <w:sz w:val="21"/>
                      <w:szCs w:val="21"/>
                      <w:lang w:eastAsia="zh-CN"/>
                    </w:rPr>
                    <w:t>供热制冷</w:t>
                  </w:r>
                </w:p>
              </w:tc>
              <w:tc>
                <w:tcPr>
                  <w:tcW w:w="2372" w:type="pct"/>
                  <w:noWrap w:val="0"/>
                  <w:vAlign w:val="center"/>
                </w:tcPr>
                <w:p>
                  <w:pPr>
                    <w:adjustRightInd w:val="0"/>
                    <w:jc w:val="center"/>
                    <w:rPr>
                      <w:szCs w:val="21"/>
                    </w:rPr>
                  </w:pPr>
                  <w:r>
                    <w:rPr>
                      <w:rFonts w:hint="eastAsia"/>
                      <w:szCs w:val="21"/>
                      <w:lang w:eastAsia="zh-CN"/>
                    </w:rPr>
                    <w:t>依托原有</w:t>
                  </w:r>
                  <w:r>
                    <w:rPr>
                      <w:szCs w:val="21"/>
                    </w:rPr>
                    <w:t>分体式空调，不设锅炉及中央空调</w:t>
                  </w:r>
                </w:p>
              </w:tc>
              <w:tc>
                <w:tcPr>
                  <w:tcW w:w="557" w:type="pct"/>
                  <w:vMerge w:val="continue"/>
                  <w:noWrap w:val="0"/>
                  <w:vAlign w:val="center"/>
                </w:tcPr>
                <w:p>
                  <w:pPr>
                    <w:pStyle w:val="129"/>
                  </w:pPr>
                </w:p>
              </w:tc>
              <w:tc>
                <w:tcPr>
                  <w:tcW w:w="547" w:type="pct"/>
                  <w:noWrap w:val="0"/>
                  <w:vAlign w:val="center"/>
                </w:tcPr>
                <w:p>
                  <w:pPr>
                    <w:pStyle w:val="129"/>
                    <w:rPr>
                      <w:rFonts w:hint="eastAsia" w:eastAsia="宋体"/>
                      <w:lang w:val="en" w:eastAsia="zh-CN"/>
                    </w:rPr>
                  </w:pPr>
                  <w:r>
                    <w:rPr>
                      <w:rFonts w:hint="eastAsia"/>
                      <w:lang w:val="en" w:eastAsia="zh-CN"/>
                    </w:rPr>
                    <w:t>噪声</w:t>
                  </w:r>
                </w:p>
              </w:tc>
              <w:tc>
                <w:tcPr>
                  <w:tcW w:w="680" w:type="pct"/>
                  <w:noWrap w:val="0"/>
                  <w:vAlign w:val="center"/>
                </w:tcPr>
                <w:p>
                  <w:pPr>
                    <w:jc w:val="center"/>
                    <w:rPr>
                      <w:lang w:val="en"/>
                    </w:rPr>
                  </w:pPr>
                  <w:r>
                    <w:rPr>
                      <w:rFonts w:hint="eastAsia"/>
                    </w:rPr>
                    <w:t>依托</w:t>
                  </w: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9" w:hRule="atLeast"/>
                <w:jc w:val="center"/>
              </w:trPr>
              <w:tc>
                <w:tcPr>
                  <w:tcW w:w="409" w:type="pct"/>
                  <w:noWrap w:val="0"/>
                  <w:vAlign w:val="center"/>
                </w:tcPr>
                <w:p>
                  <w:pPr>
                    <w:pStyle w:val="129"/>
                  </w:pPr>
                  <w:r>
                    <w:rPr>
                      <w:rFonts w:hint="eastAsia"/>
                    </w:rPr>
                    <w:t>办公及生活设施</w:t>
                  </w:r>
                </w:p>
              </w:tc>
              <w:tc>
                <w:tcPr>
                  <w:tcW w:w="432" w:type="pct"/>
                  <w:noWrap w:val="0"/>
                  <w:vAlign w:val="center"/>
                </w:tcPr>
                <w:p>
                  <w:pPr>
                    <w:adjustRightInd w:val="0"/>
                    <w:jc w:val="center"/>
                    <w:rPr>
                      <w:rFonts w:hint="eastAsia" w:eastAsia="宋体"/>
                      <w:kern w:val="2"/>
                      <w:sz w:val="21"/>
                      <w:szCs w:val="21"/>
                      <w:lang w:val="en-US" w:eastAsia="zh-CN" w:bidi="ar-SA"/>
                    </w:rPr>
                  </w:pPr>
                  <w:r>
                    <w:rPr>
                      <w:rFonts w:hint="eastAsia"/>
                      <w:szCs w:val="21"/>
                      <w:lang w:eastAsia="zh-CN"/>
                    </w:rPr>
                    <w:t>厨房</w:t>
                  </w:r>
                </w:p>
              </w:tc>
              <w:tc>
                <w:tcPr>
                  <w:tcW w:w="2372" w:type="pct"/>
                  <w:noWrap w:val="0"/>
                  <w:vAlign w:val="center"/>
                </w:tcPr>
                <w:p>
                  <w:pPr>
                    <w:adjustRightInd w:val="0"/>
                    <w:jc w:val="center"/>
                    <w:rPr>
                      <w:rFonts w:hint="eastAsia"/>
                      <w:kern w:val="2"/>
                      <w:sz w:val="21"/>
                      <w:szCs w:val="21"/>
                      <w:lang w:val="en-US" w:eastAsia="zh-CN" w:bidi="ar-SA"/>
                    </w:rPr>
                  </w:pPr>
                  <w:r>
                    <w:rPr>
                      <w:rFonts w:hint="eastAsia"/>
                      <w:szCs w:val="21"/>
                    </w:rPr>
                    <w:t>1栋</w:t>
                  </w:r>
                  <w:r>
                    <w:rPr>
                      <w:rFonts w:hint="eastAsia"/>
                      <w:szCs w:val="21"/>
                      <w:lang w:val="en-US" w:eastAsia="zh-CN"/>
                    </w:rPr>
                    <w:t>1F厨房</w:t>
                  </w:r>
                  <w:r>
                    <w:rPr>
                      <w:rFonts w:hint="eastAsia"/>
                      <w:szCs w:val="21"/>
                    </w:rPr>
                    <w:t>，</w:t>
                  </w:r>
                  <w:r>
                    <w:rPr>
                      <w:rFonts w:hint="eastAsia"/>
                      <w:szCs w:val="21"/>
                      <w:lang w:eastAsia="zh-CN"/>
                    </w:rPr>
                    <w:t>位于项目东北侧，</w:t>
                  </w:r>
                  <w:r>
                    <w:rPr>
                      <w:rFonts w:hint="eastAsia"/>
                      <w:szCs w:val="21"/>
                    </w:rPr>
                    <w:t>建筑面积约20m</w:t>
                  </w:r>
                  <w:r>
                    <w:rPr>
                      <w:szCs w:val="21"/>
                    </w:rPr>
                    <w:t>²</w:t>
                  </w:r>
                </w:p>
              </w:tc>
              <w:tc>
                <w:tcPr>
                  <w:tcW w:w="557" w:type="pct"/>
                  <w:vMerge w:val="continue"/>
                  <w:noWrap w:val="0"/>
                  <w:vAlign w:val="center"/>
                </w:tcPr>
                <w:p>
                  <w:pPr>
                    <w:pStyle w:val="129"/>
                  </w:pPr>
                </w:p>
              </w:tc>
              <w:tc>
                <w:tcPr>
                  <w:tcW w:w="547" w:type="pct"/>
                  <w:noWrap w:val="0"/>
                  <w:vAlign w:val="center"/>
                </w:tcPr>
                <w:p>
                  <w:pPr>
                    <w:pStyle w:val="129"/>
                    <w:jc w:val="left"/>
                    <w:rPr>
                      <w:rFonts w:hint="eastAsia"/>
                      <w:lang w:val="en" w:eastAsia="zh-CN"/>
                    </w:rPr>
                  </w:pPr>
                  <w:r>
                    <w:rPr>
                      <w:rFonts w:hint="eastAsia"/>
                      <w:lang w:val="en" w:eastAsia="zh-CN"/>
                    </w:rPr>
                    <w:t>废水、油烟、固废</w:t>
                  </w:r>
                </w:p>
              </w:tc>
              <w:tc>
                <w:tcPr>
                  <w:tcW w:w="680" w:type="pct"/>
                  <w:noWrap w:val="0"/>
                  <w:vAlign w:val="center"/>
                </w:tcPr>
                <w:p>
                  <w:pPr>
                    <w:jc w:val="center"/>
                    <w:rPr>
                      <w:rFonts w:hint="eastAsia"/>
                      <w:kern w:val="2"/>
                      <w:sz w:val="21"/>
                      <w:szCs w:val="24"/>
                      <w:lang w:val="en" w:eastAsia="zh-CN" w:bidi="ar-SA"/>
                    </w:rPr>
                  </w:pPr>
                  <w:r>
                    <w:rPr>
                      <w:rFonts w:hint="eastAsia"/>
                    </w:rPr>
                    <w:t>依托</w:t>
                  </w: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09" w:type="pct"/>
                  <w:vMerge w:val="restart"/>
                  <w:noWrap w:val="0"/>
                  <w:vAlign w:val="center"/>
                </w:tcPr>
                <w:p>
                  <w:pPr>
                    <w:pStyle w:val="129"/>
                  </w:pPr>
                  <w:r>
                    <w:rPr>
                      <w:rFonts w:hint="eastAsia"/>
                    </w:rPr>
                    <w:t>公用工程</w:t>
                  </w:r>
                </w:p>
              </w:tc>
              <w:tc>
                <w:tcPr>
                  <w:tcW w:w="432" w:type="pct"/>
                  <w:noWrap w:val="0"/>
                  <w:vAlign w:val="top"/>
                </w:tcPr>
                <w:p>
                  <w:pPr>
                    <w:spacing w:before="46" w:line="219" w:lineRule="auto"/>
                    <w:jc w:val="center"/>
                    <w:rPr>
                      <w:rFonts w:hint="eastAsia" w:ascii="宋体" w:hAnsi="宋体" w:cs="宋体"/>
                      <w:szCs w:val="21"/>
                    </w:rPr>
                  </w:pPr>
                  <w:r>
                    <w:rPr>
                      <w:rFonts w:hint="eastAsia" w:ascii="宋体" w:hAnsi="宋体" w:cs="宋体"/>
                      <w:spacing w:val="-2"/>
                      <w:szCs w:val="21"/>
                    </w:rPr>
                    <w:t>供水</w:t>
                  </w:r>
                </w:p>
              </w:tc>
              <w:tc>
                <w:tcPr>
                  <w:tcW w:w="2372" w:type="pct"/>
                  <w:noWrap w:val="0"/>
                  <w:vAlign w:val="top"/>
                </w:tcPr>
                <w:p>
                  <w:pPr>
                    <w:spacing w:before="26" w:line="219" w:lineRule="auto"/>
                    <w:jc w:val="center"/>
                    <w:rPr>
                      <w:rFonts w:hint="eastAsia" w:ascii="宋体" w:hAnsi="宋体" w:cs="宋体"/>
                      <w:szCs w:val="21"/>
                    </w:rPr>
                  </w:pPr>
                  <w:r>
                    <w:rPr>
                      <w:rFonts w:hint="eastAsia" w:ascii="宋体" w:hAnsi="宋体" w:cs="宋体"/>
                      <w:spacing w:val="-1"/>
                      <w:szCs w:val="21"/>
                    </w:rPr>
                    <w:t>接自附近市政自来水管道</w:t>
                  </w:r>
                </w:p>
              </w:tc>
              <w:tc>
                <w:tcPr>
                  <w:tcW w:w="557" w:type="pct"/>
                  <w:vMerge w:val="continue"/>
                  <w:noWrap w:val="0"/>
                  <w:vAlign w:val="center"/>
                </w:tcPr>
                <w:p>
                  <w:pPr>
                    <w:pStyle w:val="129"/>
                  </w:pPr>
                </w:p>
              </w:tc>
              <w:tc>
                <w:tcPr>
                  <w:tcW w:w="547" w:type="pct"/>
                  <w:noWrap w:val="0"/>
                  <w:vAlign w:val="center"/>
                </w:tcPr>
                <w:p>
                  <w:pPr>
                    <w:pStyle w:val="129"/>
                  </w:pPr>
                  <w:r>
                    <w:rPr>
                      <w:rFonts w:hint="eastAsia"/>
                    </w:rPr>
                    <w:t>/</w:t>
                  </w:r>
                </w:p>
              </w:tc>
              <w:tc>
                <w:tcPr>
                  <w:tcW w:w="680" w:type="pct"/>
                  <w:noWrap w:val="0"/>
                  <w:vAlign w:val="center"/>
                </w:tcPr>
                <w:p>
                  <w:pPr>
                    <w:jc w:val="center"/>
                  </w:pPr>
                  <w:r>
                    <w:rPr>
                      <w:rFonts w:hint="eastAsia"/>
                    </w:rPr>
                    <w:t>依托</w:t>
                  </w: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09" w:type="pct"/>
                  <w:vMerge w:val="continue"/>
                  <w:noWrap w:val="0"/>
                  <w:vAlign w:val="center"/>
                </w:tcPr>
                <w:p>
                  <w:pPr>
                    <w:pStyle w:val="129"/>
                    <w:rPr>
                      <w:rFonts w:hint="eastAsia"/>
                    </w:rPr>
                  </w:pPr>
                </w:p>
              </w:tc>
              <w:tc>
                <w:tcPr>
                  <w:tcW w:w="432" w:type="pct"/>
                  <w:noWrap w:val="0"/>
                  <w:vAlign w:val="top"/>
                </w:tcPr>
                <w:p>
                  <w:pPr>
                    <w:spacing w:before="46" w:line="219" w:lineRule="auto"/>
                    <w:jc w:val="center"/>
                    <w:rPr>
                      <w:rFonts w:hint="eastAsia" w:ascii="宋体" w:hAnsi="宋体" w:cs="宋体"/>
                      <w:szCs w:val="21"/>
                    </w:rPr>
                  </w:pPr>
                  <w:r>
                    <w:rPr>
                      <w:rFonts w:hint="eastAsia" w:ascii="宋体" w:hAnsi="宋体" w:cs="宋体"/>
                      <w:spacing w:val="-2"/>
                      <w:szCs w:val="21"/>
                    </w:rPr>
                    <w:t>供电</w:t>
                  </w:r>
                </w:p>
              </w:tc>
              <w:tc>
                <w:tcPr>
                  <w:tcW w:w="2372" w:type="pct"/>
                  <w:noWrap w:val="0"/>
                  <w:vAlign w:val="top"/>
                </w:tcPr>
                <w:p>
                  <w:pPr>
                    <w:spacing w:before="47" w:line="219" w:lineRule="auto"/>
                    <w:jc w:val="center"/>
                    <w:rPr>
                      <w:rFonts w:hint="eastAsia" w:ascii="宋体" w:hAnsi="宋体" w:cs="宋体"/>
                      <w:szCs w:val="21"/>
                    </w:rPr>
                  </w:pPr>
                  <w:r>
                    <w:rPr>
                      <w:rFonts w:hint="eastAsia" w:ascii="宋体" w:hAnsi="宋体" w:cs="宋体"/>
                      <w:spacing w:val="2"/>
                      <w:szCs w:val="21"/>
                    </w:rPr>
                    <w:t>接自周边市政电网</w:t>
                  </w:r>
                </w:p>
              </w:tc>
              <w:tc>
                <w:tcPr>
                  <w:tcW w:w="557" w:type="pct"/>
                  <w:vMerge w:val="continue"/>
                  <w:noWrap w:val="0"/>
                  <w:vAlign w:val="center"/>
                </w:tcPr>
                <w:p>
                  <w:pPr>
                    <w:pStyle w:val="129"/>
                  </w:pPr>
                </w:p>
              </w:tc>
              <w:tc>
                <w:tcPr>
                  <w:tcW w:w="547" w:type="pct"/>
                  <w:noWrap w:val="0"/>
                  <w:vAlign w:val="center"/>
                </w:tcPr>
                <w:p>
                  <w:pPr>
                    <w:jc w:val="center"/>
                  </w:pPr>
                  <w:r>
                    <w:rPr>
                      <w:rFonts w:hint="eastAsia"/>
                    </w:rPr>
                    <w:t>/</w:t>
                  </w:r>
                </w:p>
              </w:tc>
              <w:tc>
                <w:tcPr>
                  <w:tcW w:w="680" w:type="pct"/>
                  <w:noWrap w:val="0"/>
                  <w:vAlign w:val="center"/>
                </w:tcPr>
                <w:p>
                  <w:pPr>
                    <w:jc w:val="center"/>
                  </w:pPr>
                  <w:r>
                    <w:rPr>
                      <w:rFonts w:hint="eastAsia"/>
                    </w:rPr>
                    <w:t>依托</w:t>
                  </w: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51" w:hRule="atLeast"/>
                <w:jc w:val="center"/>
              </w:trPr>
              <w:tc>
                <w:tcPr>
                  <w:tcW w:w="409" w:type="pct"/>
                  <w:vMerge w:val="continue"/>
                  <w:noWrap w:val="0"/>
                  <w:vAlign w:val="center"/>
                </w:tcPr>
                <w:p>
                  <w:pPr>
                    <w:pStyle w:val="129"/>
                    <w:rPr>
                      <w:rFonts w:hint="eastAsia"/>
                    </w:rPr>
                  </w:pPr>
                </w:p>
              </w:tc>
              <w:tc>
                <w:tcPr>
                  <w:tcW w:w="432" w:type="pct"/>
                  <w:noWrap w:val="0"/>
                  <w:vAlign w:val="center"/>
                </w:tcPr>
                <w:p>
                  <w:pPr>
                    <w:adjustRightInd w:val="0"/>
                    <w:jc w:val="center"/>
                    <w:rPr>
                      <w:rFonts w:hint="eastAsia"/>
                      <w:szCs w:val="21"/>
                    </w:rPr>
                  </w:pPr>
                  <w:r>
                    <w:rPr>
                      <w:rFonts w:ascii="宋体" w:hAnsi="宋体" w:cs="宋体"/>
                      <w:spacing w:val="-2"/>
                      <w:sz w:val="21"/>
                      <w:szCs w:val="21"/>
                    </w:rPr>
                    <w:t>排水</w:t>
                  </w:r>
                </w:p>
              </w:tc>
              <w:tc>
                <w:tcPr>
                  <w:tcW w:w="2372" w:type="pct"/>
                  <w:noWrap w:val="0"/>
                  <w:vAlign w:val="center"/>
                </w:tcPr>
                <w:p>
                  <w:pPr>
                    <w:adjustRightInd w:val="0"/>
                    <w:jc w:val="center"/>
                    <w:rPr>
                      <w:rFonts w:hint="eastAsia" w:eastAsia="宋体"/>
                      <w:szCs w:val="21"/>
                      <w:lang w:eastAsia="zh-CN"/>
                    </w:rPr>
                  </w:pPr>
                  <w:r>
                    <w:rPr>
                      <w:rFonts w:hint="eastAsia"/>
                      <w:szCs w:val="21"/>
                    </w:rPr>
                    <w:t>医院废水经</w:t>
                  </w:r>
                  <w:r>
                    <w:rPr>
                      <w:rFonts w:hint="eastAsia"/>
                      <w:szCs w:val="21"/>
                      <w:lang w:eastAsia="zh-CN"/>
                    </w:rPr>
                    <w:t>原有院区</w:t>
                  </w:r>
                  <w:r>
                    <w:rPr>
                      <w:rFonts w:hint="eastAsia"/>
                      <w:szCs w:val="21"/>
                    </w:rPr>
                    <w:t>污水处理站处理达标后，排入</w:t>
                  </w:r>
                  <w:r>
                    <w:rPr>
                      <w:rFonts w:hint="eastAsia"/>
                      <w:szCs w:val="21"/>
                      <w:lang w:eastAsia="zh-CN"/>
                    </w:rPr>
                    <w:t>乐山市第三污水处理厂处理</w:t>
                  </w:r>
                </w:p>
              </w:tc>
              <w:tc>
                <w:tcPr>
                  <w:tcW w:w="557" w:type="pct"/>
                  <w:vMerge w:val="continue"/>
                  <w:noWrap w:val="0"/>
                  <w:vAlign w:val="center"/>
                </w:tcPr>
                <w:p>
                  <w:pPr>
                    <w:pStyle w:val="129"/>
                  </w:pPr>
                </w:p>
              </w:tc>
              <w:tc>
                <w:tcPr>
                  <w:tcW w:w="547" w:type="pct"/>
                  <w:noWrap w:val="0"/>
                  <w:vAlign w:val="center"/>
                </w:tcPr>
                <w:p>
                  <w:pPr>
                    <w:jc w:val="center"/>
                  </w:pPr>
                  <w:r>
                    <w:rPr>
                      <w:rFonts w:hint="eastAsia"/>
                    </w:rPr>
                    <w:t>/</w:t>
                  </w:r>
                </w:p>
              </w:tc>
              <w:tc>
                <w:tcPr>
                  <w:tcW w:w="680" w:type="pct"/>
                  <w:noWrap w:val="0"/>
                  <w:vAlign w:val="center"/>
                </w:tcPr>
                <w:p>
                  <w:pPr>
                    <w:jc w:val="center"/>
                  </w:pPr>
                  <w:r>
                    <w:rPr>
                      <w:rFonts w:hint="eastAsia"/>
                    </w:rPr>
                    <w:t>依托</w:t>
                  </w: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09" w:type="pct"/>
                  <w:vMerge w:val="continue"/>
                  <w:noWrap w:val="0"/>
                  <w:vAlign w:val="center"/>
                </w:tcPr>
                <w:p>
                  <w:pPr>
                    <w:pStyle w:val="129"/>
                    <w:rPr>
                      <w:rFonts w:hint="eastAsia"/>
                    </w:rPr>
                  </w:pPr>
                </w:p>
              </w:tc>
              <w:tc>
                <w:tcPr>
                  <w:tcW w:w="432" w:type="pct"/>
                  <w:noWrap w:val="0"/>
                  <w:vAlign w:val="center"/>
                </w:tcPr>
                <w:p>
                  <w:pPr>
                    <w:adjustRightInd w:val="0"/>
                    <w:jc w:val="center"/>
                    <w:rPr>
                      <w:rFonts w:hint="eastAsia"/>
                      <w:kern w:val="2"/>
                      <w:sz w:val="21"/>
                      <w:szCs w:val="21"/>
                      <w:lang w:val="en-US" w:eastAsia="zh-CN" w:bidi="ar-SA"/>
                    </w:rPr>
                  </w:pPr>
                  <w:r>
                    <w:rPr>
                      <w:rFonts w:hint="eastAsia"/>
                      <w:szCs w:val="21"/>
                    </w:rPr>
                    <w:t>通风</w:t>
                  </w:r>
                </w:p>
              </w:tc>
              <w:tc>
                <w:tcPr>
                  <w:tcW w:w="2372" w:type="pct"/>
                  <w:noWrap w:val="0"/>
                  <w:vAlign w:val="center"/>
                </w:tcPr>
                <w:p>
                  <w:pPr>
                    <w:adjustRightInd w:val="0"/>
                    <w:jc w:val="center"/>
                    <w:rPr>
                      <w:rFonts w:hint="eastAsia"/>
                      <w:kern w:val="2"/>
                      <w:sz w:val="21"/>
                      <w:szCs w:val="21"/>
                      <w:lang w:val="en-US" w:eastAsia="zh-CN" w:bidi="ar-SA"/>
                    </w:rPr>
                  </w:pPr>
                  <w:r>
                    <w:rPr>
                      <w:rFonts w:hint="eastAsia" w:ascii="宋体" w:hAnsi="宋体" w:cs="宋体"/>
                      <w:spacing w:val="9"/>
                      <w:sz w:val="21"/>
                      <w:szCs w:val="21"/>
                      <w:lang w:eastAsia="zh-CN"/>
                    </w:rPr>
                    <w:t>依托原有</w:t>
                  </w:r>
                  <w:r>
                    <w:rPr>
                      <w:rFonts w:ascii="宋体" w:hAnsi="宋体" w:cs="宋体"/>
                      <w:spacing w:val="9"/>
                      <w:sz w:val="21"/>
                      <w:szCs w:val="21"/>
                    </w:rPr>
                    <w:t>通风管</w:t>
                  </w:r>
                </w:p>
              </w:tc>
              <w:tc>
                <w:tcPr>
                  <w:tcW w:w="557" w:type="pct"/>
                  <w:vMerge w:val="continue"/>
                  <w:noWrap w:val="0"/>
                  <w:vAlign w:val="center"/>
                </w:tcPr>
                <w:p>
                  <w:pPr>
                    <w:jc w:val="center"/>
                    <w:rPr>
                      <w:kern w:val="2"/>
                      <w:sz w:val="21"/>
                      <w:szCs w:val="24"/>
                      <w:lang w:val="en-US" w:eastAsia="zh-CN" w:bidi="ar-SA"/>
                    </w:rPr>
                  </w:pPr>
                </w:p>
              </w:tc>
              <w:tc>
                <w:tcPr>
                  <w:tcW w:w="547" w:type="pct"/>
                  <w:noWrap w:val="0"/>
                  <w:vAlign w:val="center"/>
                </w:tcPr>
                <w:p>
                  <w:pPr>
                    <w:jc w:val="center"/>
                    <w:rPr>
                      <w:rFonts w:hint="default"/>
                      <w:kern w:val="2"/>
                      <w:sz w:val="21"/>
                      <w:szCs w:val="24"/>
                      <w:lang w:val="en-US" w:eastAsia="zh-CN" w:bidi="ar-SA"/>
                    </w:rPr>
                  </w:pPr>
                  <w:r>
                    <w:rPr>
                      <w:rFonts w:hint="eastAsia"/>
                      <w:kern w:val="2"/>
                      <w:sz w:val="21"/>
                      <w:szCs w:val="24"/>
                      <w:lang w:val="en-US" w:eastAsia="zh-CN" w:bidi="ar-SA"/>
                    </w:rPr>
                    <w:t>/</w:t>
                  </w:r>
                </w:p>
              </w:tc>
              <w:tc>
                <w:tcPr>
                  <w:tcW w:w="680" w:type="pct"/>
                  <w:noWrap w:val="0"/>
                  <w:vAlign w:val="center"/>
                </w:tcPr>
                <w:p>
                  <w:pPr>
                    <w:jc w:val="center"/>
                    <w:rPr>
                      <w:rFonts w:hint="eastAsia"/>
                    </w:rPr>
                  </w:pPr>
                  <w:r>
                    <w:rPr>
                      <w:rFonts w:hint="eastAsia"/>
                    </w:rPr>
                    <w:t>依托</w:t>
                  </w: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08" w:hRule="atLeast"/>
                <w:jc w:val="center"/>
              </w:trPr>
              <w:tc>
                <w:tcPr>
                  <w:tcW w:w="409" w:type="pct"/>
                  <w:vMerge w:val="restart"/>
                  <w:noWrap w:val="0"/>
                  <w:vAlign w:val="center"/>
                </w:tcPr>
                <w:p>
                  <w:pPr>
                    <w:pStyle w:val="129"/>
                  </w:pPr>
                  <w:r>
                    <w:rPr>
                      <w:rFonts w:hint="eastAsia"/>
                    </w:rPr>
                    <w:t>环保工程</w:t>
                  </w:r>
                </w:p>
              </w:tc>
              <w:tc>
                <w:tcPr>
                  <w:tcW w:w="432" w:type="pct"/>
                  <w:vMerge w:val="restart"/>
                  <w:noWrap w:val="0"/>
                  <w:vAlign w:val="center"/>
                </w:tcPr>
                <w:p>
                  <w:pPr>
                    <w:jc w:val="center"/>
                    <w:rPr>
                      <w:rFonts w:hint="eastAsia" w:eastAsia="宋体"/>
                      <w:lang w:eastAsia="zh-CN"/>
                    </w:rPr>
                  </w:pPr>
                  <w:r>
                    <w:rPr>
                      <w:rFonts w:hint="eastAsia"/>
                      <w:lang w:eastAsia="zh-CN"/>
                    </w:rPr>
                    <w:t>废水治理</w:t>
                  </w:r>
                </w:p>
              </w:tc>
              <w:tc>
                <w:tcPr>
                  <w:tcW w:w="2372" w:type="pct"/>
                  <w:noWrap w:val="0"/>
                  <w:vAlign w:val="center"/>
                </w:tcPr>
                <w:p>
                  <w:pPr>
                    <w:pStyle w:val="129"/>
                    <w:rPr>
                      <w:rFonts w:hint="default" w:eastAsia="宋体"/>
                      <w:lang w:val="en-US" w:eastAsia="zh-CN"/>
                    </w:rPr>
                  </w:pPr>
                  <w:r>
                    <w:rPr>
                      <w:rFonts w:hint="eastAsia"/>
                      <w:lang w:eastAsia="zh-CN"/>
                    </w:rPr>
                    <w:t>依托原有</w:t>
                  </w:r>
                  <w:r>
                    <w:rPr>
                      <w:rFonts w:hint="eastAsia"/>
                    </w:rPr>
                    <w:t>污水处理站</w:t>
                  </w:r>
                  <w:r>
                    <w:rPr>
                      <w:rFonts w:hint="eastAsia"/>
                      <w:lang w:eastAsia="zh-CN"/>
                    </w:rPr>
                    <w:t>，</w:t>
                  </w:r>
                  <w:r>
                    <w:rPr>
                      <w:rFonts w:hint="eastAsia"/>
                    </w:rPr>
                    <w:t>1座，</w:t>
                  </w:r>
                  <w:r>
                    <w:rPr>
                      <w:rFonts w:hint="eastAsia"/>
                      <w:lang w:eastAsia="zh-CN"/>
                    </w:rPr>
                    <w:t>增加</w:t>
                  </w:r>
                  <w:r>
                    <w:rPr>
                      <w:rFonts w:hint="eastAsia"/>
                      <w:lang w:val="en-US" w:eastAsia="zh-CN"/>
                    </w:rPr>
                    <w:t>1座化粪池的使用，增大消毒药剂投加量，对原有污水处理站处理能力进行扩能</w:t>
                  </w:r>
                </w:p>
              </w:tc>
              <w:tc>
                <w:tcPr>
                  <w:tcW w:w="557" w:type="pct"/>
                  <w:vMerge w:val="continue"/>
                  <w:noWrap w:val="0"/>
                  <w:vAlign w:val="center"/>
                </w:tcPr>
                <w:p>
                  <w:pPr>
                    <w:pStyle w:val="129"/>
                  </w:pPr>
                </w:p>
              </w:tc>
              <w:tc>
                <w:tcPr>
                  <w:tcW w:w="547" w:type="pct"/>
                  <w:vMerge w:val="restart"/>
                  <w:noWrap w:val="0"/>
                  <w:vAlign w:val="center"/>
                </w:tcPr>
                <w:p>
                  <w:pPr>
                    <w:pStyle w:val="129"/>
                    <w:jc w:val="left"/>
                    <w:rPr>
                      <w:rFonts w:hint="eastAsia" w:eastAsia="宋体"/>
                      <w:lang w:eastAsia="zh-CN"/>
                    </w:rPr>
                  </w:pPr>
                  <w:r>
                    <w:rPr>
                      <w:rFonts w:hint="eastAsia"/>
                    </w:rPr>
                    <w:t>臭气</w:t>
                  </w:r>
                  <w:r>
                    <w:rPr>
                      <w:rFonts w:hint="eastAsia"/>
                      <w:lang w:eastAsia="zh-CN"/>
                    </w:rPr>
                    <w:t>、固废、废水</w:t>
                  </w:r>
                </w:p>
              </w:tc>
              <w:tc>
                <w:tcPr>
                  <w:tcW w:w="680" w:type="pct"/>
                  <w:noWrap w:val="0"/>
                  <w:vAlign w:val="center"/>
                </w:tcPr>
                <w:p>
                  <w:pPr>
                    <w:jc w:val="center"/>
                  </w:pPr>
                  <w:r>
                    <w:rPr>
                      <w:rFonts w:hint="eastAsia"/>
                    </w:rPr>
                    <w:t>依托</w:t>
                  </w:r>
                  <w:r>
                    <w:rPr>
                      <w:rFonts w:hint="eastAsia"/>
                      <w:lang w:eastAsia="zh-CN"/>
                    </w:rPr>
                    <w:t>已建，增加处理能力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1" w:hRule="atLeast"/>
                <w:jc w:val="center"/>
              </w:trPr>
              <w:tc>
                <w:tcPr>
                  <w:tcW w:w="409" w:type="pct"/>
                  <w:vMerge w:val="continue"/>
                  <w:noWrap w:val="0"/>
                  <w:vAlign w:val="center"/>
                </w:tcPr>
                <w:p>
                  <w:pPr>
                    <w:pStyle w:val="129"/>
                  </w:pPr>
                </w:p>
              </w:tc>
              <w:tc>
                <w:tcPr>
                  <w:tcW w:w="432" w:type="pct"/>
                  <w:vMerge w:val="continue"/>
                  <w:noWrap w:val="0"/>
                  <w:vAlign w:val="center"/>
                </w:tcPr>
                <w:p>
                  <w:pPr>
                    <w:pStyle w:val="129"/>
                  </w:pPr>
                </w:p>
              </w:tc>
              <w:tc>
                <w:tcPr>
                  <w:tcW w:w="2372" w:type="pct"/>
                  <w:noWrap w:val="0"/>
                  <w:vAlign w:val="center"/>
                </w:tcPr>
                <w:p>
                  <w:pPr>
                    <w:pStyle w:val="129"/>
                    <w:rPr>
                      <w:rFonts w:hint="eastAsia" w:eastAsia="宋体"/>
                      <w:lang w:eastAsia="zh-CN"/>
                    </w:rPr>
                  </w:pPr>
                  <w:r>
                    <w:rPr>
                      <w:rFonts w:hint="eastAsia"/>
                      <w:lang w:eastAsia="zh-CN"/>
                    </w:rPr>
                    <w:t>依托原有</w:t>
                  </w:r>
                  <w:r>
                    <w:t>隔油池</w:t>
                  </w:r>
                  <w:r>
                    <w:rPr>
                      <w:rFonts w:hint="eastAsia"/>
                      <w:lang w:eastAsia="zh-CN"/>
                    </w:rPr>
                    <w:t>，</w:t>
                  </w:r>
                  <w:r>
                    <w:t>1座，</w:t>
                  </w:r>
                  <w:r>
                    <w:rPr>
                      <w:rFonts w:hint="eastAsia"/>
                      <w:lang w:eastAsia="zh-CN"/>
                    </w:rPr>
                    <w:t>厨房含油废</w:t>
                  </w:r>
                  <w:r>
                    <w:t>水</w:t>
                  </w:r>
                  <w:r>
                    <w:rPr>
                      <w:rFonts w:hint="eastAsia"/>
                      <w:lang w:eastAsia="zh-CN"/>
                    </w:rPr>
                    <w:t>经</w:t>
                  </w:r>
                  <w:r>
                    <w:t>隔油池预处理</w:t>
                  </w:r>
                  <w:r>
                    <w:rPr>
                      <w:rFonts w:hint="eastAsia"/>
                      <w:lang w:eastAsia="zh-CN"/>
                    </w:rPr>
                    <w:t>后进入院内现有污水处理站处理</w:t>
                  </w:r>
                </w:p>
              </w:tc>
              <w:tc>
                <w:tcPr>
                  <w:tcW w:w="557" w:type="pct"/>
                  <w:vMerge w:val="continue"/>
                  <w:noWrap w:val="0"/>
                  <w:vAlign w:val="center"/>
                </w:tcPr>
                <w:p>
                  <w:pPr>
                    <w:pStyle w:val="129"/>
                  </w:pPr>
                </w:p>
              </w:tc>
              <w:tc>
                <w:tcPr>
                  <w:tcW w:w="547" w:type="pct"/>
                  <w:vMerge w:val="continue"/>
                  <w:noWrap w:val="0"/>
                  <w:vAlign w:val="center"/>
                </w:tcPr>
                <w:p>
                  <w:pPr>
                    <w:pStyle w:val="129"/>
                    <w:rPr>
                      <w:rFonts w:hint="eastAsia" w:eastAsia="宋体"/>
                      <w:lang w:eastAsia="zh-CN"/>
                    </w:rPr>
                  </w:pPr>
                </w:p>
              </w:tc>
              <w:tc>
                <w:tcPr>
                  <w:tcW w:w="680" w:type="pct"/>
                  <w:noWrap w:val="0"/>
                  <w:vAlign w:val="center"/>
                </w:tcPr>
                <w:p>
                  <w:pPr>
                    <w:jc w:val="center"/>
                  </w:pPr>
                  <w:r>
                    <w:rPr>
                      <w:rFonts w:hint="eastAsia"/>
                    </w:rPr>
                    <w:t>依托</w:t>
                  </w: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93" w:hRule="atLeast"/>
                <w:jc w:val="center"/>
              </w:trPr>
              <w:tc>
                <w:tcPr>
                  <w:tcW w:w="409" w:type="pct"/>
                  <w:vMerge w:val="continue"/>
                  <w:noWrap w:val="0"/>
                  <w:vAlign w:val="center"/>
                </w:tcPr>
                <w:p>
                  <w:pPr>
                    <w:pStyle w:val="129"/>
                  </w:pPr>
                </w:p>
              </w:tc>
              <w:tc>
                <w:tcPr>
                  <w:tcW w:w="432" w:type="pct"/>
                  <w:vMerge w:val="continue"/>
                  <w:noWrap w:val="0"/>
                  <w:vAlign w:val="center"/>
                </w:tcPr>
                <w:p>
                  <w:pPr>
                    <w:adjustRightInd w:val="0"/>
                    <w:jc w:val="center"/>
                    <w:rPr>
                      <w:rFonts w:hint="eastAsia"/>
                      <w:bCs/>
                      <w:szCs w:val="21"/>
                    </w:rPr>
                  </w:pPr>
                </w:p>
              </w:tc>
              <w:tc>
                <w:tcPr>
                  <w:tcW w:w="2372" w:type="pct"/>
                  <w:noWrap w:val="0"/>
                  <w:vAlign w:val="center"/>
                </w:tcPr>
                <w:p>
                  <w:pPr>
                    <w:pStyle w:val="129"/>
                    <w:rPr>
                      <w:rFonts w:hint="eastAsia"/>
                      <w:bCs/>
                      <w:szCs w:val="21"/>
                    </w:rPr>
                  </w:pPr>
                  <w:r>
                    <w:t>化粪池</w:t>
                  </w:r>
                  <w:r>
                    <w:rPr>
                      <w:rFonts w:hint="eastAsia"/>
                      <w:lang w:eastAsia="zh-CN"/>
                    </w:rPr>
                    <w:t>：</w:t>
                  </w:r>
                  <w:r>
                    <w:rPr>
                      <w:rFonts w:hint="eastAsia"/>
                      <w:bCs/>
                      <w:szCs w:val="21"/>
                    </w:rPr>
                    <w:t>3座（项目本身建设3座，扩建前使用2座，扩建后3座同时投入使用），砖混结构，生活污水、食堂废水、洗涤废水</w:t>
                  </w:r>
                  <w:r>
                    <w:rPr>
                      <w:rFonts w:hint="eastAsia"/>
                      <w:bCs/>
                      <w:szCs w:val="21"/>
                      <w:lang w:eastAsia="zh-CN"/>
                    </w:rPr>
                    <w:t>、医疗污水</w:t>
                  </w:r>
                  <w:r>
                    <w:rPr>
                      <w:rFonts w:hint="eastAsia"/>
                      <w:bCs/>
                      <w:szCs w:val="21"/>
                    </w:rPr>
                    <w:t>经化粪池</w:t>
                  </w:r>
                  <w:r>
                    <w:rPr>
                      <w:rFonts w:hint="eastAsia"/>
                      <w:bCs/>
                      <w:szCs w:val="21"/>
                      <w:lang w:eastAsia="zh-CN"/>
                    </w:rPr>
                    <w:t>预处理后</w:t>
                  </w:r>
                  <w:r>
                    <w:rPr>
                      <w:rFonts w:hint="eastAsia"/>
                      <w:bCs/>
                      <w:szCs w:val="21"/>
                    </w:rPr>
                    <w:t>排入医院污水处理站处理</w:t>
                  </w:r>
                </w:p>
              </w:tc>
              <w:tc>
                <w:tcPr>
                  <w:tcW w:w="557" w:type="pct"/>
                  <w:vMerge w:val="continue"/>
                  <w:noWrap w:val="0"/>
                  <w:vAlign w:val="center"/>
                </w:tcPr>
                <w:p>
                  <w:pPr>
                    <w:pStyle w:val="129"/>
                  </w:pPr>
                </w:p>
              </w:tc>
              <w:tc>
                <w:tcPr>
                  <w:tcW w:w="547" w:type="pct"/>
                  <w:vMerge w:val="continue"/>
                  <w:noWrap w:val="0"/>
                  <w:vAlign w:val="center"/>
                </w:tcPr>
                <w:p>
                  <w:pPr>
                    <w:pStyle w:val="129"/>
                    <w:rPr>
                      <w:rFonts w:hint="eastAsia" w:eastAsia="宋体"/>
                      <w:lang w:eastAsia="zh-CN"/>
                    </w:rPr>
                  </w:pPr>
                </w:p>
              </w:tc>
              <w:tc>
                <w:tcPr>
                  <w:tcW w:w="680" w:type="pct"/>
                  <w:noWrap w:val="0"/>
                  <w:vAlign w:val="center"/>
                </w:tcPr>
                <w:p>
                  <w:pPr>
                    <w:jc w:val="center"/>
                    <w:rPr>
                      <w:rFonts w:hint="eastAsia"/>
                    </w:rPr>
                  </w:pPr>
                  <w:r>
                    <w:rPr>
                      <w:rFonts w:hint="eastAsia"/>
                    </w:rPr>
                    <w:t>依托</w:t>
                  </w: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6" w:hRule="atLeast"/>
                <w:jc w:val="center"/>
              </w:trPr>
              <w:tc>
                <w:tcPr>
                  <w:tcW w:w="409" w:type="pct"/>
                  <w:vMerge w:val="continue"/>
                  <w:noWrap w:val="0"/>
                  <w:vAlign w:val="center"/>
                </w:tcPr>
                <w:p>
                  <w:pPr>
                    <w:pStyle w:val="129"/>
                  </w:pPr>
                </w:p>
              </w:tc>
              <w:tc>
                <w:tcPr>
                  <w:tcW w:w="432" w:type="pct"/>
                  <w:vMerge w:val="restart"/>
                  <w:noWrap w:val="0"/>
                  <w:vAlign w:val="center"/>
                </w:tcPr>
                <w:p>
                  <w:pPr>
                    <w:adjustRightInd w:val="0"/>
                    <w:jc w:val="center"/>
                    <w:rPr>
                      <w:rFonts w:hint="eastAsia" w:eastAsia="宋体"/>
                      <w:bCs/>
                      <w:szCs w:val="21"/>
                      <w:lang w:eastAsia="zh-CN"/>
                    </w:rPr>
                  </w:pPr>
                  <w:r>
                    <w:rPr>
                      <w:rFonts w:hint="eastAsia"/>
                      <w:bCs/>
                      <w:szCs w:val="21"/>
                      <w:lang w:eastAsia="zh-CN"/>
                    </w:rPr>
                    <w:t>废气治理</w:t>
                  </w:r>
                </w:p>
              </w:tc>
              <w:tc>
                <w:tcPr>
                  <w:tcW w:w="2372" w:type="pct"/>
                  <w:noWrap w:val="0"/>
                  <w:vAlign w:val="center"/>
                </w:tcPr>
                <w:p>
                  <w:pPr>
                    <w:pStyle w:val="129"/>
                    <w:rPr>
                      <w:rFonts w:hint="eastAsia" w:eastAsia="宋体"/>
                      <w:lang w:eastAsia="zh-CN"/>
                    </w:rPr>
                  </w:pPr>
                  <w:r>
                    <w:rPr>
                      <w:rFonts w:hint="eastAsia"/>
                      <w:lang w:eastAsia="zh-CN"/>
                    </w:rPr>
                    <w:t>污水处理站臭气：</w:t>
                  </w:r>
                  <w:r>
                    <w:rPr>
                      <w:rFonts w:hint="eastAsia"/>
                      <w:bCs/>
                      <w:szCs w:val="21"/>
                    </w:rPr>
                    <w:t>地埋式污水处理站，盖板封闭</w:t>
                  </w:r>
                  <w:r>
                    <w:rPr>
                      <w:rFonts w:hint="eastAsia"/>
                      <w:bCs/>
                      <w:szCs w:val="21"/>
                      <w:lang w:eastAsia="zh-CN"/>
                    </w:rPr>
                    <w:t>，喷洒除臭剂，</w:t>
                  </w:r>
                  <w:r>
                    <w:rPr>
                      <w:rFonts w:hint="eastAsia" w:ascii="宋体" w:hAnsi="宋体"/>
                      <w:sz w:val="21"/>
                      <w:szCs w:val="18"/>
                    </w:rPr>
                    <w:t>加强周边绿化等措施后</w:t>
                  </w:r>
                </w:p>
              </w:tc>
              <w:tc>
                <w:tcPr>
                  <w:tcW w:w="557" w:type="pct"/>
                  <w:vMerge w:val="continue"/>
                  <w:noWrap w:val="0"/>
                  <w:vAlign w:val="center"/>
                </w:tcPr>
                <w:p>
                  <w:pPr>
                    <w:pStyle w:val="129"/>
                  </w:pPr>
                </w:p>
              </w:tc>
              <w:tc>
                <w:tcPr>
                  <w:tcW w:w="547" w:type="pct"/>
                  <w:noWrap w:val="0"/>
                  <w:vAlign w:val="center"/>
                </w:tcPr>
                <w:p>
                  <w:pPr>
                    <w:pStyle w:val="129"/>
                    <w:rPr>
                      <w:rFonts w:hint="eastAsia"/>
                    </w:rPr>
                  </w:pPr>
                  <w:r>
                    <w:rPr>
                      <w:rFonts w:hint="eastAsia"/>
                    </w:rPr>
                    <w:t>/</w:t>
                  </w:r>
                </w:p>
              </w:tc>
              <w:tc>
                <w:tcPr>
                  <w:tcW w:w="680" w:type="pct"/>
                  <w:noWrap w:val="0"/>
                  <w:vAlign w:val="center"/>
                </w:tcPr>
                <w:p>
                  <w:pPr>
                    <w:jc w:val="center"/>
                    <w:rPr>
                      <w:rFonts w:hint="eastAsia"/>
                    </w:rPr>
                  </w:pPr>
                  <w:r>
                    <w:rPr>
                      <w:rFonts w:hint="eastAsia"/>
                    </w:rPr>
                    <w:t>依托</w:t>
                  </w: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6" w:hRule="atLeast"/>
                <w:jc w:val="center"/>
              </w:trPr>
              <w:tc>
                <w:tcPr>
                  <w:tcW w:w="409" w:type="pct"/>
                  <w:vMerge w:val="continue"/>
                  <w:noWrap w:val="0"/>
                  <w:vAlign w:val="center"/>
                </w:tcPr>
                <w:p>
                  <w:pPr>
                    <w:pStyle w:val="129"/>
                  </w:pPr>
                </w:p>
              </w:tc>
              <w:tc>
                <w:tcPr>
                  <w:tcW w:w="432" w:type="pct"/>
                  <w:vMerge w:val="continue"/>
                  <w:noWrap w:val="0"/>
                  <w:vAlign w:val="center"/>
                </w:tcPr>
                <w:p>
                  <w:pPr>
                    <w:adjustRightInd w:val="0"/>
                    <w:jc w:val="center"/>
                    <w:rPr>
                      <w:rFonts w:hint="eastAsia"/>
                      <w:bCs/>
                      <w:szCs w:val="21"/>
                      <w:lang w:eastAsia="zh-CN"/>
                    </w:rPr>
                  </w:pPr>
                </w:p>
              </w:tc>
              <w:tc>
                <w:tcPr>
                  <w:tcW w:w="2372" w:type="pct"/>
                  <w:noWrap w:val="0"/>
                  <w:vAlign w:val="center"/>
                </w:tcPr>
                <w:p>
                  <w:pPr>
                    <w:pStyle w:val="165"/>
                    <w:rPr>
                      <w:rFonts w:hint="eastAsia" w:ascii="Times New Roman" w:hAnsi="Times New Roman" w:eastAsia="宋体" w:cs="Times New Roman"/>
                      <w:sz w:val="21"/>
                      <w:lang w:val="en-US" w:eastAsia="zh-CN" w:bidi="ar-SA"/>
                    </w:rPr>
                  </w:pPr>
                  <w:r>
                    <w:rPr>
                      <w:rFonts w:hint="eastAsia"/>
                    </w:rPr>
                    <w:t>食堂油烟</w:t>
                  </w:r>
                  <w:r>
                    <w:rPr>
                      <w:rFonts w:hint="eastAsia"/>
                      <w:lang w:eastAsia="zh-CN"/>
                    </w:rPr>
                    <w:t>：</w:t>
                  </w:r>
                  <w:r>
                    <w:rPr>
                      <w:rFonts w:hint="eastAsia"/>
                      <w:bCs/>
                      <w:szCs w:val="21"/>
                    </w:rPr>
                    <w:t>油烟机处理后排放</w:t>
                  </w:r>
                </w:p>
              </w:tc>
              <w:tc>
                <w:tcPr>
                  <w:tcW w:w="557" w:type="pct"/>
                  <w:vMerge w:val="continue"/>
                  <w:noWrap w:val="0"/>
                  <w:vAlign w:val="center"/>
                </w:tcPr>
                <w:p>
                  <w:pPr>
                    <w:pStyle w:val="129"/>
                  </w:pPr>
                </w:p>
              </w:tc>
              <w:tc>
                <w:tcPr>
                  <w:tcW w:w="547" w:type="pct"/>
                  <w:noWrap w:val="0"/>
                  <w:vAlign w:val="center"/>
                </w:tcPr>
                <w:p>
                  <w:pPr>
                    <w:pStyle w:val="129"/>
                    <w:rPr>
                      <w:rFonts w:hint="eastAsia"/>
                    </w:rPr>
                  </w:pPr>
                  <w:r>
                    <w:rPr>
                      <w:rFonts w:hint="eastAsia"/>
                    </w:rPr>
                    <w:t>/</w:t>
                  </w:r>
                </w:p>
              </w:tc>
              <w:tc>
                <w:tcPr>
                  <w:tcW w:w="680" w:type="pct"/>
                  <w:noWrap w:val="0"/>
                  <w:vAlign w:val="center"/>
                </w:tcPr>
                <w:p>
                  <w:pPr>
                    <w:jc w:val="center"/>
                    <w:rPr>
                      <w:rFonts w:hint="eastAsia"/>
                    </w:rPr>
                  </w:pPr>
                  <w:r>
                    <w:rPr>
                      <w:rFonts w:hint="eastAsia"/>
                    </w:rPr>
                    <w:t>依托</w:t>
                  </w: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6" w:hRule="atLeast"/>
                <w:jc w:val="center"/>
              </w:trPr>
              <w:tc>
                <w:tcPr>
                  <w:tcW w:w="409" w:type="pct"/>
                  <w:vMerge w:val="continue"/>
                  <w:noWrap w:val="0"/>
                  <w:vAlign w:val="center"/>
                </w:tcPr>
                <w:p>
                  <w:pPr>
                    <w:pStyle w:val="129"/>
                  </w:pPr>
                </w:p>
              </w:tc>
              <w:tc>
                <w:tcPr>
                  <w:tcW w:w="432" w:type="pct"/>
                  <w:vMerge w:val="restart"/>
                  <w:noWrap w:val="0"/>
                  <w:vAlign w:val="center"/>
                </w:tcPr>
                <w:p>
                  <w:pPr>
                    <w:adjustRightInd w:val="0"/>
                    <w:jc w:val="center"/>
                    <w:rPr>
                      <w:rFonts w:hint="eastAsia"/>
                      <w:bCs/>
                      <w:szCs w:val="21"/>
                      <w:lang w:eastAsia="zh-CN"/>
                    </w:rPr>
                  </w:pPr>
                  <w:r>
                    <w:rPr>
                      <w:rFonts w:hint="eastAsia"/>
                      <w:bCs/>
                      <w:szCs w:val="21"/>
                      <w:lang w:eastAsia="zh-CN"/>
                    </w:rPr>
                    <w:t>噪声治理</w:t>
                  </w:r>
                </w:p>
              </w:tc>
              <w:tc>
                <w:tcPr>
                  <w:tcW w:w="2372" w:type="pct"/>
                  <w:noWrap w:val="0"/>
                  <w:vAlign w:val="center"/>
                </w:tcPr>
                <w:p>
                  <w:pPr>
                    <w:pStyle w:val="129"/>
                    <w:rPr>
                      <w:rFonts w:hint="default" w:eastAsia="宋体"/>
                      <w:kern w:val="2"/>
                      <w:sz w:val="21"/>
                      <w:szCs w:val="21"/>
                      <w:lang w:val="en-US" w:eastAsia="zh-CN" w:bidi="ar-SA"/>
                    </w:rPr>
                  </w:pPr>
                  <w:r>
                    <w:rPr>
                      <w:rFonts w:hint="eastAsia"/>
                      <w:lang w:eastAsia="zh-CN"/>
                    </w:rPr>
                    <w:t>车辆噪声：</w:t>
                  </w:r>
                  <w:r>
                    <w:rPr>
                      <w:rFonts w:hint="eastAsia"/>
                      <w:bCs/>
                      <w:szCs w:val="21"/>
                    </w:rPr>
                    <w:t>医院进出车辆低速行驶，禁止鸣笛、频繁点火</w:t>
                  </w:r>
                </w:p>
              </w:tc>
              <w:tc>
                <w:tcPr>
                  <w:tcW w:w="557" w:type="pct"/>
                  <w:vMerge w:val="continue"/>
                  <w:noWrap w:val="0"/>
                  <w:vAlign w:val="center"/>
                </w:tcPr>
                <w:p>
                  <w:pPr>
                    <w:pStyle w:val="129"/>
                  </w:pPr>
                </w:p>
              </w:tc>
              <w:tc>
                <w:tcPr>
                  <w:tcW w:w="547" w:type="pct"/>
                  <w:noWrap w:val="0"/>
                  <w:vAlign w:val="center"/>
                </w:tcPr>
                <w:p>
                  <w:pPr>
                    <w:jc w:val="center"/>
                    <w:rPr>
                      <w:rFonts w:hint="eastAsia"/>
                    </w:rPr>
                  </w:pPr>
                  <w:r>
                    <w:rPr>
                      <w:rFonts w:hint="eastAsia"/>
                    </w:rPr>
                    <w:t>/</w:t>
                  </w:r>
                </w:p>
              </w:tc>
              <w:tc>
                <w:tcPr>
                  <w:tcW w:w="680" w:type="pct"/>
                  <w:noWrap w:val="0"/>
                  <w:vAlign w:val="center"/>
                </w:tcPr>
                <w:p>
                  <w:pPr>
                    <w:jc w:val="center"/>
                    <w:rPr>
                      <w:rFonts w:hint="eastAsia"/>
                    </w:rPr>
                  </w:pPr>
                  <w:r>
                    <w:rPr>
                      <w:rFonts w:hint="eastAsia"/>
                    </w:rPr>
                    <w:t>依托</w:t>
                  </w: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6" w:hRule="atLeast"/>
                <w:jc w:val="center"/>
              </w:trPr>
              <w:tc>
                <w:tcPr>
                  <w:tcW w:w="409" w:type="pct"/>
                  <w:vMerge w:val="continue"/>
                  <w:noWrap w:val="0"/>
                  <w:vAlign w:val="center"/>
                </w:tcPr>
                <w:p>
                  <w:pPr>
                    <w:pStyle w:val="129"/>
                  </w:pPr>
                </w:p>
              </w:tc>
              <w:tc>
                <w:tcPr>
                  <w:tcW w:w="432" w:type="pct"/>
                  <w:vMerge w:val="continue"/>
                  <w:noWrap w:val="0"/>
                  <w:vAlign w:val="center"/>
                </w:tcPr>
                <w:p>
                  <w:pPr>
                    <w:adjustRightInd w:val="0"/>
                    <w:jc w:val="center"/>
                    <w:rPr>
                      <w:rFonts w:hint="eastAsia"/>
                      <w:bCs/>
                      <w:szCs w:val="21"/>
                      <w:lang w:eastAsia="zh-CN"/>
                    </w:rPr>
                  </w:pPr>
                </w:p>
              </w:tc>
              <w:tc>
                <w:tcPr>
                  <w:tcW w:w="2372" w:type="pct"/>
                  <w:noWrap w:val="0"/>
                  <w:vAlign w:val="center"/>
                </w:tcPr>
                <w:p>
                  <w:pPr>
                    <w:pStyle w:val="129"/>
                    <w:rPr>
                      <w:rFonts w:hint="eastAsia"/>
                      <w:kern w:val="2"/>
                      <w:sz w:val="21"/>
                      <w:szCs w:val="21"/>
                      <w:lang w:val="en-US" w:eastAsia="zh-CN" w:bidi="ar-SA"/>
                    </w:rPr>
                  </w:pPr>
                  <w:r>
                    <w:rPr>
                      <w:rFonts w:hint="eastAsia"/>
                      <w:lang w:eastAsia="zh-CN"/>
                    </w:rPr>
                    <w:t>社会噪声：</w:t>
                  </w:r>
                  <w:r>
                    <w:rPr>
                      <w:rFonts w:hint="eastAsia"/>
                      <w:bCs/>
                      <w:szCs w:val="21"/>
                    </w:rPr>
                    <w:t>严格遵守医院规章制度，突发情况及时制止，公共区域张贴“禁止高声喧哗”等标语</w:t>
                  </w:r>
                </w:p>
              </w:tc>
              <w:tc>
                <w:tcPr>
                  <w:tcW w:w="557" w:type="pct"/>
                  <w:vMerge w:val="continue"/>
                  <w:noWrap w:val="0"/>
                  <w:vAlign w:val="center"/>
                </w:tcPr>
                <w:p>
                  <w:pPr>
                    <w:pStyle w:val="129"/>
                  </w:pPr>
                </w:p>
              </w:tc>
              <w:tc>
                <w:tcPr>
                  <w:tcW w:w="547" w:type="pct"/>
                  <w:noWrap w:val="0"/>
                  <w:vAlign w:val="center"/>
                </w:tcPr>
                <w:p>
                  <w:pPr>
                    <w:jc w:val="center"/>
                    <w:rPr>
                      <w:rFonts w:hint="eastAsia"/>
                    </w:rPr>
                  </w:pPr>
                  <w:r>
                    <w:rPr>
                      <w:rFonts w:hint="eastAsia"/>
                    </w:rPr>
                    <w:t>/</w:t>
                  </w:r>
                </w:p>
              </w:tc>
              <w:tc>
                <w:tcPr>
                  <w:tcW w:w="680" w:type="pct"/>
                  <w:noWrap w:val="0"/>
                  <w:vAlign w:val="center"/>
                </w:tcPr>
                <w:p>
                  <w:pPr>
                    <w:jc w:val="center"/>
                    <w:rPr>
                      <w:rFonts w:hint="eastAsia"/>
                    </w:rPr>
                  </w:pPr>
                  <w:r>
                    <w:rPr>
                      <w:rFonts w:hint="eastAsia"/>
                    </w:rPr>
                    <w:t>依托</w:t>
                  </w: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74" w:hRule="atLeast"/>
                <w:jc w:val="center"/>
              </w:trPr>
              <w:tc>
                <w:tcPr>
                  <w:tcW w:w="409" w:type="pct"/>
                  <w:vMerge w:val="continue"/>
                  <w:noWrap w:val="0"/>
                  <w:vAlign w:val="center"/>
                </w:tcPr>
                <w:p>
                  <w:pPr>
                    <w:pStyle w:val="129"/>
                  </w:pPr>
                </w:p>
              </w:tc>
              <w:tc>
                <w:tcPr>
                  <w:tcW w:w="432" w:type="pct"/>
                  <w:vMerge w:val="restart"/>
                  <w:noWrap w:val="0"/>
                  <w:vAlign w:val="center"/>
                </w:tcPr>
                <w:p>
                  <w:pPr>
                    <w:adjustRightInd w:val="0"/>
                    <w:jc w:val="center"/>
                    <w:rPr>
                      <w:rFonts w:hint="eastAsia" w:eastAsia="宋体"/>
                      <w:bCs/>
                      <w:szCs w:val="21"/>
                      <w:lang w:eastAsia="zh-CN"/>
                    </w:rPr>
                  </w:pPr>
                  <w:r>
                    <w:rPr>
                      <w:rFonts w:hint="eastAsia"/>
                      <w:bCs/>
                      <w:szCs w:val="21"/>
                      <w:lang w:eastAsia="zh-CN"/>
                    </w:rPr>
                    <w:t>固废处置</w:t>
                  </w:r>
                </w:p>
              </w:tc>
              <w:tc>
                <w:tcPr>
                  <w:tcW w:w="2372" w:type="pct"/>
                  <w:noWrap w:val="0"/>
                  <w:vAlign w:val="center"/>
                </w:tcPr>
                <w:p>
                  <w:pPr>
                    <w:pStyle w:val="129"/>
                    <w:rPr>
                      <w:rFonts w:hint="eastAsia"/>
                      <w:bCs/>
                      <w:szCs w:val="21"/>
                    </w:rPr>
                  </w:pPr>
                  <w:r>
                    <w:t>医废暂存间</w:t>
                  </w:r>
                  <w:r>
                    <w:rPr>
                      <w:rFonts w:hint="eastAsia"/>
                      <w:lang w:eastAsia="zh-CN"/>
                    </w:rPr>
                    <w:t>：</w:t>
                  </w:r>
                  <w:r>
                    <w:rPr>
                      <w:rFonts w:hint="eastAsia"/>
                      <w:bCs/>
                      <w:szCs w:val="21"/>
                    </w:rPr>
                    <w:t>1间，</w:t>
                  </w:r>
                  <w:r>
                    <w:rPr>
                      <w:rFonts w:hint="eastAsia"/>
                      <w:bCs/>
                      <w:szCs w:val="21"/>
                      <w:lang w:eastAsia="zh-CN"/>
                    </w:rPr>
                    <w:t>依托原有医疗废物暂存间，</w:t>
                  </w:r>
                  <w:r>
                    <w:rPr>
                      <w:rFonts w:hint="eastAsia"/>
                      <w:bCs/>
                      <w:szCs w:val="21"/>
                    </w:rPr>
                    <w:t>位于门诊楼</w:t>
                  </w:r>
                  <w:r>
                    <w:rPr>
                      <w:rFonts w:hint="eastAsia"/>
                      <w:bCs/>
                      <w:szCs w:val="21"/>
                      <w:lang w:val="en-US" w:eastAsia="zh-CN"/>
                    </w:rPr>
                    <w:t>1F内，医疗废物与污水处理站污泥暂存于医疗废物暂存间，交由有资质单位处理</w:t>
                  </w:r>
                </w:p>
              </w:tc>
              <w:tc>
                <w:tcPr>
                  <w:tcW w:w="557" w:type="pct"/>
                  <w:vMerge w:val="continue"/>
                  <w:noWrap w:val="0"/>
                  <w:vAlign w:val="center"/>
                </w:tcPr>
                <w:p>
                  <w:pPr>
                    <w:pStyle w:val="129"/>
                  </w:pPr>
                </w:p>
              </w:tc>
              <w:tc>
                <w:tcPr>
                  <w:tcW w:w="547" w:type="pct"/>
                  <w:noWrap w:val="0"/>
                  <w:vAlign w:val="center"/>
                </w:tcPr>
                <w:p>
                  <w:pPr>
                    <w:jc w:val="center"/>
                    <w:rPr>
                      <w:rFonts w:hint="eastAsia"/>
                    </w:rPr>
                  </w:pPr>
                  <w:r>
                    <w:rPr>
                      <w:rFonts w:hint="eastAsia"/>
                    </w:rPr>
                    <w:t>/</w:t>
                  </w:r>
                </w:p>
              </w:tc>
              <w:tc>
                <w:tcPr>
                  <w:tcW w:w="680" w:type="pct"/>
                  <w:noWrap w:val="0"/>
                  <w:vAlign w:val="center"/>
                </w:tcPr>
                <w:p>
                  <w:pPr>
                    <w:jc w:val="center"/>
                    <w:rPr>
                      <w:rFonts w:hint="eastAsia"/>
                    </w:rPr>
                  </w:pPr>
                  <w:r>
                    <w:rPr>
                      <w:rFonts w:hint="eastAsia"/>
                    </w:rPr>
                    <w:t>依托</w:t>
                  </w: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51" w:hRule="atLeast"/>
                <w:jc w:val="center"/>
              </w:trPr>
              <w:tc>
                <w:tcPr>
                  <w:tcW w:w="409" w:type="pct"/>
                  <w:vMerge w:val="continue"/>
                  <w:noWrap w:val="0"/>
                  <w:vAlign w:val="center"/>
                </w:tcPr>
                <w:p>
                  <w:pPr>
                    <w:pStyle w:val="129"/>
                  </w:pPr>
                </w:p>
              </w:tc>
              <w:tc>
                <w:tcPr>
                  <w:tcW w:w="432" w:type="pct"/>
                  <w:vMerge w:val="continue"/>
                  <w:noWrap w:val="0"/>
                  <w:vAlign w:val="center"/>
                </w:tcPr>
                <w:p>
                  <w:pPr>
                    <w:adjustRightInd w:val="0"/>
                    <w:jc w:val="center"/>
                    <w:rPr>
                      <w:rFonts w:hint="eastAsia"/>
                      <w:bCs/>
                      <w:szCs w:val="21"/>
                    </w:rPr>
                  </w:pPr>
                </w:p>
              </w:tc>
              <w:tc>
                <w:tcPr>
                  <w:tcW w:w="2372" w:type="pct"/>
                  <w:noWrap w:val="0"/>
                  <w:vAlign w:val="center"/>
                </w:tcPr>
                <w:p>
                  <w:pPr>
                    <w:pStyle w:val="129"/>
                    <w:rPr>
                      <w:rFonts w:hint="eastAsia"/>
                      <w:bCs/>
                      <w:szCs w:val="21"/>
                    </w:rPr>
                  </w:pPr>
                  <w:r>
                    <w:rPr>
                      <w:rFonts w:ascii="宋体" w:hAnsi="宋体" w:cs="宋体"/>
                      <w:spacing w:val="-2"/>
                      <w:sz w:val="21"/>
                      <w:szCs w:val="21"/>
                    </w:rPr>
                    <w:t>生活垃圾</w:t>
                  </w:r>
                  <w:r>
                    <w:rPr>
                      <w:rFonts w:hint="eastAsia" w:ascii="宋体" w:hAnsi="宋体" w:cs="宋体"/>
                      <w:spacing w:val="-2"/>
                      <w:sz w:val="21"/>
                      <w:szCs w:val="21"/>
                      <w:lang w:eastAsia="zh-CN"/>
                    </w:rPr>
                    <w:t>：</w:t>
                  </w:r>
                  <w:r>
                    <w:rPr>
                      <w:rFonts w:hint="eastAsia"/>
                      <w:bCs/>
                      <w:szCs w:val="21"/>
                    </w:rPr>
                    <w:t>各层垃圾桶收集后，交当地环卫部门清运</w:t>
                  </w:r>
                </w:p>
              </w:tc>
              <w:tc>
                <w:tcPr>
                  <w:tcW w:w="557" w:type="pct"/>
                  <w:vMerge w:val="continue"/>
                  <w:noWrap w:val="0"/>
                  <w:vAlign w:val="center"/>
                </w:tcPr>
                <w:p>
                  <w:pPr>
                    <w:pStyle w:val="129"/>
                  </w:pPr>
                </w:p>
              </w:tc>
              <w:tc>
                <w:tcPr>
                  <w:tcW w:w="547" w:type="pct"/>
                  <w:noWrap w:val="0"/>
                  <w:vAlign w:val="center"/>
                </w:tcPr>
                <w:p>
                  <w:pPr>
                    <w:jc w:val="center"/>
                    <w:rPr>
                      <w:rFonts w:hint="eastAsia"/>
                    </w:rPr>
                  </w:pPr>
                  <w:r>
                    <w:rPr>
                      <w:rFonts w:hint="eastAsia"/>
                    </w:rPr>
                    <w:t>/</w:t>
                  </w:r>
                </w:p>
              </w:tc>
              <w:tc>
                <w:tcPr>
                  <w:tcW w:w="680" w:type="pct"/>
                  <w:noWrap w:val="0"/>
                  <w:vAlign w:val="center"/>
                </w:tcPr>
                <w:p>
                  <w:pPr>
                    <w:jc w:val="center"/>
                    <w:rPr>
                      <w:rFonts w:hint="eastAsia"/>
                    </w:rPr>
                  </w:pPr>
                  <w:r>
                    <w:rPr>
                      <w:rFonts w:hint="eastAsia"/>
                    </w:rPr>
                    <w:t>依托</w:t>
                  </w: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51" w:hRule="atLeast"/>
                <w:jc w:val="center"/>
              </w:trPr>
              <w:tc>
                <w:tcPr>
                  <w:tcW w:w="409" w:type="pct"/>
                  <w:vMerge w:val="continue"/>
                  <w:noWrap w:val="0"/>
                  <w:vAlign w:val="center"/>
                </w:tcPr>
                <w:p>
                  <w:pPr>
                    <w:pStyle w:val="129"/>
                  </w:pPr>
                </w:p>
              </w:tc>
              <w:tc>
                <w:tcPr>
                  <w:tcW w:w="432" w:type="pct"/>
                  <w:noWrap w:val="0"/>
                  <w:vAlign w:val="center"/>
                </w:tcPr>
                <w:p>
                  <w:pPr>
                    <w:adjustRightInd w:val="0"/>
                    <w:jc w:val="center"/>
                    <w:rPr>
                      <w:rFonts w:hint="eastAsia" w:eastAsia="宋体"/>
                      <w:bCs/>
                      <w:szCs w:val="21"/>
                      <w:lang w:eastAsia="zh-CN"/>
                    </w:rPr>
                  </w:pPr>
                  <w:r>
                    <w:rPr>
                      <w:rFonts w:hint="eastAsia"/>
                      <w:bCs/>
                      <w:szCs w:val="21"/>
                      <w:lang w:eastAsia="zh-CN"/>
                    </w:rPr>
                    <w:t>风险措施</w:t>
                  </w:r>
                </w:p>
              </w:tc>
              <w:tc>
                <w:tcPr>
                  <w:tcW w:w="2372" w:type="pct"/>
                  <w:noWrap w:val="0"/>
                  <w:vAlign w:val="center"/>
                </w:tcPr>
                <w:p>
                  <w:pPr>
                    <w:pStyle w:val="129"/>
                    <w:rPr>
                      <w:rFonts w:hint="eastAsia"/>
                      <w:bCs/>
                      <w:szCs w:val="21"/>
                    </w:rPr>
                  </w:pPr>
                  <w:r>
                    <w:rPr>
                      <w:rFonts w:hint="eastAsia" w:ascii="宋体" w:hAnsi="宋体" w:cs="宋体"/>
                      <w:spacing w:val="-2"/>
                      <w:sz w:val="21"/>
                      <w:szCs w:val="21"/>
                      <w:lang w:eastAsia="zh-CN"/>
                    </w:rPr>
                    <w:t>依托原有</w:t>
                  </w:r>
                  <w:r>
                    <w:rPr>
                      <w:rFonts w:ascii="宋体" w:hAnsi="宋体" w:cs="宋体"/>
                      <w:spacing w:val="-2"/>
                      <w:sz w:val="21"/>
                      <w:szCs w:val="21"/>
                    </w:rPr>
                    <w:t>事故应急池</w:t>
                  </w:r>
                  <w:r>
                    <w:rPr>
                      <w:rFonts w:hint="eastAsia" w:ascii="宋体" w:hAnsi="宋体" w:cs="宋体"/>
                      <w:spacing w:val="-2"/>
                      <w:sz w:val="21"/>
                      <w:szCs w:val="21"/>
                      <w:lang w:eastAsia="zh-CN"/>
                    </w:rPr>
                    <w:t>，</w:t>
                  </w:r>
                  <w:r>
                    <w:rPr>
                      <w:rFonts w:hint="eastAsia"/>
                      <w:bCs/>
                      <w:szCs w:val="21"/>
                    </w:rPr>
                    <w:t>1个，用于收集污水处理</w:t>
                  </w:r>
                  <w:r>
                    <w:rPr>
                      <w:rFonts w:hint="eastAsia"/>
                      <w:bCs/>
                      <w:szCs w:val="21"/>
                      <w:lang w:eastAsia="zh-CN"/>
                    </w:rPr>
                    <w:t>站</w:t>
                  </w:r>
                  <w:r>
                    <w:rPr>
                      <w:rFonts w:hint="eastAsia"/>
                      <w:bCs/>
                      <w:szCs w:val="21"/>
                    </w:rPr>
                    <w:t>事故废水</w:t>
                  </w:r>
                </w:p>
              </w:tc>
              <w:tc>
                <w:tcPr>
                  <w:tcW w:w="557" w:type="pct"/>
                  <w:vMerge w:val="continue"/>
                  <w:noWrap w:val="0"/>
                  <w:vAlign w:val="center"/>
                </w:tcPr>
                <w:p>
                  <w:pPr>
                    <w:pStyle w:val="129"/>
                  </w:pPr>
                </w:p>
              </w:tc>
              <w:tc>
                <w:tcPr>
                  <w:tcW w:w="547" w:type="pct"/>
                  <w:noWrap w:val="0"/>
                  <w:vAlign w:val="center"/>
                </w:tcPr>
                <w:p>
                  <w:pPr>
                    <w:jc w:val="center"/>
                    <w:rPr>
                      <w:rFonts w:hint="eastAsia"/>
                    </w:rPr>
                  </w:pPr>
                  <w:r>
                    <w:rPr>
                      <w:rFonts w:hint="eastAsia"/>
                    </w:rPr>
                    <w:t>/</w:t>
                  </w:r>
                </w:p>
              </w:tc>
              <w:tc>
                <w:tcPr>
                  <w:tcW w:w="680" w:type="pct"/>
                  <w:noWrap w:val="0"/>
                  <w:vAlign w:val="center"/>
                </w:tcPr>
                <w:p>
                  <w:pPr>
                    <w:jc w:val="center"/>
                    <w:rPr>
                      <w:rFonts w:hint="eastAsia"/>
                    </w:rPr>
                  </w:pPr>
                  <w:r>
                    <w:rPr>
                      <w:rFonts w:hint="eastAsia"/>
                    </w:rPr>
                    <w:t>依托</w:t>
                  </w:r>
                  <w:r>
                    <w:rPr>
                      <w:rFonts w:hint="eastAsia"/>
                      <w:lang w:eastAsia="zh-CN"/>
                    </w:rPr>
                    <w:t>已建</w:t>
                  </w:r>
                </w:p>
              </w:tc>
            </w:tr>
          </w:tbl>
          <w:p>
            <w:pPr>
              <w:pStyle w:val="72"/>
              <w:ind w:firstLine="480"/>
              <w:rPr>
                <w:rFonts w:hint="eastAsia"/>
              </w:rPr>
            </w:pPr>
            <w:r>
              <w:rPr>
                <w:rFonts w:hint="eastAsia"/>
              </w:rPr>
              <w:t>本项目是在现有门诊楼</w:t>
            </w:r>
            <w:r>
              <w:rPr>
                <w:rFonts w:hint="eastAsia"/>
                <w:lang w:eastAsia="zh-CN"/>
              </w:rPr>
              <w:t>和住院楼</w:t>
            </w:r>
            <w:r>
              <w:rPr>
                <w:rFonts w:hint="eastAsia"/>
              </w:rPr>
              <w:t>内扩建床位，进行床位、配套设备及环保设施安装，本项目依托情况见下表：</w:t>
            </w:r>
          </w:p>
          <w:p>
            <w:pPr>
              <w:pStyle w:val="72"/>
              <w:spacing w:line="240" w:lineRule="auto"/>
              <w:ind w:firstLine="422"/>
              <w:jc w:val="center"/>
              <w:rPr>
                <w:b/>
                <w:bCs/>
                <w:sz w:val="21"/>
                <w:szCs w:val="16"/>
              </w:rPr>
            </w:pPr>
            <w:r>
              <w:rPr>
                <w:rFonts w:hint="eastAsia"/>
                <w:b/>
                <w:bCs/>
                <w:sz w:val="21"/>
                <w:szCs w:val="16"/>
              </w:rPr>
              <w:t>表2-2  项目依托工程一览表</w:t>
            </w:r>
          </w:p>
          <w:tbl>
            <w:tblPr>
              <w:tblStyle w:val="41"/>
              <w:tblW w:w="803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1"/>
              <w:gridCol w:w="683"/>
              <w:gridCol w:w="900"/>
              <w:gridCol w:w="2167"/>
              <w:gridCol w:w="2367"/>
              <w:gridCol w:w="128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2224" w:type="dxa"/>
                  <w:gridSpan w:val="3"/>
                  <w:tcBorders>
                    <w:tl2br w:val="nil"/>
                    <w:tr2bl w:val="nil"/>
                  </w:tcBorders>
                  <w:noWrap w:val="0"/>
                  <w:vAlign w:val="center"/>
                </w:tcPr>
                <w:p>
                  <w:pPr>
                    <w:jc w:val="center"/>
                    <w:rPr>
                      <w:rFonts w:hint="eastAsia"/>
                      <w:b/>
                      <w:bCs/>
                      <w:kern w:val="0"/>
                      <w:szCs w:val="16"/>
                    </w:rPr>
                  </w:pPr>
                  <w:r>
                    <w:rPr>
                      <w:rFonts w:hint="eastAsia"/>
                      <w:b/>
                      <w:bCs/>
                      <w:kern w:val="0"/>
                      <w:szCs w:val="16"/>
                    </w:rPr>
                    <w:t>依托内容</w:t>
                  </w:r>
                </w:p>
              </w:tc>
              <w:tc>
                <w:tcPr>
                  <w:tcW w:w="2167" w:type="dxa"/>
                  <w:tcBorders>
                    <w:tl2br w:val="nil"/>
                    <w:tr2bl w:val="nil"/>
                  </w:tcBorders>
                  <w:noWrap w:val="0"/>
                  <w:vAlign w:val="center"/>
                </w:tcPr>
                <w:p>
                  <w:pPr>
                    <w:jc w:val="center"/>
                    <w:rPr>
                      <w:rFonts w:hint="eastAsia"/>
                      <w:b/>
                      <w:bCs/>
                      <w:kern w:val="0"/>
                      <w:szCs w:val="16"/>
                    </w:rPr>
                  </w:pPr>
                  <w:r>
                    <w:rPr>
                      <w:rFonts w:hint="eastAsia"/>
                      <w:b/>
                      <w:bCs/>
                      <w:kern w:val="0"/>
                      <w:szCs w:val="16"/>
                    </w:rPr>
                    <w:t>原环评建设内容</w:t>
                  </w:r>
                </w:p>
              </w:tc>
              <w:tc>
                <w:tcPr>
                  <w:tcW w:w="2367" w:type="dxa"/>
                  <w:tcBorders>
                    <w:tl2br w:val="nil"/>
                    <w:tr2bl w:val="nil"/>
                  </w:tcBorders>
                  <w:noWrap w:val="0"/>
                  <w:vAlign w:val="center"/>
                </w:tcPr>
                <w:p>
                  <w:pPr>
                    <w:jc w:val="center"/>
                    <w:rPr>
                      <w:rFonts w:hint="eastAsia"/>
                      <w:b/>
                      <w:bCs/>
                      <w:kern w:val="0"/>
                      <w:szCs w:val="16"/>
                    </w:rPr>
                  </w:pPr>
                  <w:r>
                    <w:rPr>
                      <w:rFonts w:hint="eastAsia"/>
                      <w:b/>
                      <w:bCs/>
                      <w:kern w:val="0"/>
                      <w:szCs w:val="16"/>
                    </w:rPr>
                    <w:t>本次扩建内容</w:t>
                  </w:r>
                </w:p>
              </w:tc>
              <w:tc>
                <w:tcPr>
                  <w:tcW w:w="1280" w:type="dxa"/>
                  <w:tcBorders>
                    <w:tl2br w:val="nil"/>
                    <w:tr2bl w:val="nil"/>
                  </w:tcBorders>
                  <w:noWrap w:val="0"/>
                  <w:vAlign w:val="center"/>
                </w:tcPr>
                <w:p>
                  <w:pPr>
                    <w:jc w:val="center"/>
                    <w:rPr>
                      <w:rFonts w:hint="eastAsia"/>
                      <w:b/>
                      <w:bCs/>
                      <w:kern w:val="0"/>
                      <w:szCs w:val="16"/>
                    </w:rPr>
                  </w:pPr>
                  <w:r>
                    <w:rPr>
                      <w:rFonts w:hint="eastAsia"/>
                      <w:b/>
                      <w:bCs/>
                      <w:kern w:val="0"/>
                      <w:szCs w:val="16"/>
                    </w:rPr>
                    <w:t>是否满足依托要求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4" w:hRule="atLeast"/>
                <w:jc w:val="center"/>
              </w:trPr>
              <w:tc>
                <w:tcPr>
                  <w:tcW w:w="641" w:type="dxa"/>
                  <w:vMerge w:val="restart"/>
                  <w:tcBorders>
                    <w:tl2br w:val="nil"/>
                    <w:tr2bl w:val="nil"/>
                  </w:tcBorders>
                  <w:noWrap w:val="0"/>
                  <w:vAlign w:val="center"/>
                </w:tcPr>
                <w:p>
                  <w:pPr>
                    <w:jc w:val="center"/>
                    <w:rPr>
                      <w:rFonts w:hint="eastAsia"/>
                      <w:kern w:val="0"/>
                      <w:szCs w:val="16"/>
                    </w:rPr>
                  </w:pPr>
                  <w:r>
                    <w:rPr>
                      <w:rFonts w:hint="eastAsia"/>
                      <w:kern w:val="0"/>
                      <w:szCs w:val="16"/>
                    </w:rPr>
                    <w:t>主体工程</w:t>
                  </w:r>
                </w:p>
              </w:tc>
              <w:tc>
                <w:tcPr>
                  <w:tcW w:w="1583" w:type="dxa"/>
                  <w:gridSpan w:val="2"/>
                  <w:tcBorders>
                    <w:tl2br w:val="nil"/>
                    <w:tr2bl w:val="nil"/>
                  </w:tcBorders>
                  <w:noWrap w:val="0"/>
                  <w:vAlign w:val="center"/>
                </w:tcPr>
                <w:p>
                  <w:pPr>
                    <w:jc w:val="center"/>
                    <w:rPr>
                      <w:rFonts w:hint="eastAsia"/>
                      <w:kern w:val="0"/>
                      <w:szCs w:val="16"/>
                    </w:rPr>
                  </w:pPr>
                  <w:r>
                    <w:rPr>
                      <w:rFonts w:hint="eastAsia"/>
                      <w:kern w:val="0"/>
                      <w:szCs w:val="16"/>
                    </w:rPr>
                    <w:t>门诊楼</w:t>
                  </w:r>
                  <w:r>
                    <w:rPr>
                      <w:rFonts w:hint="eastAsia"/>
                      <w:kern w:val="0"/>
                      <w:szCs w:val="16"/>
                      <w:lang w:eastAsia="zh-CN"/>
                    </w:rPr>
                    <w:t>（</w:t>
                  </w:r>
                  <w:r>
                    <w:rPr>
                      <w:rFonts w:hint="eastAsia"/>
                      <w:kern w:val="0"/>
                      <w:szCs w:val="16"/>
                    </w:rPr>
                    <w:t>1号楼</w:t>
                  </w:r>
                  <w:r>
                    <w:rPr>
                      <w:rFonts w:hint="eastAsia"/>
                      <w:kern w:val="0"/>
                      <w:szCs w:val="16"/>
                      <w:lang w:eastAsia="zh-CN"/>
                    </w:rPr>
                    <w:t>）</w:t>
                  </w:r>
                </w:p>
              </w:tc>
              <w:tc>
                <w:tcPr>
                  <w:tcW w:w="2167" w:type="dxa"/>
                  <w:tcBorders>
                    <w:tl2br w:val="nil"/>
                    <w:tr2bl w:val="nil"/>
                  </w:tcBorders>
                  <w:noWrap w:val="0"/>
                  <w:vAlign w:val="center"/>
                </w:tcPr>
                <w:p>
                  <w:pPr>
                    <w:jc w:val="center"/>
                    <w:rPr>
                      <w:kern w:val="0"/>
                      <w:szCs w:val="16"/>
                    </w:rPr>
                  </w:pPr>
                  <w:r>
                    <w:rPr>
                      <w:rFonts w:hint="eastAsia"/>
                      <w:kern w:val="0"/>
                      <w:szCs w:val="16"/>
                    </w:rPr>
                    <w:t>门诊楼（原综合楼）1栋3层，建筑面积约1800m</w:t>
                  </w:r>
                  <w:r>
                    <w:rPr>
                      <w:rFonts w:hint="eastAsia"/>
                      <w:kern w:val="0"/>
                      <w:szCs w:val="16"/>
                      <w:vertAlign w:val="superscript"/>
                    </w:rPr>
                    <w:t>2</w:t>
                  </w:r>
                  <w:r>
                    <w:rPr>
                      <w:rFonts w:hint="eastAsia"/>
                      <w:kern w:val="0"/>
                      <w:szCs w:val="16"/>
                    </w:rPr>
                    <w:t>，设置门诊室及员工办公室</w:t>
                  </w:r>
                </w:p>
              </w:tc>
              <w:tc>
                <w:tcPr>
                  <w:tcW w:w="2367" w:type="dxa"/>
                  <w:tcBorders>
                    <w:tl2br w:val="nil"/>
                    <w:tr2bl w:val="nil"/>
                  </w:tcBorders>
                  <w:noWrap w:val="0"/>
                  <w:vAlign w:val="center"/>
                </w:tcPr>
                <w:p>
                  <w:pPr>
                    <w:jc w:val="center"/>
                    <w:rPr>
                      <w:rFonts w:hint="default" w:eastAsia="宋体"/>
                      <w:kern w:val="0"/>
                      <w:szCs w:val="16"/>
                      <w:lang w:val="en-US" w:eastAsia="zh-CN"/>
                    </w:rPr>
                  </w:pPr>
                  <w:r>
                    <w:rPr>
                      <w:rFonts w:hint="eastAsia"/>
                      <w:kern w:val="0"/>
                      <w:szCs w:val="16"/>
                    </w:rPr>
                    <w:t>依托门诊楼，新增住院床位</w:t>
                  </w:r>
                  <w:r>
                    <w:rPr>
                      <w:rFonts w:hint="eastAsia"/>
                      <w:kern w:val="0"/>
                      <w:szCs w:val="16"/>
                      <w:lang w:eastAsia="zh-CN"/>
                    </w:rPr>
                    <w:t>，</w:t>
                  </w:r>
                  <w:r>
                    <w:rPr>
                      <w:rFonts w:hint="eastAsia"/>
                      <w:kern w:val="0"/>
                      <w:szCs w:val="16"/>
                      <w:lang w:val="en-US" w:eastAsia="zh-CN"/>
                    </w:rPr>
                    <w:t>1层西侧新增床位22张，空置3层新增床位39张，1层和3层总面积1140m</w:t>
                  </w:r>
                  <w:r>
                    <w:rPr>
                      <w:rFonts w:hint="eastAsia"/>
                      <w:kern w:val="0"/>
                      <w:szCs w:val="16"/>
                      <w:vertAlign w:val="superscript"/>
                      <w:lang w:val="en-US" w:eastAsia="zh-CN"/>
                    </w:rPr>
                    <w:t>2</w:t>
                  </w:r>
                  <w:r>
                    <w:rPr>
                      <w:rFonts w:hint="eastAsia"/>
                      <w:kern w:val="0"/>
                      <w:szCs w:val="16"/>
                      <w:lang w:val="en-US" w:eastAsia="zh-CN"/>
                    </w:rPr>
                    <w:t>，每个床位需面积10m</w:t>
                  </w:r>
                  <w:r>
                    <w:rPr>
                      <w:rFonts w:hint="eastAsia"/>
                      <w:kern w:val="0"/>
                      <w:szCs w:val="16"/>
                      <w:vertAlign w:val="superscript"/>
                      <w:lang w:val="en-US" w:eastAsia="zh-CN"/>
                    </w:rPr>
                    <w:t>2</w:t>
                  </w:r>
                  <w:r>
                    <w:rPr>
                      <w:rFonts w:hint="eastAsia"/>
                      <w:kern w:val="0"/>
                      <w:szCs w:val="16"/>
                      <w:lang w:val="en-US" w:eastAsia="zh-CN"/>
                    </w:rPr>
                    <w:t>，共需610m</w:t>
                  </w:r>
                  <w:r>
                    <w:rPr>
                      <w:rFonts w:hint="eastAsia"/>
                      <w:kern w:val="0"/>
                      <w:szCs w:val="16"/>
                      <w:vertAlign w:val="superscript"/>
                      <w:lang w:val="en-US" w:eastAsia="zh-CN"/>
                    </w:rPr>
                    <w:t>2</w:t>
                  </w:r>
                  <w:r>
                    <w:rPr>
                      <w:rFonts w:hint="eastAsia"/>
                      <w:kern w:val="0"/>
                      <w:szCs w:val="16"/>
                      <w:vertAlign w:val="baseline"/>
                      <w:lang w:val="en-US" w:eastAsia="zh-CN"/>
                    </w:rPr>
                    <w:t>建筑面积。</w:t>
                  </w:r>
                </w:p>
              </w:tc>
              <w:tc>
                <w:tcPr>
                  <w:tcW w:w="1280" w:type="dxa"/>
                  <w:tcBorders>
                    <w:tl2br w:val="nil"/>
                    <w:tr2bl w:val="nil"/>
                  </w:tcBorders>
                  <w:noWrap w:val="0"/>
                  <w:vAlign w:val="center"/>
                </w:tcPr>
                <w:p>
                  <w:pPr>
                    <w:jc w:val="center"/>
                    <w:rPr>
                      <w:rFonts w:hint="eastAsia"/>
                      <w:kern w:val="0"/>
                      <w:szCs w:val="16"/>
                    </w:rPr>
                  </w:pPr>
                  <w:r>
                    <w:rPr>
                      <w:rFonts w:hint="eastAsia"/>
                      <w:kern w:val="0"/>
                      <w:szCs w:val="16"/>
                    </w:rPr>
                    <w:t>满足要求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641" w:type="dxa"/>
                  <w:vMerge w:val="continue"/>
                  <w:tcBorders>
                    <w:tl2br w:val="nil"/>
                    <w:tr2bl w:val="nil"/>
                  </w:tcBorders>
                  <w:noWrap w:val="0"/>
                  <w:vAlign w:val="center"/>
                </w:tcPr>
                <w:p>
                  <w:pPr>
                    <w:jc w:val="center"/>
                    <w:rPr>
                      <w:rFonts w:hint="eastAsia"/>
                      <w:kern w:val="0"/>
                      <w:szCs w:val="16"/>
                    </w:rPr>
                  </w:pPr>
                </w:p>
              </w:tc>
              <w:tc>
                <w:tcPr>
                  <w:tcW w:w="1583" w:type="dxa"/>
                  <w:gridSpan w:val="2"/>
                  <w:tcBorders>
                    <w:tl2br w:val="nil"/>
                    <w:tr2bl w:val="nil"/>
                  </w:tcBorders>
                  <w:noWrap w:val="0"/>
                  <w:vAlign w:val="center"/>
                </w:tcPr>
                <w:p>
                  <w:pPr>
                    <w:jc w:val="center"/>
                    <w:rPr>
                      <w:kern w:val="0"/>
                      <w:szCs w:val="16"/>
                    </w:rPr>
                  </w:pPr>
                  <w:r>
                    <w:rPr>
                      <w:rFonts w:hint="eastAsia"/>
                      <w:kern w:val="0"/>
                      <w:szCs w:val="16"/>
                    </w:rPr>
                    <w:t>住院</w:t>
                  </w:r>
                  <w:r>
                    <w:rPr>
                      <w:rFonts w:hint="eastAsia"/>
                      <w:kern w:val="0"/>
                      <w:szCs w:val="16"/>
                      <w:lang w:eastAsia="zh-CN"/>
                    </w:rPr>
                    <w:t>楼（</w:t>
                  </w:r>
                  <w:r>
                    <w:rPr>
                      <w:rFonts w:hint="eastAsia"/>
                      <w:kern w:val="0"/>
                      <w:szCs w:val="16"/>
                    </w:rPr>
                    <w:t>2号楼</w:t>
                  </w:r>
                  <w:r>
                    <w:rPr>
                      <w:rFonts w:hint="eastAsia"/>
                      <w:kern w:val="0"/>
                      <w:szCs w:val="16"/>
                      <w:lang w:eastAsia="zh-CN"/>
                    </w:rPr>
                    <w:t>）</w:t>
                  </w:r>
                </w:p>
              </w:tc>
              <w:tc>
                <w:tcPr>
                  <w:tcW w:w="2167" w:type="dxa"/>
                  <w:tcBorders>
                    <w:tl2br w:val="nil"/>
                    <w:tr2bl w:val="nil"/>
                  </w:tcBorders>
                  <w:noWrap w:val="0"/>
                  <w:vAlign w:val="center"/>
                </w:tcPr>
                <w:p>
                  <w:pPr>
                    <w:jc w:val="center"/>
                    <w:rPr>
                      <w:kern w:val="0"/>
                      <w:szCs w:val="16"/>
                    </w:rPr>
                  </w:pPr>
                  <w:r>
                    <w:rPr>
                      <w:rFonts w:hint="eastAsia"/>
                      <w:kern w:val="0"/>
                      <w:szCs w:val="16"/>
                    </w:rPr>
                    <w:t>住院</w:t>
                  </w:r>
                  <w:r>
                    <w:rPr>
                      <w:rFonts w:hint="eastAsia"/>
                      <w:kern w:val="0"/>
                      <w:szCs w:val="16"/>
                      <w:lang w:eastAsia="zh-CN"/>
                    </w:rPr>
                    <w:t>楼（</w:t>
                  </w:r>
                  <w:r>
                    <w:rPr>
                      <w:rFonts w:hint="eastAsia"/>
                      <w:kern w:val="0"/>
                      <w:szCs w:val="16"/>
                    </w:rPr>
                    <w:t>2号楼</w:t>
                  </w:r>
                  <w:r>
                    <w:rPr>
                      <w:rFonts w:hint="eastAsia"/>
                      <w:kern w:val="0"/>
                      <w:szCs w:val="16"/>
                      <w:lang w:eastAsia="zh-CN"/>
                    </w:rPr>
                    <w:t>）</w:t>
                  </w:r>
                  <w:r>
                    <w:rPr>
                      <w:rFonts w:hint="eastAsia"/>
                      <w:kern w:val="0"/>
                      <w:szCs w:val="16"/>
                    </w:rPr>
                    <w:t>，1栋2层，建筑面积约1200m</w:t>
                  </w:r>
                  <w:r>
                    <w:rPr>
                      <w:rFonts w:hint="eastAsia"/>
                      <w:kern w:val="0"/>
                      <w:szCs w:val="16"/>
                      <w:vertAlign w:val="superscript"/>
                    </w:rPr>
                    <w:t>2</w:t>
                  </w:r>
                  <w:r>
                    <w:rPr>
                      <w:rFonts w:hint="eastAsia"/>
                      <w:kern w:val="0"/>
                      <w:szCs w:val="16"/>
                    </w:rPr>
                    <w:t>，包括治疗室、抢救室、普通病房等</w:t>
                  </w:r>
                </w:p>
              </w:tc>
              <w:tc>
                <w:tcPr>
                  <w:tcW w:w="2367" w:type="dxa"/>
                  <w:tcBorders>
                    <w:tl2br w:val="nil"/>
                    <w:tr2bl w:val="nil"/>
                  </w:tcBorders>
                  <w:noWrap w:val="0"/>
                  <w:vAlign w:val="center"/>
                </w:tcPr>
                <w:p>
                  <w:pPr>
                    <w:jc w:val="center"/>
                    <w:rPr>
                      <w:rFonts w:hint="default" w:eastAsia="宋体"/>
                      <w:kern w:val="0"/>
                      <w:szCs w:val="16"/>
                      <w:vertAlign w:val="baseline"/>
                      <w:lang w:val="en-US" w:eastAsia="zh-CN"/>
                    </w:rPr>
                  </w:pPr>
                  <w:r>
                    <w:rPr>
                      <w:rFonts w:hint="eastAsia"/>
                      <w:kern w:val="0"/>
                      <w:szCs w:val="16"/>
                    </w:rPr>
                    <w:t>依托</w:t>
                  </w:r>
                  <w:r>
                    <w:rPr>
                      <w:rFonts w:hint="eastAsia"/>
                      <w:kern w:val="0"/>
                      <w:szCs w:val="16"/>
                      <w:lang w:eastAsia="zh-CN"/>
                    </w:rPr>
                    <w:t>住院楼（</w:t>
                  </w:r>
                  <w:r>
                    <w:rPr>
                      <w:rFonts w:hint="eastAsia"/>
                      <w:kern w:val="0"/>
                      <w:szCs w:val="16"/>
                      <w:lang w:val="en-US" w:eastAsia="zh-CN"/>
                    </w:rPr>
                    <w:t>2号楼</w:t>
                  </w:r>
                  <w:r>
                    <w:rPr>
                      <w:rFonts w:hint="eastAsia"/>
                      <w:kern w:val="0"/>
                      <w:szCs w:val="16"/>
                      <w:lang w:eastAsia="zh-CN"/>
                    </w:rPr>
                    <w:t>），部分新增住院床位位于空置</w:t>
                  </w:r>
                  <w:r>
                    <w:rPr>
                      <w:rFonts w:hint="eastAsia"/>
                      <w:kern w:val="0"/>
                      <w:szCs w:val="16"/>
                      <w:lang w:val="en-US" w:eastAsia="zh-CN"/>
                    </w:rPr>
                    <w:t>2层，总面积610m</w:t>
                  </w:r>
                  <w:r>
                    <w:rPr>
                      <w:rFonts w:hint="eastAsia"/>
                      <w:kern w:val="0"/>
                      <w:szCs w:val="16"/>
                      <w:vertAlign w:val="superscript"/>
                      <w:lang w:val="en-US" w:eastAsia="zh-CN"/>
                    </w:rPr>
                    <w:t>2</w:t>
                  </w:r>
                  <w:r>
                    <w:rPr>
                      <w:rFonts w:hint="eastAsia"/>
                      <w:kern w:val="0"/>
                      <w:szCs w:val="16"/>
                      <w:lang w:val="en-US" w:eastAsia="zh-CN"/>
                    </w:rPr>
                    <w:t>，新增床位49床，共需490m</w:t>
                  </w:r>
                  <w:r>
                    <w:rPr>
                      <w:rFonts w:hint="eastAsia"/>
                      <w:kern w:val="0"/>
                      <w:szCs w:val="16"/>
                      <w:vertAlign w:val="superscript"/>
                      <w:lang w:val="en-US" w:eastAsia="zh-CN"/>
                    </w:rPr>
                    <w:t>2</w:t>
                  </w:r>
                  <w:r>
                    <w:rPr>
                      <w:rFonts w:hint="eastAsia"/>
                      <w:kern w:val="0"/>
                      <w:szCs w:val="16"/>
                      <w:vertAlign w:val="baseline"/>
                      <w:lang w:val="en-US" w:eastAsia="zh-CN"/>
                    </w:rPr>
                    <w:t>建筑面积。</w:t>
                  </w:r>
                </w:p>
              </w:tc>
              <w:tc>
                <w:tcPr>
                  <w:tcW w:w="1280" w:type="dxa"/>
                  <w:tcBorders>
                    <w:tl2br w:val="nil"/>
                    <w:tr2bl w:val="nil"/>
                  </w:tcBorders>
                  <w:noWrap w:val="0"/>
                  <w:vAlign w:val="center"/>
                </w:tcPr>
                <w:p>
                  <w:pPr>
                    <w:jc w:val="center"/>
                    <w:rPr>
                      <w:rFonts w:hint="eastAsia"/>
                      <w:kern w:val="0"/>
                      <w:szCs w:val="16"/>
                    </w:rPr>
                  </w:pPr>
                  <w:r>
                    <w:rPr>
                      <w:rFonts w:hint="eastAsia"/>
                      <w:kern w:val="0"/>
                      <w:szCs w:val="16"/>
                    </w:rPr>
                    <w:t>满足要求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641" w:type="dxa"/>
                  <w:vMerge w:val="continue"/>
                  <w:tcBorders>
                    <w:tl2br w:val="nil"/>
                    <w:tr2bl w:val="nil"/>
                  </w:tcBorders>
                  <w:noWrap w:val="0"/>
                  <w:vAlign w:val="center"/>
                </w:tcPr>
                <w:p>
                  <w:pPr>
                    <w:jc w:val="center"/>
                    <w:rPr>
                      <w:rFonts w:hint="eastAsia"/>
                      <w:kern w:val="0"/>
                      <w:szCs w:val="16"/>
                    </w:rPr>
                  </w:pPr>
                </w:p>
              </w:tc>
              <w:tc>
                <w:tcPr>
                  <w:tcW w:w="1583" w:type="dxa"/>
                  <w:gridSpan w:val="2"/>
                  <w:tcBorders>
                    <w:tl2br w:val="nil"/>
                    <w:tr2bl w:val="nil"/>
                  </w:tcBorders>
                  <w:noWrap w:val="0"/>
                  <w:vAlign w:val="center"/>
                </w:tcPr>
                <w:p>
                  <w:pPr>
                    <w:jc w:val="center"/>
                    <w:rPr>
                      <w:rFonts w:hint="eastAsia" w:eastAsia="宋体"/>
                      <w:kern w:val="0"/>
                      <w:szCs w:val="16"/>
                      <w:lang w:val="en-US" w:eastAsia="zh-CN"/>
                    </w:rPr>
                  </w:pPr>
                  <w:r>
                    <w:rPr>
                      <w:rFonts w:hint="eastAsia"/>
                      <w:kern w:val="0"/>
                      <w:szCs w:val="16"/>
                      <w:lang w:val="en-US" w:eastAsia="zh-CN"/>
                    </w:rPr>
                    <w:t>住院楼（3号楼）</w:t>
                  </w:r>
                </w:p>
              </w:tc>
              <w:tc>
                <w:tcPr>
                  <w:tcW w:w="2167" w:type="dxa"/>
                  <w:tcBorders>
                    <w:tl2br w:val="nil"/>
                    <w:tr2bl w:val="nil"/>
                  </w:tcBorders>
                  <w:noWrap w:val="0"/>
                  <w:vAlign w:val="center"/>
                </w:tcPr>
                <w:p>
                  <w:pPr>
                    <w:jc w:val="center"/>
                    <w:rPr>
                      <w:rFonts w:hint="default" w:eastAsia="宋体"/>
                      <w:kern w:val="0"/>
                      <w:szCs w:val="16"/>
                      <w:lang w:val="en-US" w:eastAsia="zh-CN"/>
                    </w:rPr>
                  </w:pPr>
                  <w:r>
                    <w:rPr>
                      <w:rFonts w:hint="eastAsia"/>
                      <w:kern w:val="0"/>
                      <w:szCs w:val="16"/>
                      <w:lang w:val="en-US" w:eastAsia="zh-CN"/>
                    </w:rPr>
                    <w:t>住院楼（3号楼），1栋3层，建筑面积约1400m</w:t>
                  </w:r>
                  <w:r>
                    <w:rPr>
                      <w:rFonts w:hint="eastAsia"/>
                      <w:kern w:val="0"/>
                      <w:szCs w:val="16"/>
                      <w:vertAlign w:val="superscript"/>
                      <w:lang w:val="en-US" w:eastAsia="zh-CN"/>
                    </w:rPr>
                    <w:t>2</w:t>
                  </w:r>
                  <w:r>
                    <w:rPr>
                      <w:rFonts w:hint="eastAsia"/>
                      <w:kern w:val="0"/>
                      <w:szCs w:val="16"/>
                      <w:lang w:val="en-US" w:eastAsia="zh-CN"/>
                    </w:rPr>
                    <w:t>，闲置</w:t>
                  </w:r>
                </w:p>
              </w:tc>
              <w:tc>
                <w:tcPr>
                  <w:tcW w:w="2367" w:type="dxa"/>
                  <w:tcBorders>
                    <w:tl2br w:val="nil"/>
                    <w:tr2bl w:val="nil"/>
                  </w:tcBorders>
                  <w:noWrap w:val="0"/>
                  <w:vAlign w:val="center"/>
                </w:tcPr>
                <w:p>
                  <w:pPr>
                    <w:jc w:val="center"/>
                    <w:rPr>
                      <w:rFonts w:hint="default" w:eastAsia="宋体"/>
                      <w:kern w:val="0"/>
                      <w:szCs w:val="16"/>
                      <w:lang w:val="en-US" w:eastAsia="zh-CN"/>
                    </w:rPr>
                  </w:pPr>
                  <w:r>
                    <w:rPr>
                      <w:rFonts w:hint="eastAsia"/>
                      <w:kern w:val="0"/>
                      <w:szCs w:val="16"/>
                      <w:lang w:val="en-US" w:eastAsia="zh-CN"/>
                    </w:rPr>
                    <w:t>依托闲置住院楼（3号楼），本次扩建床位时投入使用</w:t>
                  </w:r>
                </w:p>
              </w:tc>
              <w:tc>
                <w:tcPr>
                  <w:tcW w:w="1280" w:type="dxa"/>
                  <w:tcBorders>
                    <w:tl2br w:val="nil"/>
                    <w:tr2bl w:val="nil"/>
                  </w:tcBorders>
                  <w:noWrap w:val="0"/>
                  <w:vAlign w:val="center"/>
                </w:tcPr>
                <w:p>
                  <w:pPr>
                    <w:jc w:val="center"/>
                    <w:rPr>
                      <w:rFonts w:hint="eastAsia"/>
                      <w:kern w:val="0"/>
                      <w:szCs w:val="16"/>
                    </w:rPr>
                  </w:pPr>
                  <w:r>
                    <w:rPr>
                      <w:rFonts w:hint="eastAsia"/>
                      <w:kern w:val="0"/>
                      <w:szCs w:val="16"/>
                    </w:rPr>
                    <w:t>满足要求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641" w:type="dxa"/>
                  <w:tcBorders>
                    <w:tl2br w:val="nil"/>
                    <w:tr2bl w:val="nil"/>
                  </w:tcBorders>
                  <w:noWrap w:val="0"/>
                  <w:vAlign w:val="center"/>
                </w:tcPr>
                <w:p>
                  <w:pPr>
                    <w:pStyle w:val="129"/>
                    <w:rPr>
                      <w:rFonts w:hint="eastAsia"/>
                      <w:kern w:val="0"/>
                      <w:szCs w:val="16"/>
                    </w:rPr>
                  </w:pPr>
                  <w:r>
                    <w:rPr>
                      <w:rFonts w:hint="eastAsia"/>
                      <w:kern w:val="0"/>
                      <w:szCs w:val="16"/>
                    </w:rPr>
                    <w:t>辅助工程</w:t>
                  </w:r>
                </w:p>
              </w:tc>
              <w:tc>
                <w:tcPr>
                  <w:tcW w:w="1583" w:type="dxa"/>
                  <w:gridSpan w:val="2"/>
                  <w:tcBorders>
                    <w:tl2br w:val="nil"/>
                    <w:tr2bl w:val="nil"/>
                  </w:tcBorders>
                  <w:noWrap w:val="0"/>
                  <w:vAlign w:val="center"/>
                </w:tcPr>
                <w:p>
                  <w:pPr>
                    <w:pStyle w:val="129"/>
                    <w:rPr>
                      <w:rFonts w:hint="eastAsia"/>
                      <w:kern w:val="0"/>
                      <w:sz w:val="21"/>
                      <w:szCs w:val="16"/>
                      <w:lang w:val="en-US" w:eastAsia="zh-CN" w:bidi="ar-SA"/>
                    </w:rPr>
                  </w:pPr>
                  <w:r>
                    <w:rPr>
                      <w:rFonts w:hint="eastAsia"/>
                      <w:kern w:val="0"/>
                      <w:szCs w:val="16"/>
                    </w:rPr>
                    <w:t>洗衣房</w:t>
                  </w:r>
                </w:p>
              </w:tc>
              <w:tc>
                <w:tcPr>
                  <w:tcW w:w="2167" w:type="dxa"/>
                  <w:tcBorders>
                    <w:tl2br w:val="nil"/>
                    <w:tr2bl w:val="nil"/>
                  </w:tcBorders>
                  <w:noWrap w:val="0"/>
                  <w:vAlign w:val="center"/>
                </w:tcPr>
                <w:p>
                  <w:pPr>
                    <w:pStyle w:val="129"/>
                    <w:rPr>
                      <w:rFonts w:hint="eastAsia" w:eastAsia="宋体"/>
                      <w:kern w:val="0"/>
                      <w:sz w:val="21"/>
                      <w:szCs w:val="16"/>
                      <w:lang w:val="en-US" w:eastAsia="zh-CN" w:bidi="ar-SA"/>
                    </w:rPr>
                  </w:pPr>
                  <w:r>
                    <w:rPr>
                      <w:rFonts w:hint="eastAsia"/>
                      <w:kern w:val="0"/>
                      <w:szCs w:val="16"/>
                    </w:rPr>
                    <w:t>洗衣房位于</w:t>
                  </w:r>
                  <w:r>
                    <w:rPr>
                      <w:rFonts w:hint="eastAsia"/>
                      <w:kern w:val="0"/>
                      <w:szCs w:val="16"/>
                      <w:lang w:eastAsia="zh-CN"/>
                    </w:rPr>
                    <w:t>门诊楼外东北侧</w:t>
                  </w:r>
                </w:p>
              </w:tc>
              <w:tc>
                <w:tcPr>
                  <w:tcW w:w="2367" w:type="dxa"/>
                  <w:tcBorders>
                    <w:tl2br w:val="nil"/>
                    <w:tr2bl w:val="nil"/>
                  </w:tcBorders>
                  <w:noWrap w:val="0"/>
                  <w:vAlign w:val="center"/>
                </w:tcPr>
                <w:p>
                  <w:pPr>
                    <w:jc w:val="center"/>
                    <w:rPr>
                      <w:rFonts w:hint="eastAsia" w:eastAsia="宋体"/>
                      <w:kern w:val="0"/>
                      <w:sz w:val="21"/>
                      <w:szCs w:val="16"/>
                      <w:lang w:val="en-US" w:eastAsia="zh-CN" w:bidi="ar-SA"/>
                    </w:rPr>
                  </w:pPr>
                  <w:r>
                    <w:rPr>
                      <w:rFonts w:hint="eastAsia"/>
                      <w:kern w:val="0"/>
                      <w:szCs w:val="16"/>
                      <w:lang w:eastAsia="zh-CN"/>
                    </w:rPr>
                    <w:t>原洗衣房设备满足扩建需求，不新增洗衣设备</w:t>
                  </w:r>
                </w:p>
              </w:tc>
              <w:tc>
                <w:tcPr>
                  <w:tcW w:w="1280" w:type="dxa"/>
                  <w:tcBorders>
                    <w:tl2br w:val="nil"/>
                    <w:tr2bl w:val="nil"/>
                  </w:tcBorders>
                  <w:noWrap w:val="0"/>
                  <w:vAlign w:val="center"/>
                </w:tcPr>
                <w:p>
                  <w:pPr>
                    <w:jc w:val="center"/>
                    <w:rPr>
                      <w:rFonts w:hint="eastAsia"/>
                      <w:kern w:val="0"/>
                      <w:sz w:val="21"/>
                      <w:szCs w:val="16"/>
                      <w:lang w:val="en-US" w:eastAsia="zh-CN" w:bidi="ar-SA"/>
                    </w:rPr>
                  </w:pPr>
                  <w:r>
                    <w:rPr>
                      <w:rFonts w:hint="eastAsia"/>
                      <w:kern w:val="0"/>
                      <w:szCs w:val="16"/>
                    </w:rPr>
                    <w:t>满足要求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641" w:type="dxa"/>
                  <w:tcBorders>
                    <w:tl2br w:val="nil"/>
                    <w:tr2bl w:val="nil"/>
                  </w:tcBorders>
                  <w:noWrap w:val="0"/>
                  <w:vAlign w:val="center"/>
                </w:tcPr>
                <w:p>
                  <w:pPr>
                    <w:pStyle w:val="129"/>
                    <w:rPr>
                      <w:rFonts w:hint="eastAsia" w:eastAsia="宋体"/>
                      <w:kern w:val="0"/>
                      <w:szCs w:val="16"/>
                      <w:lang w:eastAsia="zh-CN"/>
                    </w:rPr>
                  </w:pPr>
                  <w:r>
                    <w:rPr>
                      <w:rFonts w:hint="eastAsia"/>
                      <w:kern w:val="0"/>
                      <w:szCs w:val="16"/>
                      <w:lang w:eastAsia="zh-CN"/>
                    </w:rPr>
                    <w:t>办公及生活设施</w:t>
                  </w:r>
                </w:p>
              </w:tc>
              <w:tc>
                <w:tcPr>
                  <w:tcW w:w="1583" w:type="dxa"/>
                  <w:gridSpan w:val="2"/>
                  <w:tcBorders>
                    <w:tl2br w:val="nil"/>
                    <w:tr2bl w:val="nil"/>
                  </w:tcBorders>
                  <w:noWrap w:val="0"/>
                  <w:vAlign w:val="center"/>
                </w:tcPr>
                <w:p>
                  <w:pPr>
                    <w:adjustRightInd w:val="0"/>
                    <w:jc w:val="center"/>
                    <w:rPr>
                      <w:rFonts w:hint="eastAsia" w:eastAsia="宋体"/>
                      <w:kern w:val="2"/>
                      <w:sz w:val="21"/>
                      <w:szCs w:val="21"/>
                      <w:lang w:val="en-US" w:eastAsia="zh-CN" w:bidi="ar-SA"/>
                    </w:rPr>
                  </w:pPr>
                  <w:r>
                    <w:rPr>
                      <w:rFonts w:hint="eastAsia"/>
                      <w:szCs w:val="21"/>
                      <w:lang w:eastAsia="zh-CN"/>
                    </w:rPr>
                    <w:t>厨房</w:t>
                  </w:r>
                </w:p>
              </w:tc>
              <w:tc>
                <w:tcPr>
                  <w:tcW w:w="2167" w:type="dxa"/>
                  <w:tcBorders>
                    <w:tl2br w:val="nil"/>
                    <w:tr2bl w:val="nil"/>
                  </w:tcBorders>
                  <w:noWrap w:val="0"/>
                  <w:vAlign w:val="center"/>
                </w:tcPr>
                <w:p>
                  <w:pPr>
                    <w:adjustRightInd w:val="0"/>
                    <w:jc w:val="center"/>
                    <w:rPr>
                      <w:rFonts w:hint="eastAsia"/>
                      <w:kern w:val="2"/>
                      <w:sz w:val="21"/>
                      <w:szCs w:val="21"/>
                      <w:lang w:val="en-US" w:eastAsia="zh-CN" w:bidi="ar-SA"/>
                    </w:rPr>
                  </w:pPr>
                  <w:r>
                    <w:rPr>
                      <w:rFonts w:hint="eastAsia"/>
                      <w:szCs w:val="21"/>
                      <w:lang w:val="en-US" w:eastAsia="zh-CN"/>
                    </w:rPr>
                    <w:t>厨房</w:t>
                  </w:r>
                  <w:r>
                    <w:rPr>
                      <w:rFonts w:hint="eastAsia"/>
                      <w:szCs w:val="21"/>
                    </w:rPr>
                    <w:t>，</w:t>
                  </w:r>
                  <w:r>
                    <w:rPr>
                      <w:rFonts w:hint="eastAsia"/>
                      <w:szCs w:val="21"/>
                      <w:lang w:eastAsia="zh-CN"/>
                    </w:rPr>
                    <w:t>位于项目东北侧，</w:t>
                  </w:r>
                  <w:r>
                    <w:rPr>
                      <w:rFonts w:hint="eastAsia"/>
                      <w:szCs w:val="21"/>
                    </w:rPr>
                    <w:t>建筑面积约20m</w:t>
                  </w:r>
                  <w:r>
                    <w:rPr>
                      <w:szCs w:val="21"/>
                    </w:rPr>
                    <w:t>²</w:t>
                  </w:r>
                </w:p>
              </w:tc>
              <w:tc>
                <w:tcPr>
                  <w:tcW w:w="2367" w:type="dxa"/>
                  <w:tcBorders>
                    <w:tl2br w:val="nil"/>
                    <w:tr2bl w:val="nil"/>
                  </w:tcBorders>
                  <w:noWrap w:val="0"/>
                  <w:vAlign w:val="center"/>
                </w:tcPr>
                <w:p>
                  <w:pPr>
                    <w:jc w:val="center"/>
                    <w:rPr>
                      <w:rFonts w:hint="eastAsia"/>
                      <w:kern w:val="0"/>
                      <w:sz w:val="21"/>
                      <w:szCs w:val="16"/>
                      <w:lang w:val="en-US" w:eastAsia="zh-CN" w:bidi="ar-SA"/>
                    </w:rPr>
                  </w:pPr>
                  <w:r>
                    <w:rPr>
                      <w:kern w:val="0"/>
                      <w:szCs w:val="21"/>
                    </w:rPr>
                    <w:t>原</w:t>
                  </w:r>
                  <w:r>
                    <w:rPr>
                      <w:rFonts w:hint="eastAsia"/>
                      <w:kern w:val="0"/>
                      <w:szCs w:val="21"/>
                      <w:lang w:eastAsia="zh-CN"/>
                    </w:rPr>
                    <w:t>厨房</w:t>
                  </w:r>
                  <w:r>
                    <w:rPr>
                      <w:kern w:val="0"/>
                      <w:szCs w:val="21"/>
                    </w:rPr>
                    <w:t>可以满足扩建需求</w:t>
                  </w:r>
                </w:p>
              </w:tc>
              <w:tc>
                <w:tcPr>
                  <w:tcW w:w="1280" w:type="dxa"/>
                  <w:tcBorders>
                    <w:tl2br w:val="nil"/>
                    <w:tr2bl w:val="nil"/>
                  </w:tcBorders>
                  <w:noWrap w:val="0"/>
                  <w:vAlign w:val="center"/>
                </w:tcPr>
                <w:p>
                  <w:pPr>
                    <w:jc w:val="center"/>
                    <w:rPr>
                      <w:rFonts w:hint="eastAsia"/>
                      <w:kern w:val="0"/>
                      <w:sz w:val="21"/>
                      <w:szCs w:val="16"/>
                      <w:lang w:val="en-US" w:eastAsia="zh-CN" w:bidi="ar-SA"/>
                    </w:rPr>
                  </w:pPr>
                  <w:r>
                    <w:rPr>
                      <w:rFonts w:hint="eastAsia"/>
                      <w:kern w:val="0"/>
                      <w:szCs w:val="16"/>
                    </w:rPr>
                    <w:t>满足要求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641" w:type="dxa"/>
                  <w:vMerge w:val="restart"/>
                  <w:tcBorders>
                    <w:tl2br w:val="nil"/>
                    <w:tr2bl w:val="nil"/>
                  </w:tcBorders>
                  <w:noWrap w:val="0"/>
                  <w:vAlign w:val="center"/>
                </w:tcPr>
                <w:p>
                  <w:pPr>
                    <w:pStyle w:val="184"/>
                    <w:rPr>
                      <w:rFonts w:hint="eastAsia" w:ascii="Times New Roman" w:hAnsi="Times New Roman"/>
                      <w:szCs w:val="16"/>
                    </w:rPr>
                  </w:pPr>
                  <w:r>
                    <w:rPr>
                      <w:rFonts w:hint="eastAsia" w:ascii="Times New Roman" w:hAnsi="Times New Roman"/>
                      <w:szCs w:val="16"/>
                    </w:rPr>
                    <w:t>公用工程</w:t>
                  </w:r>
                </w:p>
              </w:tc>
              <w:tc>
                <w:tcPr>
                  <w:tcW w:w="1583" w:type="dxa"/>
                  <w:gridSpan w:val="2"/>
                  <w:tcBorders>
                    <w:tl2br w:val="nil"/>
                    <w:tr2bl w:val="nil"/>
                  </w:tcBorders>
                  <w:noWrap w:val="0"/>
                  <w:vAlign w:val="center"/>
                </w:tcPr>
                <w:p>
                  <w:pPr>
                    <w:pStyle w:val="184"/>
                    <w:rPr>
                      <w:rFonts w:hint="eastAsia" w:ascii="Times New Roman" w:hAnsi="Times New Roman"/>
                      <w:szCs w:val="16"/>
                    </w:rPr>
                  </w:pPr>
                  <w:r>
                    <w:rPr>
                      <w:rFonts w:hint="eastAsia" w:ascii="Times New Roman" w:hAnsi="Times New Roman"/>
                      <w:szCs w:val="16"/>
                    </w:rPr>
                    <w:t>供水</w:t>
                  </w:r>
                </w:p>
              </w:tc>
              <w:tc>
                <w:tcPr>
                  <w:tcW w:w="2167" w:type="dxa"/>
                  <w:tcBorders>
                    <w:tl2br w:val="nil"/>
                    <w:tr2bl w:val="nil"/>
                  </w:tcBorders>
                  <w:noWrap w:val="0"/>
                  <w:vAlign w:val="center"/>
                </w:tcPr>
                <w:p>
                  <w:pPr>
                    <w:pStyle w:val="184"/>
                    <w:rPr>
                      <w:rFonts w:hint="eastAsia" w:ascii="Times New Roman" w:hAnsi="Times New Roman"/>
                      <w:szCs w:val="16"/>
                    </w:rPr>
                  </w:pPr>
                  <w:r>
                    <w:rPr>
                      <w:rFonts w:hint="eastAsia" w:ascii="Times New Roman" w:hAnsi="Times New Roman"/>
                      <w:szCs w:val="16"/>
                    </w:rPr>
                    <w:t>市政自来水管网</w:t>
                  </w:r>
                </w:p>
              </w:tc>
              <w:tc>
                <w:tcPr>
                  <w:tcW w:w="2367" w:type="dxa"/>
                  <w:tcBorders>
                    <w:tl2br w:val="nil"/>
                    <w:tr2bl w:val="nil"/>
                  </w:tcBorders>
                  <w:noWrap w:val="0"/>
                  <w:vAlign w:val="center"/>
                </w:tcPr>
                <w:p>
                  <w:pPr>
                    <w:jc w:val="center"/>
                    <w:rPr>
                      <w:rFonts w:hint="eastAsia"/>
                      <w:kern w:val="0"/>
                      <w:szCs w:val="16"/>
                    </w:rPr>
                  </w:pPr>
                  <w:r>
                    <w:rPr>
                      <w:kern w:val="0"/>
                      <w:szCs w:val="21"/>
                    </w:rPr>
                    <w:t>项目已有接通自来水管网</w:t>
                  </w:r>
                </w:p>
              </w:tc>
              <w:tc>
                <w:tcPr>
                  <w:tcW w:w="1280" w:type="dxa"/>
                  <w:tcBorders>
                    <w:tl2br w:val="nil"/>
                    <w:tr2bl w:val="nil"/>
                  </w:tcBorders>
                  <w:noWrap w:val="0"/>
                  <w:vAlign w:val="center"/>
                </w:tcPr>
                <w:p>
                  <w:pPr>
                    <w:jc w:val="center"/>
                    <w:rPr>
                      <w:rFonts w:hint="eastAsia"/>
                      <w:kern w:val="0"/>
                      <w:szCs w:val="16"/>
                    </w:rPr>
                  </w:pPr>
                  <w:r>
                    <w:rPr>
                      <w:rFonts w:hint="eastAsia"/>
                      <w:kern w:val="0"/>
                      <w:szCs w:val="16"/>
                    </w:rPr>
                    <w:t>满足要求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641" w:type="dxa"/>
                  <w:vMerge w:val="continue"/>
                  <w:tcBorders>
                    <w:tl2br w:val="nil"/>
                    <w:tr2bl w:val="nil"/>
                  </w:tcBorders>
                  <w:noWrap w:val="0"/>
                  <w:vAlign w:val="center"/>
                </w:tcPr>
                <w:p>
                  <w:pPr>
                    <w:pStyle w:val="184"/>
                    <w:rPr>
                      <w:rFonts w:hint="eastAsia" w:ascii="Times New Roman" w:hAnsi="Times New Roman"/>
                      <w:szCs w:val="16"/>
                    </w:rPr>
                  </w:pPr>
                </w:p>
              </w:tc>
              <w:tc>
                <w:tcPr>
                  <w:tcW w:w="1583" w:type="dxa"/>
                  <w:gridSpan w:val="2"/>
                  <w:tcBorders>
                    <w:tl2br w:val="nil"/>
                    <w:tr2bl w:val="nil"/>
                  </w:tcBorders>
                  <w:noWrap w:val="0"/>
                  <w:vAlign w:val="center"/>
                </w:tcPr>
                <w:p>
                  <w:pPr>
                    <w:pStyle w:val="184"/>
                    <w:rPr>
                      <w:rFonts w:hint="eastAsia" w:ascii="Times New Roman" w:hAnsi="Times New Roman"/>
                      <w:szCs w:val="16"/>
                    </w:rPr>
                  </w:pPr>
                  <w:r>
                    <w:rPr>
                      <w:rFonts w:hint="eastAsia" w:ascii="Times New Roman" w:hAnsi="Times New Roman"/>
                      <w:szCs w:val="16"/>
                    </w:rPr>
                    <w:t>供电</w:t>
                  </w:r>
                </w:p>
              </w:tc>
              <w:tc>
                <w:tcPr>
                  <w:tcW w:w="2167" w:type="dxa"/>
                  <w:tcBorders>
                    <w:tl2br w:val="nil"/>
                    <w:tr2bl w:val="nil"/>
                  </w:tcBorders>
                  <w:noWrap w:val="0"/>
                  <w:vAlign w:val="center"/>
                </w:tcPr>
                <w:p>
                  <w:pPr>
                    <w:pStyle w:val="184"/>
                    <w:rPr>
                      <w:rFonts w:hint="eastAsia" w:ascii="Times New Roman" w:hAnsi="Times New Roman"/>
                      <w:szCs w:val="16"/>
                    </w:rPr>
                  </w:pPr>
                  <w:r>
                    <w:rPr>
                      <w:rFonts w:hint="eastAsia" w:ascii="Times New Roman" w:hAnsi="Times New Roman"/>
                      <w:szCs w:val="16"/>
                    </w:rPr>
                    <w:t>市政电网</w:t>
                  </w:r>
                </w:p>
              </w:tc>
              <w:tc>
                <w:tcPr>
                  <w:tcW w:w="2367" w:type="dxa"/>
                  <w:tcBorders>
                    <w:tl2br w:val="nil"/>
                    <w:tr2bl w:val="nil"/>
                  </w:tcBorders>
                  <w:noWrap w:val="0"/>
                  <w:vAlign w:val="center"/>
                </w:tcPr>
                <w:p>
                  <w:pPr>
                    <w:jc w:val="center"/>
                    <w:rPr>
                      <w:rFonts w:hint="eastAsia"/>
                      <w:kern w:val="0"/>
                      <w:szCs w:val="16"/>
                    </w:rPr>
                  </w:pPr>
                  <w:r>
                    <w:rPr>
                      <w:kern w:val="0"/>
                      <w:szCs w:val="21"/>
                    </w:rPr>
                    <w:t>项目已有接通电网</w:t>
                  </w:r>
                </w:p>
              </w:tc>
              <w:tc>
                <w:tcPr>
                  <w:tcW w:w="1280" w:type="dxa"/>
                  <w:tcBorders>
                    <w:tl2br w:val="nil"/>
                    <w:tr2bl w:val="nil"/>
                  </w:tcBorders>
                  <w:noWrap w:val="0"/>
                  <w:vAlign w:val="center"/>
                </w:tcPr>
                <w:p>
                  <w:pPr>
                    <w:jc w:val="center"/>
                    <w:rPr>
                      <w:rFonts w:hint="eastAsia"/>
                      <w:kern w:val="0"/>
                      <w:szCs w:val="16"/>
                    </w:rPr>
                  </w:pPr>
                  <w:r>
                    <w:rPr>
                      <w:rFonts w:hint="eastAsia"/>
                      <w:kern w:val="0"/>
                      <w:szCs w:val="16"/>
                    </w:rPr>
                    <w:t>满足要求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641" w:type="dxa"/>
                  <w:vMerge w:val="continue"/>
                  <w:tcBorders>
                    <w:tl2br w:val="nil"/>
                    <w:tr2bl w:val="nil"/>
                  </w:tcBorders>
                  <w:noWrap w:val="0"/>
                  <w:vAlign w:val="center"/>
                </w:tcPr>
                <w:p>
                  <w:pPr>
                    <w:pStyle w:val="184"/>
                    <w:rPr>
                      <w:rFonts w:hint="eastAsia" w:ascii="Times New Roman" w:hAnsi="Times New Roman"/>
                      <w:szCs w:val="16"/>
                    </w:rPr>
                  </w:pPr>
                </w:p>
              </w:tc>
              <w:tc>
                <w:tcPr>
                  <w:tcW w:w="1583" w:type="dxa"/>
                  <w:gridSpan w:val="2"/>
                  <w:tcBorders>
                    <w:tl2br w:val="nil"/>
                    <w:tr2bl w:val="nil"/>
                  </w:tcBorders>
                  <w:noWrap w:val="0"/>
                  <w:vAlign w:val="center"/>
                </w:tcPr>
                <w:p>
                  <w:pPr>
                    <w:pStyle w:val="184"/>
                    <w:rPr>
                      <w:rFonts w:hint="eastAsia" w:ascii="Times New Roman" w:hAnsi="Times New Roman"/>
                      <w:szCs w:val="16"/>
                    </w:rPr>
                  </w:pPr>
                  <w:r>
                    <w:rPr>
                      <w:rFonts w:hint="eastAsia" w:ascii="Times New Roman" w:hAnsi="Times New Roman"/>
                      <w:szCs w:val="16"/>
                    </w:rPr>
                    <w:t>排水</w:t>
                  </w:r>
                </w:p>
              </w:tc>
              <w:tc>
                <w:tcPr>
                  <w:tcW w:w="2167" w:type="dxa"/>
                  <w:tcBorders>
                    <w:tl2br w:val="nil"/>
                    <w:tr2bl w:val="nil"/>
                  </w:tcBorders>
                  <w:noWrap w:val="0"/>
                  <w:vAlign w:val="center"/>
                </w:tcPr>
                <w:p>
                  <w:pPr>
                    <w:pStyle w:val="184"/>
                    <w:rPr>
                      <w:rFonts w:hint="eastAsia" w:ascii="Times New Roman" w:hAnsi="Times New Roman"/>
                      <w:szCs w:val="16"/>
                    </w:rPr>
                  </w:pPr>
                  <w:r>
                    <w:rPr>
                      <w:rFonts w:hint="eastAsia" w:ascii="Times New Roman" w:hAnsi="Times New Roman"/>
                      <w:szCs w:val="16"/>
                    </w:rPr>
                    <w:t>排入市政污水管网</w:t>
                  </w:r>
                </w:p>
              </w:tc>
              <w:tc>
                <w:tcPr>
                  <w:tcW w:w="2367" w:type="dxa"/>
                  <w:tcBorders>
                    <w:tl2br w:val="nil"/>
                    <w:tr2bl w:val="nil"/>
                  </w:tcBorders>
                  <w:noWrap w:val="0"/>
                  <w:vAlign w:val="center"/>
                </w:tcPr>
                <w:p>
                  <w:pPr>
                    <w:jc w:val="center"/>
                    <w:rPr>
                      <w:rFonts w:hint="eastAsia" w:eastAsia="宋体"/>
                      <w:kern w:val="0"/>
                      <w:szCs w:val="16"/>
                      <w:lang w:eastAsia="zh-CN"/>
                    </w:rPr>
                  </w:pPr>
                  <w:r>
                    <w:rPr>
                      <w:rFonts w:hint="eastAsia"/>
                      <w:kern w:val="0"/>
                      <w:szCs w:val="16"/>
                      <w:lang w:eastAsia="zh-CN"/>
                    </w:rPr>
                    <w:t>项目已有接通排水管网</w:t>
                  </w:r>
                </w:p>
              </w:tc>
              <w:tc>
                <w:tcPr>
                  <w:tcW w:w="1280" w:type="dxa"/>
                  <w:tcBorders>
                    <w:tl2br w:val="nil"/>
                    <w:tr2bl w:val="nil"/>
                  </w:tcBorders>
                  <w:noWrap w:val="0"/>
                  <w:vAlign w:val="center"/>
                </w:tcPr>
                <w:p>
                  <w:pPr>
                    <w:jc w:val="center"/>
                    <w:rPr>
                      <w:rFonts w:hint="eastAsia"/>
                      <w:kern w:val="0"/>
                      <w:szCs w:val="16"/>
                    </w:rPr>
                  </w:pPr>
                  <w:r>
                    <w:rPr>
                      <w:rFonts w:hint="eastAsia"/>
                      <w:kern w:val="0"/>
                      <w:szCs w:val="16"/>
                    </w:rPr>
                    <w:t>满足要求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641" w:type="dxa"/>
                  <w:vMerge w:val="continue"/>
                  <w:tcBorders>
                    <w:tl2br w:val="nil"/>
                    <w:tr2bl w:val="nil"/>
                  </w:tcBorders>
                  <w:noWrap w:val="0"/>
                  <w:vAlign w:val="center"/>
                </w:tcPr>
                <w:p>
                  <w:pPr>
                    <w:pStyle w:val="184"/>
                    <w:rPr>
                      <w:rFonts w:hint="eastAsia" w:ascii="Times New Roman" w:hAnsi="Times New Roman"/>
                      <w:szCs w:val="16"/>
                    </w:rPr>
                  </w:pPr>
                </w:p>
              </w:tc>
              <w:tc>
                <w:tcPr>
                  <w:tcW w:w="1583" w:type="dxa"/>
                  <w:gridSpan w:val="2"/>
                  <w:tcBorders>
                    <w:tl2br w:val="nil"/>
                    <w:tr2bl w:val="nil"/>
                  </w:tcBorders>
                  <w:noWrap w:val="0"/>
                  <w:vAlign w:val="center"/>
                </w:tcPr>
                <w:p>
                  <w:pPr>
                    <w:pStyle w:val="184"/>
                    <w:rPr>
                      <w:rFonts w:hint="eastAsia" w:ascii="Times New Roman" w:hAnsi="Times New Roman"/>
                      <w:szCs w:val="16"/>
                    </w:rPr>
                  </w:pPr>
                  <w:r>
                    <w:rPr>
                      <w:rFonts w:hint="eastAsia" w:ascii="Times New Roman" w:hAnsi="Times New Roman"/>
                      <w:szCs w:val="16"/>
                    </w:rPr>
                    <w:t>通风</w:t>
                  </w:r>
                </w:p>
              </w:tc>
              <w:tc>
                <w:tcPr>
                  <w:tcW w:w="2167" w:type="dxa"/>
                  <w:tcBorders>
                    <w:tl2br w:val="nil"/>
                    <w:tr2bl w:val="nil"/>
                  </w:tcBorders>
                  <w:noWrap w:val="0"/>
                  <w:vAlign w:val="center"/>
                </w:tcPr>
                <w:p>
                  <w:pPr>
                    <w:pStyle w:val="184"/>
                    <w:rPr>
                      <w:rFonts w:hint="eastAsia" w:ascii="Times New Roman" w:hAnsi="Times New Roman"/>
                      <w:szCs w:val="16"/>
                    </w:rPr>
                  </w:pPr>
                  <w:r>
                    <w:rPr>
                      <w:rFonts w:hint="eastAsia" w:ascii="Times New Roman" w:hAnsi="Times New Roman"/>
                      <w:szCs w:val="16"/>
                    </w:rPr>
                    <w:t>通风管</w:t>
                  </w:r>
                </w:p>
              </w:tc>
              <w:tc>
                <w:tcPr>
                  <w:tcW w:w="2367" w:type="dxa"/>
                  <w:tcBorders>
                    <w:tl2br w:val="nil"/>
                    <w:tr2bl w:val="nil"/>
                  </w:tcBorders>
                  <w:noWrap w:val="0"/>
                  <w:vAlign w:val="center"/>
                </w:tcPr>
                <w:p>
                  <w:pPr>
                    <w:jc w:val="center"/>
                    <w:rPr>
                      <w:rFonts w:hint="eastAsia" w:eastAsia="宋体"/>
                      <w:kern w:val="0"/>
                      <w:szCs w:val="16"/>
                      <w:lang w:eastAsia="zh-CN"/>
                    </w:rPr>
                  </w:pPr>
                  <w:r>
                    <w:rPr>
                      <w:rFonts w:hint="eastAsia"/>
                      <w:kern w:val="0"/>
                      <w:szCs w:val="16"/>
                      <w:lang w:eastAsia="zh-CN"/>
                    </w:rPr>
                    <w:t>项目已建通风管网</w:t>
                  </w:r>
                </w:p>
              </w:tc>
              <w:tc>
                <w:tcPr>
                  <w:tcW w:w="1280" w:type="dxa"/>
                  <w:tcBorders>
                    <w:tl2br w:val="nil"/>
                    <w:tr2bl w:val="nil"/>
                  </w:tcBorders>
                  <w:noWrap w:val="0"/>
                  <w:vAlign w:val="center"/>
                </w:tcPr>
                <w:p>
                  <w:pPr>
                    <w:jc w:val="center"/>
                    <w:rPr>
                      <w:rFonts w:hint="eastAsia"/>
                      <w:kern w:val="0"/>
                      <w:szCs w:val="16"/>
                    </w:rPr>
                  </w:pPr>
                  <w:r>
                    <w:rPr>
                      <w:rFonts w:hint="eastAsia"/>
                      <w:kern w:val="0"/>
                      <w:szCs w:val="16"/>
                    </w:rPr>
                    <w:t>满足要求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641" w:type="dxa"/>
                  <w:vMerge w:val="restart"/>
                  <w:tcBorders>
                    <w:tl2br w:val="nil"/>
                    <w:tr2bl w:val="nil"/>
                  </w:tcBorders>
                  <w:noWrap w:val="0"/>
                  <w:vAlign w:val="center"/>
                </w:tcPr>
                <w:p>
                  <w:pPr>
                    <w:pStyle w:val="184"/>
                    <w:rPr>
                      <w:rFonts w:hint="eastAsia" w:ascii="Times New Roman" w:hAnsi="Times New Roman"/>
                      <w:szCs w:val="16"/>
                    </w:rPr>
                  </w:pPr>
                  <w:r>
                    <w:rPr>
                      <w:rFonts w:hint="eastAsia" w:ascii="Times New Roman" w:hAnsi="Times New Roman"/>
                      <w:szCs w:val="16"/>
                    </w:rPr>
                    <w:t>环保设施</w:t>
                  </w:r>
                </w:p>
              </w:tc>
              <w:tc>
                <w:tcPr>
                  <w:tcW w:w="683" w:type="dxa"/>
                  <w:vMerge w:val="restart"/>
                  <w:tcBorders>
                    <w:tl2br w:val="nil"/>
                    <w:tr2bl w:val="nil"/>
                  </w:tcBorders>
                  <w:noWrap w:val="0"/>
                  <w:vAlign w:val="center"/>
                </w:tcPr>
                <w:p>
                  <w:pPr>
                    <w:pStyle w:val="184"/>
                    <w:rPr>
                      <w:rFonts w:hint="eastAsia" w:ascii="Times New Roman" w:hAnsi="Times New Roman" w:eastAsia="宋体"/>
                      <w:szCs w:val="16"/>
                      <w:lang w:eastAsia="zh-CN"/>
                    </w:rPr>
                  </w:pPr>
                  <w:r>
                    <w:rPr>
                      <w:rFonts w:hint="eastAsia" w:ascii="Times New Roman" w:hAnsi="Times New Roman"/>
                      <w:szCs w:val="16"/>
                      <w:lang w:eastAsia="zh-CN"/>
                    </w:rPr>
                    <w:t>废水治理</w:t>
                  </w:r>
                </w:p>
              </w:tc>
              <w:tc>
                <w:tcPr>
                  <w:tcW w:w="900" w:type="dxa"/>
                  <w:tcBorders>
                    <w:tl2br w:val="nil"/>
                    <w:tr2bl w:val="nil"/>
                  </w:tcBorders>
                  <w:noWrap w:val="0"/>
                  <w:vAlign w:val="center"/>
                </w:tcPr>
                <w:p>
                  <w:pPr>
                    <w:pStyle w:val="184"/>
                    <w:rPr>
                      <w:rFonts w:hint="eastAsia" w:ascii="Times New Roman" w:hAnsi="Times New Roman"/>
                      <w:szCs w:val="16"/>
                    </w:rPr>
                  </w:pPr>
                  <w:r>
                    <w:rPr>
                      <w:rFonts w:hint="eastAsia" w:ascii="Times New Roman" w:hAnsi="Times New Roman"/>
                      <w:szCs w:val="16"/>
                    </w:rPr>
                    <w:t>污水处理站</w:t>
                  </w:r>
                </w:p>
              </w:tc>
              <w:tc>
                <w:tcPr>
                  <w:tcW w:w="2167" w:type="dxa"/>
                  <w:tcBorders>
                    <w:tl2br w:val="nil"/>
                    <w:tr2bl w:val="nil"/>
                  </w:tcBorders>
                  <w:noWrap w:val="0"/>
                  <w:vAlign w:val="center"/>
                </w:tcPr>
                <w:p>
                  <w:pPr>
                    <w:pStyle w:val="184"/>
                    <w:rPr>
                      <w:rFonts w:hint="eastAsia" w:ascii="Times New Roman" w:hAnsi="Times New Roman" w:eastAsia="宋体"/>
                      <w:szCs w:val="16"/>
                      <w:lang w:eastAsia="zh-CN"/>
                    </w:rPr>
                  </w:pPr>
                  <w:r>
                    <w:rPr>
                      <w:rFonts w:hint="eastAsia" w:ascii="Times New Roman" w:hAnsi="Times New Roman"/>
                      <w:szCs w:val="16"/>
                    </w:rPr>
                    <w:t>1座，</w:t>
                  </w:r>
                  <w:r>
                    <w:rPr>
                      <w:rFonts w:hint="eastAsia" w:ascii="Times New Roman" w:hAnsi="Times New Roman"/>
                      <w:szCs w:val="16"/>
                      <w:lang w:eastAsia="zh-CN"/>
                    </w:rPr>
                    <w:t>“</w:t>
                  </w:r>
                  <w:r>
                    <w:rPr>
                      <w:rFonts w:hint="eastAsia" w:ascii="Times New Roman" w:hAnsi="Times New Roman"/>
                      <w:szCs w:val="16"/>
                      <w:lang w:val="en-US" w:eastAsia="zh-CN"/>
                    </w:rPr>
                    <w:t>二级生化+消毒</w:t>
                  </w:r>
                  <w:r>
                    <w:rPr>
                      <w:rFonts w:hint="eastAsia" w:ascii="Times New Roman" w:hAnsi="Times New Roman"/>
                      <w:szCs w:val="16"/>
                      <w:lang w:eastAsia="zh-CN"/>
                    </w:rPr>
                    <w:t>”，位于洗衣房地下</w:t>
                  </w:r>
                </w:p>
              </w:tc>
              <w:tc>
                <w:tcPr>
                  <w:tcW w:w="2367" w:type="dxa"/>
                  <w:vMerge w:val="restart"/>
                  <w:tcBorders>
                    <w:tl2br w:val="nil"/>
                    <w:tr2bl w:val="nil"/>
                  </w:tcBorders>
                  <w:noWrap w:val="0"/>
                  <w:vAlign w:val="center"/>
                </w:tcPr>
                <w:p>
                  <w:pPr>
                    <w:jc w:val="center"/>
                    <w:rPr>
                      <w:rFonts w:hint="eastAsia" w:eastAsia="宋体"/>
                      <w:kern w:val="0"/>
                      <w:szCs w:val="16"/>
                      <w:lang w:eastAsia="zh-CN"/>
                    </w:rPr>
                  </w:pPr>
                  <w:r>
                    <w:rPr>
                      <w:rFonts w:hint="eastAsia"/>
                      <w:kern w:val="0"/>
                      <w:szCs w:val="16"/>
                    </w:rPr>
                    <w:t>闲置的1座化粪池投入使用</w:t>
                  </w:r>
                  <w:r>
                    <w:rPr>
                      <w:rFonts w:hint="eastAsia"/>
                      <w:kern w:val="0"/>
                      <w:szCs w:val="16"/>
                      <w:lang w:eastAsia="zh-CN"/>
                    </w:rPr>
                    <w:t>，增大消毒药剂投加量，增加污水处理能力，项目扩能后废水治理措施满足扩建需要</w:t>
                  </w:r>
                </w:p>
              </w:tc>
              <w:tc>
                <w:tcPr>
                  <w:tcW w:w="1280" w:type="dxa"/>
                  <w:tcBorders>
                    <w:tl2br w:val="nil"/>
                    <w:tr2bl w:val="nil"/>
                  </w:tcBorders>
                  <w:noWrap w:val="0"/>
                  <w:vAlign w:val="center"/>
                </w:tcPr>
                <w:p>
                  <w:pPr>
                    <w:jc w:val="center"/>
                    <w:rPr>
                      <w:rFonts w:hint="eastAsia"/>
                      <w:kern w:val="0"/>
                      <w:szCs w:val="16"/>
                    </w:rPr>
                  </w:pPr>
                  <w:r>
                    <w:rPr>
                      <w:rFonts w:hint="eastAsia"/>
                      <w:kern w:val="0"/>
                      <w:szCs w:val="16"/>
                    </w:rPr>
                    <w:t>满足要求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641" w:type="dxa"/>
                  <w:vMerge w:val="continue"/>
                  <w:tcBorders>
                    <w:tl2br w:val="nil"/>
                    <w:tr2bl w:val="nil"/>
                  </w:tcBorders>
                  <w:noWrap w:val="0"/>
                  <w:vAlign w:val="center"/>
                </w:tcPr>
                <w:p>
                  <w:pPr>
                    <w:pStyle w:val="184"/>
                    <w:rPr>
                      <w:rFonts w:hint="eastAsia" w:ascii="Times New Roman" w:hAnsi="Times New Roman"/>
                      <w:szCs w:val="16"/>
                    </w:rPr>
                  </w:pPr>
                </w:p>
              </w:tc>
              <w:tc>
                <w:tcPr>
                  <w:tcW w:w="683" w:type="dxa"/>
                  <w:vMerge w:val="continue"/>
                  <w:tcBorders>
                    <w:tl2br w:val="nil"/>
                    <w:tr2bl w:val="nil"/>
                  </w:tcBorders>
                  <w:noWrap w:val="0"/>
                  <w:vAlign w:val="center"/>
                </w:tcPr>
                <w:p>
                  <w:pPr>
                    <w:pStyle w:val="184"/>
                    <w:rPr>
                      <w:rFonts w:hint="eastAsia" w:ascii="Times New Roman" w:hAnsi="Times New Roman"/>
                      <w:szCs w:val="16"/>
                    </w:rPr>
                  </w:pPr>
                </w:p>
              </w:tc>
              <w:tc>
                <w:tcPr>
                  <w:tcW w:w="900" w:type="dxa"/>
                  <w:tcBorders>
                    <w:tl2br w:val="nil"/>
                    <w:tr2bl w:val="nil"/>
                  </w:tcBorders>
                  <w:noWrap w:val="0"/>
                  <w:vAlign w:val="center"/>
                </w:tcPr>
                <w:p>
                  <w:pPr>
                    <w:pStyle w:val="184"/>
                    <w:rPr>
                      <w:rFonts w:hint="eastAsia" w:ascii="Times New Roman" w:hAnsi="Times New Roman"/>
                      <w:szCs w:val="16"/>
                    </w:rPr>
                  </w:pPr>
                  <w:r>
                    <w:rPr>
                      <w:rFonts w:hint="eastAsia" w:ascii="Times New Roman" w:hAnsi="Times New Roman"/>
                      <w:szCs w:val="16"/>
                    </w:rPr>
                    <w:t>隔油池</w:t>
                  </w:r>
                </w:p>
              </w:tc>
              <w:tc>
                <w:tcPr>
                  <w:tcW w:w="2167" w:type="dxa"/>
                  <w:tcBorders>
                    <w:tl2br w:val="nil"/>
                    <w:tr2bl w:val="nil"/>
                  </w:tcBorders>
                  <w:noWrap w:val="0"/>
                  <w:vAlign w:val="center"/>
                </w:tcPr>
                <w:p>
                  <w:pPr>
                    <w:pStyle w:val="184"/>
                    <w:rPr>
                      <w:rFonts w:hint="eastAsia" w:ascii="Times New Roman" w:hAnsi="Times New Roman"/>
                      <w:szCs w:val="16"/>
                    </w:rPr>
                  </w:pPr>
                  <w:r>
                    <w:rPr>
                      <w:rFonts w:hint="eastAsia" w:ascii="Times New Roman" w:hAnsi="Times New Roman"/>
                      <w:szCs w:val="16"/>
                    </w:rPr>
                    <w:t>1座</w:t>
                  </w:r>
                </w:p>
              </w:tc>
              <w:tc>
                <w:tcPr>
                  <w:tcW w:w="2367" w:type="dxa"/>
                  <w:vMerge w:val="continue"/>
                  <w:tcBorders>
                    <w:tl2br w:val="nil"/>
                    <w:tr2bl w:val="nil"/>
                  </w:tcBorders>
                  <w:noWrap w:val="0"/>
                  <w:vAlign w:val="center"/>
                </w:tcPr>
                <w:p>
                  <w:pPr>
                    <w:jc w:val="center"/>
                    <w:rPr>
                      <w:rFonts w:hint="eastAsia"/>
                      <w:kern w:val="0"/>
                      <w:szCs w:val="16"/>
                    </w:rPr>
                  </w:pPr>
                </w:p>
              </w:tc>
              <w:tc>
                <w:tcPr>
                  <w:tcW w:w="1280" w:type="dxa"/>
                  <w:tcBorders>
                    <w:tl2br w:val="nil"/>
                    <w:tr2bl w:val="nil"/>
                  </w:tcBorders>
                  <w:noWrap w:val="0"/>
                  <w:vAlign w:val="center"/>
                </w:tcPr>
                <w:p>
                  <w:pPr>
                    <w:jc w:val="center"/>
                    <w:rPr>
                      <w:rFonts w:hint="eastAsia"/>
                      <w:kern w:val="0"/>
                      <w:szCs w:val="16"/>
                    </w:rPr>
                  </w:pPr>
                  <w:r>
                    <w:rPr>
                      <w:rFonts w:hint="eastAsia"/>
                      <w:kern w:val="0"/>
                      <w:szCs w:val="16"/>
                    </w:rPr>
                    <w:t>满足要求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641" w:type="dxa"/>
                  <w:vMerge w:val="continue"/>
                  <w:tcBorders>
                    <w:tl2br w:val="nil"/>
                    <w:tr2bl w:val="nil"/>
                  </w:tcBorders>
                  <w:noWrap w:val="0"/>
                  <w:vAlign w:val="center"/>
                </w:tcPr>
                <w:p>
                  <w:pPr>
                    <w:pStyle w:val="184"/>
                    <w:rPr>
                      <w:rFonts w:hint="eastAsia" w:ascii="Times New Roman" w:hAnsi="Times New Roman"/>
                      <w:szCs w:val="16"/>
                    </w:rPr>
                  </w:pPr>
                </w:p>
              </w:tc>
              <w:tc>
                <w:tcPr>
                  <w:tcW w:w="683" w:type="dxa"/>
                  <w:vMerge w:val="continue"/>
                  <w:tcBorders>
                    <w:tl2br w:val="nil"/>
                    <w:tr2bl w:val="nil"/>
                  </w:tcBorders>
                  <w:noWrap w:val="0"/>
                  <w:vAlign w:val="center"/>
                </w:tcPr>
                <w:p>
                  <w:pPr>
                    <w:pStyle w:val="184"/>
                    <w:rPr>
                      <w:rFonts w:hint="eastAsia" w:ascii="Times New Roman" w:hAnsi="Times New Roman"/>
                      <w:szCs w:val="16"/>
                    </w:rPr>
                  </w:pPr>
                </w:p>
              </w:tc>
              <w:tc>
                <w:tcPr>
                  <w:tcW w:w="900" w:type="dxa"/>
                  <w:tcBorders>
                    <w:tl2br w:val="nil"/>
                    <w:tr2bl w:val="nil"/>
                  </w:tcBorders>
                  <w:noWrap w:val="0"/>
                  <w:vAlign w:val="center"/>
                </w:tcPr>
                <w:p>
                  <w:pPr>
                    <w:pStyle w:val="184"/>
                    <w:rPr>
                      <w:rFonts w:hint="eastAsia" w:ascii="Times New Roman" w:hAnsi="Times New Roman"/>
                      <w:szCs w:val="16"/>
                    </w:rPr>
                  </w:pPr>
                  <w:r>
                    <w:rPr>
                      <w:rFonts w:hint="eastAsia" w:ascii="Times New Roman" w:hAnsi="Times New Roman"/>
                      <w:szCs w:val="16"/>
                    </w:rPr>
                    <w:t>化粪池</w:t>
                  </w:r>
                </w:p>
              </w:tc>
              <w:tc>
                <w:tcPr>
                  <w:tcW w:w="2167" w:type="dxa"/>
                  <w:tcBorders>
                    <w:tl2br w:val="nil"/>
                    <w:tr2bl w:val="nil"/>
                  </w:tcBorders>
                  <w:noWrap w:val="0"/>
                  <w:vAlign w:val="center"/>
                </w:tcPr>
                <w:p>
                  <w:pPr>
                    <w:pStyle w:val="184"/>
                    <w:rPr>
                      <w:rFonts w:ascii="Times New Roman" w:hAnsi="Times New Roman"/>
                      <w:szCs w:val="16"/>
                    </w:rPr>
                  </w:pPr>
                  <w:r>
                    <w:rPr>
                      <w:rFonts w:hint="eastAsia" w:ascii="Times New Roman" w:hAnsi="Times New Roman"/>
                      <w:szCs w:val="16"/>
                    </w:rPr>
                    <w:t>实际建设3座化粪池，其中2座投入使用</w:t>
                  </w:r>
                </w:p>
              </w:tc>
              <w:tc>
                <w:tcPr>
                  <w:tcW w:w="2367" w:type="dxa"/>
                  <w:vMerge w:val="continue"/>
                  <w:tcBorders>
                    <w:tl2br w:val="nil"/>
                    <w:tr2bl w:val="nil"/>
                  </w:tcBorders>
                  <w:noWrap w:val="0"/>
                  <w:vAlign w:val="center"/>
                </w:tcPr>
                <w:p>
                  <w:pPr>
                    <w:jc w:val="center"/>
                    <w:rPr>
                      <w:kern w:val="0"/>
                      <w:szCs w:val="16"/>
                    </w:rPr>
                  </w:pPr>
                </w:p>
              </w:tc>
              <w:tc>
                <w:tcPr>
                  <w:tcW w:w="1280" w:type="dxa"/>
                  <w:tcBorders>
                    <w:tl2br w:val="nil"/>
                    <w:tr2bl w:val="nil"/>
                  </w:tcBorders>
                  <w:noWrap w:val="0"/>
                  <w:vAlign w:val="center"/>
                </w:tcPr>
                <w:p>
                  <w:pPr>
                    <w:jc w:val="center"/>
                    <w:rPr>
                      <w:rFonts w:hint="eastAsia"/>
                      <w:kern w:val="0"/>
                      <w:szCs w:val="16"/>
                    </w:rPr>
                  </w:pPr>
                  <w:r>
                    <w:rPr>
                      <w:rFonts w:hint="eastAsia"/>
                      <w:kern w:val="0"/>
                      <w:szCs w:val="16"/>
                    </w:rPr>
                    <w:t>满足要求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641" w:type="dxa"/>
                  <w:vMerge w:val="continue"/>
                  <w:tcBorders>
                    <w:tl2br w:val="nil"/>
                    <w:tr2bl w:val="nil"/>
                  </w:tcBorders>
                  <w:noWrap w:val="0"/>
                  <w:vAlign w:val="center"/>
                </w:tcPr>
                <w:p>
                  <w:pPr>
                    <w:pStyle w:val="184"/>
                    <w:rPr>
                      <w:rFonts w:hint="eastAsia" w:ascii="Times New Roman" w:hAnsi="Times New Roman"/>
                      <w:szCs w:val="16"/>
                    </w:rPr>
                  </w:pPr>
                </w:p>
              </w:tc>
              <w:tc>
                <w:tcPr>
                  <w:tcW w:w="683" w:type="dxa"/>
                  <w:vMerge w:val="restart"/>
                  <w:tcBorders>
                    <w:tl2br w:val="nil"/>
                    <w:tr2bl w:val="nil"/>
                  </w:tcBorders>
                  <w:noWrap w:val="0"/>
                  <w:vAlign w:val="center"/>
                </w:tcPr>
                <w:p>
                  <w:pPr>
                    <w:pStyle w:val="184"/>
                    <w:rPr>
                      <w:rFonts w:hint="eastAsia" w:ascii="Times New Roman" w:hAnsi="Times New Roman" w:eastAsia="宋体"/>
                      <w:szCs w:val="16"/>
                      <w:lang w:eastAsia="zh-CN"/>
                    </w:rPr>
                  </w:pPr>
                  <w:r>
                    <w:rPr>
                      <w:rFonts w:hint="eastAsia" w:ascii="Times New Roman" w:hAnsi="Times New Roman"/>
                      <w:szCs w:val="16"/>
                      <w:lang w:eastAsia="zh-CN"/>
                    </w:rPr>
                    <w:t>固废治理</w:t>
                  </w:r>
                </w:p>
              </w:tc>
              <w:tc>
                <w:tcPr>
                  <w:tcW w:w="900" w:type="dxa"/>
                  <w:tcBorders>
                    <w:tl2br w:val="nil"/>
                    <w:tr2bl w:val="nil"/>
                  </w:tcBorders>
                  <w:noWrap w:val="0"/>
                  <w:vAlign w:val="center"/>
                </w:tcPr>
                <w:p>
                  <w:pPr>
                    <w:pStyle w:val="184"/>
                    <w:rPr>
                      <w:rFonts w:hint="eastAsia" w:ascii="Times New Roman" w:hAnsi="Times New Roman"/>
                      <w:szCs w:val="16"/>
                    </w:rPr>
                  </w:pPr>
                  <w:r>
                    <w:rPr>
                      <w:rFonts w:hint="eastAsia" w:ascii="Times New Roman" w:hAnsi="Times New Roman"/>
                      <w:szCs w:val="16"/>
                    </w:rPr>
                    <w:t>医废暂存间</w:t>
                  </w:r>
                </w:p>
              </w:tc>
              <w:tc>
                <w:tcPr>
                  <w:tcW w:w="2167" w:type="dxa"/>
                  <w:tcBorders>
                    <w:tl2br w:val="nil"/>
                    <w:tr2bl w:val="nil"/>
                  </w:tcBorders>
                  <w:noWrap w:val="0"/>
                  <w:vAlign w:val="center"/>
                </w:tcPr>
                <w:p>
                  <w:pPr>
                    <w:pStyle w:val="184"/>
                    <w:rPr>
                      <w:rFonts w:hint="eastAsia" w:ascii="Times New Roman" w:hAnsi="Times New Roman"/>
                      <w:szCs w:val="16"/>
                    </w:rPr>
                  </w:pPr>
                  <w:r>
                    <w:rPr>
                      <w:rFonts w:hint="eastAsia" w:ascii="Times New Roman" w:hAnsi="Times New Roman"/>
                      <w:szCs w:val="16"/>
                    </w:rPr>
                    <w:t>容积5m</w:t>
                  </w:r>
                  <w:r>
                    <w:rPr>
                      <w:rFonts w:hint="eastAsia" w:ascii="Times New Roman" w:hAnsi="Times New Roman"/>
                      <w:szCs w:val="16"/>
                      <w:vertAlign w:val="superscript"/>
                    </w:rPr>
                    <w:t>3</w:t>
                  </w:r>
                  <w:r>
                    <w:rPr>
                      <w:rFonts w:hint="eastAsia" w:ascii="Times New Roman" w:hAnsi="Times New Roman"/>
                      <w:szCs w:val="16"/>
                    </w:rPr>
                    <w:t>，位于门诊楼</w:t>
                  </w:r>
                  <w:r>
                    <w:rPr>
                      <w:rFonts w:hint="eastAsia" w:ascii="Times New Roman" w:hAnsi="Times New Roman"/>
                      <w:szCs w:val="16"/>
                      <w:lang w:val="en-US" w:eastAsia="zh-CN"/>
                    </w:rPr>
                    <w:t>1层</w:t>
                  </w:r>
                  <w:r>
                    <w:rPr>
                      <w:rFonts w:hint="eastAsia" w:ascii="Times New Roman" w:hAnsi="Times New Roman"/>
                      <w:szCs w:val="16"/>
                    </w:rPr>
                    <w:t>东北侧</w:t>
                  </w:r>
                </w:p>
              </w:tc>
              <w:tc>
                <w:tcPr>
                  <w:tcW w:w="2367" w:type="dxa"/>
                  <w:vMerge w:val="restart"/>
                  <w:tcBorders>
                    <w:tl2br w:val="nil"/>
                    <w:tr2bl w:val="nil"/>
                  </w:tcBorders>
                  <w:noWrap w:val="0"/>
                  <w:vAlign w:val="center"/>
                </w:tcPr>
                <w:p>
                  <w:pPr>
                    <w:jc w:val="center"/>
                    <w:rPr>
                      <w:rFonts w:hint="eastAsia" w:eastAsia="宋体"/>
                      <w:kern w:val="0"/>
                      <w:szCs w:val="16"/>
                      <w:lang w:eastAsia="zh-CN"/>
                    </w:rPr>
                  </w:pPr>
                  <w:r>
                    <w:rPr>
                      <w:rFonts w:hint="eastAsia"/>
                      <w:kern w:val="0"/>
                      <w:szCs w:val="16"/>
                      <w:lang w:eastAsia="zh-CN"/>
                    </w:rPr>
                    <w:t>已有固废治理措施满足扩建需要</w:t>
                  </w:r>
                </w:p>
              </w:tc>
              <w:tc>
                <w:tcPr>
                  <w:tcW w:w="1280" w:type="dxa"/>
                  <w:tcBorders>
                    <w:tl2br w:val="nil"/>
                    <w:tr2bl w:val="nil"/>
                  </w:tcBorders>
                  <w:noWrap w:val="0"/>
                  <w:vAlign w:val="center"/>
                </w:tcPr>
                <w:p>
                  <w:pPr>
                    <w:jc w:val="center"/>
                    <w:rPr>
                      <w:rFonts w:hint="eastAsia"/>
                      <w:kern w:val="0"/>
                      <w:szCs w:val="16"/>
                    </w:rPr>
                  </w:pPr>
                  <w:r>
                    <w:rPr>
                      <w:rFonts w:hint="eastAsia"/>
                      <w:kern w:val="0"/>
                      <w:szCs w:val="16"/>
                    </w:rPr>
                    <w:t>满足要求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641" w:type="dxa"/>
                  <w:vMerge w:val="continue"/>
                  <w:tcBorders>
                    <w:tl2br w:val="nil"/>
                    <w:tr2bl w:val="nil"/>
                  </w:tcBorders>
                  <w:noWrap w:val="0"/>
                  <w:vAlign w:val="center"/>
                </w:tcPr>
                <w:p>
                  <w:pPr>
                    <w:pStyle w:val="184"/>
                    <w:rPr>
                      <w:rFonts w:hint="eastAsia" w:ascii="Times New Roman" w:hAnsi="Times New Roman"/>
                      <w:szCs w:val="16"/>
                    </w:rPr>
                  </w:pPr>
                </w:p>
              </w:tc>
              <w:tc>
                <w:tcPr>
                  <w:tcW w:w="683" w:type="dxa"/>
                  <w:vMerge w:val="continue"/>
                  <w:tcBorders>
                    <w:tl2br w:val="nil"/>
                    <w:tr2bl w:val="nil"/>
                  </w:tcBorders>
                  <w:noWrap w:val="0"/>
                  <w:vAlign w:val="center"/>
                </w:tcPr>
                <w:p>
                  <w:pPr>
                    <w:pStyle w:val="184"/>
                    <w:rPr>
                      <w:rFonts w:hint="eastAsia" w:ascii="Times New Roman" w:hAnsi="Times New Roman"/>
                      <w:szCs w:val="16"/>
                    </w:rPr>
                  </w:pPr>
                </w:p>
              </w:tc>
              <w:tc>
                <w:tcPr>
                  <w:tcW w:w="900" w:type="dxa"/>
                  <w:tcBorders>
                    <w:tl2br w:val="nil"/>
                    <w:tr2bl w:val="nil"/>
                  </w:tcBorders>
                  <w:noWrap w:val="0"/>
                  <w:vAlign w:val="center"/>
                </w:tcPr>
                <w:p>
                  <w:pPr>
                    <w:pStyle w:val="184"/>
                    <w:rPr>
                      <w:rFonts w:hint="eastAsia" w:ascii="Times New Roman" w:hAnsi="Times New Roman"/>
                      <w:szCs w:val="16"/>
                    </w:rPr>
                  </w:pPr>
                  <w:r>
                    <w:rPr>
                      <w:rFonts w:hint="eastAsia" w:ascii="Times New Roman" w:hAnsi="Times New Roman"/>
                      <w:szCs w:val="16"/>
                    </w:rPr>
                    <w:t>生活垃圾</w:t>
                  </w:r>
                </w:p>
              </w:tc>
              <w:tc>
                <w:tcPr>
                  <w:tcW w:w="2167" w:type="dxa"/>
                  <w:tcBorders>
                    <w:tl2br w:val="nil"/>
                    <w:tr2bl w:val="nil"/>
                  </w:tcBorders>
                  <w:noWrap w:val="0"/>
                  <w:vAlign w:val="center"/>
                </w:tcPr>
                <w:p>
                  <w:pPr>
                    <w:pStyle w:val="184"/>
                    <w:rPr>
                      <w:rFonts w:hint="eastAsia" w:ascii="Times New Roman" w:hAnsi="Times New Roman"/>
                      <w:szCs w:val="16"/>
                    </w:rPr>
                  </w:pPr>
                  <w:r>
                    <w:rPr>
                      <w:rFonts w:hint="eastAsia" w:ascii="Times New Roman" w:hAnsi="Times New Roman"/>
                      <w:szCs w:val="16"/>
                    </w:rPr>
                    <w:t>垃圾桶收集后交当地环卫部门清运</w:t>
                  </w:r>
                </w:p>
              </w:tc>
              <w:tc>
                <w:tcPr>
                  <w:tcW w:w="2367" w:type="dxa"/>
                  <w:vMerge w:val="continue"/>
                  <w:tcBorders>
                    <w:tl2br w:val="nil"/>
                    <w:tr2bl w:val="nil"/>
                  </w:tcBorders>
                  <w:noWrap w:val="0"/>
                  <w:vAlign w:val="center"/>
                </w:tcPr>
                <w:p>
                  <w:pPr>
                    <w:jc w:val="center"/>
                    <w:rPr>
                      <w:rFonts w:hint="eastAsia"/>
                      <w:kern w:val="0"/>
                      <w:szCs w:val="16"/>
                    </w:rPr>
                  </w:pPr>
                </w:p>
              </w:tc>
              <w:tc>
                <w:tcPr>
                  <w:tcW w:w="1280" w:type="dxa"/>
                  <w:tcBorders>
                    <w:tl2br w:val="nil"/>
                    <w:tr2bl w:val="nil"/>
                  </w:tcBorders>
                  <w:noWrap w:val="0"/>
                  <w:vAlign w:val="center"/>
                </w:tcPr>
                <w:p>
                  <w:pPr>
                    <w:jc w:val="center"/>
                    <w:rPr>
                      <w:rFonts w:hint="eastAsia"/>
                      <w:kern w:val="0"/>
                      <w:szCs w:val="16"/>
                    </w:rPr>
                  </w:pPr>
                  <w:r>
                    <w:rPr>
                      <w:rFonts w:hint="eastAsia"/>
                      <w:kern w:val="0"/>
                      <w:szCs w:val="16"/>
                    </w:rPr>
                    <w:t>满足要求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641" w:type="dxa"/>
                  <w:vMerge w:val="continue"/>
                  <w:tcBorders>
                    <w:tl2br w:val="nil"/>
                    <w:tr2bl w:val="nil"/>
                  </w:tcBorders>
                  <w:noWrap w:val="0"/>
                  <w:vAlign w:val="center"/>
                </w:tcPr>
                <w:p>
                  <w:pPr>
                    <w:pStyle w:val="184"/>
                    <w:rPr>
                      <w:rFonts w:hint="eastAsia" w:ascii="Times New Roman" w:hAnsi="Times New Roman"/>
                      <w:szCs w:val="16"/>
                    </w:rPr>
                  </w:pPr>
                </w:p>
              </w:tc>
              <w:tc>
                <w:tcPr>
                  <w:tcW w:w="683" w:type="dxa"/>
                  <w:tcBorders>
                    <w:tl2br w:val="nil"/>
                    <w:tr2bl w:val="nil"/>
                  </w:tcBorders>
                  <w:noWrap w:val="0"/>
                  <w:vAlign w:val="center"/>
                </w:tcPr>
                <w:p>
                  <w:pPr>
                    <w:pStyle w:val="184"/>
                    <w:rPr>
                      <w:rFonts w:hint="eastAsia" w:ascii="Times New Roman" w:hAnsi="Times New Roman" w:eastAsia="宋体"/>
                      <w:szCs w:val="16"/>
                      <w:lang w:eastAsia="zh-CN"/>
                    </w:rPr>
                  </w:pPr>
                  <w:r>
                    <w:rPr>
                      <w:rFonts w:hint="eastAsia" w:ascii="Times New Roman" w:hAnsi="Times New Roman"/>
                      <w:szCs w:val="16"/>
                      <w:lang w:eastAsia="zh-CN"/>
                    </w:rPr>
                    <w:t>风险措施</w:t>
                  </w:r>
                </w:p>
              </w:tc>
              <w:tc>
                <w:tcPr>
                  <w:tcW w:w="900" w:type="dxa"/>
                  <w:tcBorders>
                    <w:tl2br w:val="nil"/>
                    <w:tr2bl w:val="nil"/>
                  </w:tcBorders>
                  <w:noWrap w:val="0"/>
                  <w:vAlign w:val="center"/>
                </w:tcPr>
                <w:p>
                  <w:pPr>
                    <w:pStyle w:val="184"/>
                    <w:rPr>
                      <w:rFonts w:hint="eastAsia" w:ascii="Times New Roman" w:hAnsi="Times New Roman"/>
                      <w:szCs w:val="16"/>
                    </w:rPr>
                  </w:pPr>
                  <w:r>
                    <w:rPr>
                      <w:rFonts w:hint="eastAsia" w:ascii="Times New Roman" w:hAnsi="Times New Roman"/>
                      <w:szCs w:val="16"/>
                    </w:rPr>
                    <w:t>事故应急池</w:t>
                  </w:r>
                </w:p>
              </w:tc>
              <w:tc>
                <w:tcPr>
                  <w:tcW w:w="2167" w:type="dxa"/>
                  <w:tcBorders>
                    <w:tl2br w:val="nil"/>
                    <w:tr2bl w:val="nil"/>
                  </w:tcBorders>
                  <w:noWrap w:val="0"/>
                  <w:vAlign w:val="center"/>
                </w:tcPr>
                <w:p>
                  <w:pPr>
                    <w:pStyle w:val="184"/>
                    <w:rPr>
                      <w:rFonts w:ascii="Times New Roman" w:hAnsi="Times New Roman"/>
                      <w:szCs w:val="16"/>
                    </w:rPr>
                  </w:pPr>
                  <w:r>
                    <w:rPr>
                      <w:rFonts w:hint="eastAsia" w:ascii="Times New Roman" w:hAnsi="Times New Roman"/>
                      <w:szCs w:val="16"/>
                    </w:rPr>
                    <w:t>1个，30m</w:t>
                  </w:r>
                  <w:r>
                    <w:rPr>
                      <w:rFonts w:hint="eastAsia" w:ascii="Times New Roman" w:hAnsi="Times New Roman"/>
                      <w:szCs w:val="16"/>
                      <w:vertAlign w:val="superscript"/>
                    </w:rPr>
                    <w:t>3</w:t>
                  </w:r>
                </w:p>
              </w:tc>
              <w:tc>
                <w:tcPr>
                  <w:tcW w:w="2367" w:type="dxa"/>
                  <w:tcBorders>
                    <w:tl2br w:val="nil"/>
                    <w:tr2bl w:val="nil"/>
                  </w:tcBorders>
                  <w:noWrap w:val="0"/>
                  <w:vAlign w:val="center"/>
                </w:tcPr>
                <w:p>
                  <w:pPr>
                    <w:jc w:val="center"/>
                    <w:rPr>
                      <w:rFonts w:hint="eastAsia" w:eastAsia="宋体"/>
                      <w:kern w:val="0"/>
                      <w:szCs w:val="16"/>
                      <w:lang w:eastAsia="zh-CN"/>
                    </w:rPr>
                  </w:pPr>
                  <w:r>
                    <w:rPr>
                      <w:rFonts w:hint="eastAsia"/>
                      <w:kern w:val="0"/>
                      <w:szCs w:val="16"/>
                      <w:lang w:eastAsia="zh-CN"/>
                    </w:rPr>
                    <w:t>已有风险防范措施满足扩建要求</w:t>
                  </w:r>
                </w:p>
              </w:tc>
              <w:tc>
                <w:tcPr>
                  <w:tcW w:w="1280" w:type="dxa"/>
                  <w:tcBorders>
                    <w:tl2br w:val="nil"/>
                    <w:tr2bl w:val="nil"/>
                  </w:tcBorders>
                  <w:noWrap w:val="0"/>
                  <w:vAlign w:val="center"/>
                </w:tcPr>
                <w:p>
                  <w:pPr>
                    <w:jc w:val="center"/>
                    <w:rPr>
                      <w:rFonts w:hint="eastAsia"/>
                      <w:kern w:val="0"/>
                      <w:szCs w:val="16"/>
                    </w:rPr>
                  </w:pPr>
                  <w:r>
                    <w:rPr>
                      <w:rFonts w:hint="eastAsia"/>
                      <w:kern w:val="0"/>
                      <w:szCs w:val="16"/>
                    </w:rPr>
                    <w:t>满足要求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8038" w:type="dxa"/>
                  <w:gridSpan w:val="6"/>
                  <w:tcBorders>
                    <w:tl2br w:val="nil"/>
                    <w:tr2bl w:val="nil"/>
                  </w:tcBorders>
                  <w:noWrap w:val="0"/>
                  <w:vAlign w:val="center"/>
                </w:tcPr>
                <w:p>
                  <w:pPr>
                    <w:pStyle w:val="72"/>
                    <w:spacing w:line="240" w:lineRule="auto"/>
                    <w:ind w:firstLine="422"/>
                    <w:rPr>
                      <w:rFonts w:hint="default" w:ascii="Times New Roman" w:hAnsi="Times New Roman" w:eastAsia="宋体"/>
                      <w:b/>
                      <w:bCs/>
                      <w:sz w:val="21"/>
                      <w:szCs w:val="16"/>
                      <w:lang w:val="en-US"/>
                    </w:rPr>
                  </w:pPr>
                  <w:r>
                    <w:rPr>
                      <w:rFonts w:hint="eastAsia" w:ascii="Times New Roman" w:hAnsi="Times New Roman" w:eastAsia="宋体"/>
                      <w:b/>
                      <w:bCs/>
                      <w:sz w:val="21"/>
                      <w:szCs w:val="16"/>
                    </w:rPr>
                    <w:t>注：1.本次床位扩建项目增加的床位主要建设于门诊楼</w:t>
                  </w:r>
                  <w:r>
                    <w:rPr>
                      <w:rFonts w:hint="eastAsia"/>
                      <w:b/>
                      <w:bCs/>
                      <w:sz w:val="21"/>
                      <w:szCs w:val="16"/>
                      <w:lang w:val="en-US" w:eastAsia="zh-CN"/>
                    </w:rPr>
                    <w:t>1、3层和西面住院楼的2层</w:t>
                  </w:r>
                  <w:r>
                    <w:rPr>
                      <w:rFonts w:hint="eastAsia" w:ascii="Times New Roman" w:hAnsi="Times New Roman" w:eastAsia="宋体"/>
                      <w:b/>
                      <w:bCs/>
                      <w:sz w:val="21"/>
                      <w:szCs w:val="16"/>
                    </w:rPr>
                    <w:t>，不进行土建，仅进行简单装修和安装床位设备；</w:t>
                  </w:r>
                  <w:r>
                    <w:rPr>
                      <w:rFonts w:hint="eastAsia" w:ascii="Times New Roman" w:hAnsi="Times New Roman" w:eastAsia="宋体"/>
                      <w:b/>
                      <w:bCs/>
                      <w:sz w:val="21"/>
                      <w:szCs w:val="16"/>
                      <w:lang w:val="en-US" w:eastAsia="zh-CN"/>
                    </w:rPr>
                    <w:t>本次床位扩建不增加门诊病人，仅是住院病人的增加</w:t>
                  </w:r>
                  <w:r>
                    <w:rPr>
                      <w:rFonts w:hint="eastAsia"/>
                      <w:b/>
                      <w:bCs/>
                      <w:sz w:val="21"/>
                      <w:szCs w:val="16"/>
                      <w:lang w:val="en-US" w:eastAsia="zh-CN"/>
                    </w:rPr>
                    <w:t>；扩建前闲置住院楼（3号楼）投入使用；</w:t>
                  </w:r>
                </w:p>
                <w:p>
                  <w:pPr>
                    <w:jc w:val="both"/>
                    <w:rPr>
                      <w:rFonts w:hint="eastAsia"/>
                      <w:kern w:val="0"/>
                      <w:szCs w:val="16"/>
                    </w:rPr>
                  </w:pPr>
                  <w:r>
                    <w:rPr>
                      <w:rFonts w:hint="eastAsia" w:ascii="Times New Roman" w:hAnsi="Times New Roman" w:eastAsia="宋体"/>
                      <w:b/>
                      <w:bCs/>
                      <w:sz w:val="21"/>
                      <w:szCs w:val="16"/>
                      <w:lang w:val="en-US" w:eastAsia="zh-CN"/>
                    </w:rPr>
                    <w:t xml:space="preserve">        </w:t>
                  </w:r>
                  <w:r>
                    <w:rPr>
                      <w:rFonts w:hint="eastAsia" w:ascii="Times New Roman" w:hAnsi="Times New Roman" w:eastAsia="宋体"/>
                      <w:b/>
                      <w:bCs/>
                      <w:sz w:val="21"/>
                      <w:szCs w:val="16"/>
                    </w:rPr>
                    <w:t>2.巴川精神病医院化粪池总共有3个，本项目扩建前投入使用的有2个，本项目扩建后闲置的</w:t>
                  </w:r>
                  <w:r>
                    <w:rPr>
                      <w:rFonts w:hint="eastAsia" w:ascii="Times New Roman" w:hAnsi="Times New Roman" w:eastAsia="宋体"/>
                      <w:b/>
                      <w:bCs/>
                      <w:sz w:val="21"/>
                      <w:szCs w:val="16"/>
                      <w:lang w:val="en-US" w:eastAsia="zh-CN"/>
                    </w:rPr>
                    <w:t>1个</w:t>
                  </w:r>
                  <w:r>
                    <w:rPr>
                      <w:rFonts w:hint="eastAsia" w:ascii="Times New Roman" w:hAnsi="Times New Roman" w:eastAsia="宋体"/>
                      <w:b/>
                      <w:bCs/>
                      <w:sz w:val="21"/>
                      <w:szCs w:val="16"/>
                    </w:rPr>
                    <w:t>化粪池投入使用</w:t>
                  </w:r>
                  <w:r>
                    <w:rPr>
                      <w:rFonts w:hint="eastAsia" w:ascii="Times New Roman" w:hAnsi="Times New Roman" w:eastAsia="宋体"/>
                      <w:b/>
                      <w:bCs/>
                      <w:sz w:val="21"/>
                      <w:szCs w:val="16"/>
                      <w:lang w:eastAsia="zh-CN"/>
                    </w:rPr>
                    <w:t>；同时增加消毒药剂投加量。</w:t>
                  </w:r>
                </w:p>
              </w:tc>
            </w:tr>
          </w:tbl>
          <w:p>
            <w:pPr>
              <w:pStyle w:val="72"/>
              <w:ind w:firstLine="480"/>
              <w:rPr>
                <w:rFonts w:hint="default" w:eastAsia="宋体"/>
                <w:lang w:val="en-US" w:eastAsia="zh-CN"/>
              </w:rPr>
            </w:pPr>
            <w:r>
              <w:rPr>
                <w:rFonts w:hint="eastAsia"/>
                <w:lang w:eastAsia="zh-CN"/>
              </w:rPr>
              <w:t>结合业主提供资料及实际运营情况，本项目扩建床位完成后，全院的项目组成及主要环境问题见表</w:t>
            </w:r>
            <w:r>
              <w:rPr>
                <w:rFonts w:hint="eastAsia"/>
                <w:lang w:val="en-US" w:eastAsia="zh-CN"/>
              </w:rPr>
              <w:t>2-3。</w:t>
            </w:r>
          </w:p>
          <w:p>
            <w:pPr>
              <w:pStyle w:val="72"/>
              <w:spacing w:line="240" w:lineRule="auto"/>
              <w:ind w:firstLine="480"/>
              <w:jc w:val="center"/>
              <w:rPr>
                <w:rFonts w:hint="eastAsia" w:eastAsia="宋体"/>
                <w:lang w:eastAsia="zh-CN"/>
              </w:rPr>
            </w:pPr>
            <w:r>
              <w:rPr>
                <w:rFonts w:hint="eastAsia"/>
                <w:b/>
                <w:bCs/>
                <w:sz w:val="21"/>
                <w:szCs w:val="16"/>
                <w:lang w:eastAsia="zh-CN"/>
              </w:rPr>
              <w:t>表</w:t>
            </w:r>
            <w:r>
              <w:rPr>
                <w:rFonts w:hint="eastAsia"/>
                <w:b/>
                <w:bCs/>
                <w:sz w:val="21"/>
                <w:szCs w:val="16"/>
                <w:lang w:val="en-US" w:eastAsia="zh-CN"/>
              </w:rPr>
              <w:t xml:space="preserve">2-3  </w:t>
            </w:r>
            <w:r>
              <w:rPr>
                <w:rFonts w:hint="eastAsia"/>
                <w:b/>
                <w:bCs/>
                <w:sz w:val="21"/>
                <w:szCs w:val="16"/>
                <w:lang w:eastAsia="zh-CN"/>
              </w:rPr>
              <w:t>扩建后全院项目组成及主要环境问题</w:t>
            </w:r>
          </w:p>
          <w:tbl>
            <w:tblPr>
              <w:tblStyle w:val="41"/>
              <w:tblW w:w="803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7"/>
              <w:gridCol w:w="807"/>
              <w:gridCol w:w="540"/>
              <w:gridCol w:w="4290"/>
              <w:gridCol w:w="867"/>
              <w:gridCol w:w="8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4" w:hRule="atLeast"/>
                <w:jc w:val="center"/>
              </w:trPr>
              <w:tc>
                <w:tcPr>
                  <w:tcW w:w="452" w:type="pct"/>
                  <w:tcBorders>
                    <w:bottom w:val="single" w:color="auto" w:sz="12" w:space="0"/>
                  </w:tcBorders>
                  <w:noWrap w:val="0"/>
                  <w:vAlign w:val="center"/>
                </w:tcPr>
                <w:p>
                  <w:pPr>
                    <w:pStyle w:val="129"/>
                    <w:rPr>
                      <w:b/>
                    </w:rPr>
                  </w:pPr>
                  <w:r>
                    <w:rPr>
                      <w:b/>
                    </w:rPr>
                    <w:t>项目组成</w:t>
                  </w:r>
                </w:p>
              </w:tc>
              <w:tc>
                <w:tcPr>
                  <w:tcW w:w="3509" w:type="pct"/>
                  <w:gridSpan w:val="3"/>
                  <w:tcBorders>
                    <w:bottom w:val="single" w:color="auto" w:sz="12" w:space="0"/>
                  </w:tcBorders>
                  <w:noWrap w:val="0"/>
                  <w:vAlign w:val="center"/>
                </w:tcPr>
                <w:p>
                  <w:pPr>
                    <w:pStyle w:val="129"/>
                    <w:rPr>
                      <w:b/>
                    </w:rPr>
                  </w:pPr>
                  <w:r>
                    <w:rPr>
                      <w:b/>
                    </w:rPr>
                    <w:t>工程内容</w:t>
                  </w:r>
                </w:p>
              </w:tc>
              <w:tc>
                <w:tcPr>
                  <w:tcW w:w="539" w:type="pct"/>
                  <w:tcBorders>
                    <w:bottom w:val="single" w:color="auto" w:sz="12" w:space="0"/>
                  </w:tcBorders>
                  <w:noWrap w:val="0"/>
                  <w:vAlign w:val="center"/>
                </w:tcPr>
                <w:p>
                  <w:pPr>
                    <w:pStyle w:val="129"/>
                    <w:rPr>
                      <w:b/>
                    </w:rPr>
                  </w:pPr>
                  <w:r>
                    <w:rPr>
                      <w:b/>
                    </w:rPr>
                    <w:t>主要环境问题</w:t>
                  </w:r>
                </w:p>
              </w:tc>
              <w:tc>
                <w:tcPr>
                  <w:tcW w:w="498" w:type="pct"/>
                  <w:noWrap w:val="0"/>
                  <w:vAlign w:val="center"/>
                </w:tcPr>
                <w:p>
                  <w:pPr>
                    <w:pStyle w:val="129"/>
                    <w:jc w:val="center"/>
                    <w:rPr>
                      <w:b/>
                    </w:rPr>
                  </w:pPr>
                  <w:r>
                    <w:rPr>
                      <w:rFonts w:hint="eastAsia"/>
                      <w:b/>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55" w:hRule="atLeast"/>
                <w:jc w:val="center"/>
              </w:trPr>
              <w:tc>
                <w:tcPr>
                  <w:tcW w:w="452" w:type="pct"/>
                  <w:vMerge w:val="restart"/>
                  <w:tcBorders>
                    <w:top w:val="single" w:color="auto" w:sz="12" w:space="0"/>
                  </w:tcBorders>
                  <w:noWrap w:val="0"/>
                  <w:vAlign w:val="center"/>
                </w:tcPr>
                <w:p>
                  <w:pPr>
                    <w:adjustRightInd w:val="0"/>
                    <w:jc w:val="center"/>
                    <w:rPr>
                      <w:rFonts w:hint="default" w:eastAsia="宋体"/>
                      <w:szCs w:val="21"/>
                      <w:lang w:val="en-US" w:eastAsia="zh-CN"/>
                    </w:rPr>
                  </w:pPr>
                  <w:r>
                    <w:rPr>
                      <w:rFonts w:hint="eastAsia"/>
                    </w:rPr>
                    <w:t>主体工程</w:t>
                  </w:r>
                </w:p>
              </w:tc>
              <w:tc>
                <w:tcPr>
                  <w:tcW w:w="502" w:type="pct"/>
                  <w:vMerge w:val="restart"/>
                  <w:tcBorders>
                    <w:top w:val="single" w:color="auto" w:sz="12" w:space="0"/>
                  </w:tcBorders>
                  <w:noWrap w:val="0"/>
                  <w:vAlign w:val="center"/>
                </w:tcPr>
                <w:p>
                  <w:pPr>
                    <w:adjustRightInd w:val="0"/>
                    <w:jc w:val="center"/>
                    <w:rPr>
                      <w:rFonts w:hint="default" w:eastAsia="宋体"/>
                      <w:szCs w:val="21"/>
                      <w:lang w:val="en-US" w:eastAsia="zh-CN"/>
                    </w:rPr>
                  </w:pPr>
                  <w:r>
                    <w:rPr>
                      <w:rFonts w:hint="eastAsia"/>
                      <w:szCs w:val="21"/>
                    </w:rPr>
                    <w:t>门诊</w:t>
                  </w:r>
                  <w:r>
                    <w:rPr>
                      <w:rFonts w:hint="eastAsia"/>
                      <w:szCs w:val="21"/>
                      <w:lang w:eastAsia="zh-CN"/>
                    </w:rPr>
                    <w:t>楼（</w:t>
                  </w:r>
                  <w:r>
                    <w:rPr>
                      <w:rFonts w:hint="eastAsia"/>
                      <w:szCs w:val="21"/>
                      <w:lang w:val="en-US" w:eastAsia="zh-CN"/>
                    </w:rPr>
                    <w:t>2号楼</w:t>
                  </w:r>
                  <w:r>
                    <w:rPr>
                      <w:rFonts w:hint="eastAsia"/>
                      <w:szCs w:val="21"/>
                      <w:lang w:eastAsia="zh-CN"/>
                    </w:rPr>
                    <w:t>）</w:t>
                  </w:r>
                </w:p>
              </w:tc>
              <w:tc>
                <w:tcPr>
                  <w:tcW w:w="3007" w:type="pct"/>
                  <w:gridSpan w:val="2"/>
                  <w:tcBorders>
                    <w:top w:val="single" w:color="auto" w:sz="12" w:space="0"/>
                  </w:tcBorders>
                  <w:noWrap w:val="0"/>
                  <w:vAlign w:val="center"/>
                </w:tcPr>
                <w:p>
                  <w:pPr>
                    <w:adjustRightInd w:val="0"/>
                    <w:jc w:val="center"/>
                    <w:rPr>
                      <w:rFonts w:hint="eastAsia"/>
                      <w:szCs w:val="21"/>
                      <w:lang w:val="en-US" w:eastAsia="zh-CN"/>
                    </w:rPr>
                  </w:pPr>
                  <w:r>
                    <w:rPr>
                      <w:rFonts w:hint="eastAsia"/>
                      <w:szCs w:val="21"/>
                      <w:lang w:val="en-US" w:eastAsia="zh-CN"/>
                    </w:rPr>
                    <w:t>1栋3F</w:t>
                  </w:r>
                  <w:r>
                    <w:rPr>
                      <w:rFonts w:hint="eastAsia"/>
                      <w:szCs w:val="21"/>
                    </w:rPr>
                    <w:t>门诊</w:t>
                  </w:r>
                  <w:r>
                    <w:rPr>
                      <w:rFonts w:hint="eastAsia"/>
                      <w:szCs w:val="21"/>
                      <w:lang w:eastAsia="zh-CN"/>
                    </w:rPr>
                    <w:t>楼（</w:t>
                  </w:r>
                  <w:r>
                    <w:rPr>
                      <w:rFonts w:hint="eastAsia"/>
                      <w:szCs w:val="21"/>
                      <w:lang w:val="en-US" w:eastAsia="zh-CN"/>
                    </w:rPr>
                    <w:t>1号楼</w:t>
                  </w:r>
                  <w:r>
                    <w:rPr>
                      <w:rFonts w:hint="eastAsia"/>
                      <w:szCs w:val="21"/>
                      <w:lang w:eastAsia="zh-CN"/>
                    </w:rPr>
                    <w:t>）</w:t>
                  </w:r>
                  <w:r>
                    <w:rPr>
                      <w:rFonts w:hint="eastAsia"/>
                      <w:szCs w:val="21"/>
                      <w:lang w:val="en-US" w:eastAsia="zh-CN"/>
                    </w:rPr>
                    <w:t>，位于项目南侧，总建筑面积约1500m</w:t>
                  </w:r>
                  <w:r>
                    <w:rPr>
                      <w:rFonts w:hint="eastAsia"/>
                      <w:szCs w:val="21"/>
                      <w:vertAlign w:val="superscript"/>
                      <w:lang w:val="en-US" w:eastAsia="zh-CN"/>
                    </w:rPr>
                    <w:t>2</w:t>
                  </w:r>
                </w:p>
              </w:tc>
              <w:tc>
                <w:tcPr>
                  <w:tcW w:w="539" w:type="pct"/>
                  <w:vMerge w:val="restart"/>
                  <w:tcBorders>
                    <w:top w:val="single" w:color="auto" w:sz="12" w:space="0"/>
                  </w:tcBorders>
                  <w:noWrap w:val="0"/>
                  <w:vAlign w:val="center"/>
                </w:tcPr>
                <w:p>
                  <w:pPr>
                    <w:pStyle w:val="129"/>
                    <w:jc w:val="left"/>
                    <w:rPr>
                      <w:rFonts w:hint="eastAsia" w:eastAsia="宋体"/>
                      <w:lang w:eastAsia="zh-CN"/>
                    </w:rPr>
                  </w:pPr>
                  <w:r>
                    <w:rPr>
                      <w:rFonts w:hint="eastAsia" w:ascii="宋体" w:hAnsi="宋体" w:cs="宋体"/>
                      <w:lang w:eastAsia="zh-CN"/>
                    </w:rPr>
                    <w:t>废水、固废、噪声</w:t>
                  </w:r>
                </w:p>
              </w:tc>
              <w:tc>
                <w:tcPr>
                  <w:tcW w:w="498" w:type="pct"/>
                  <w:tcBorders>
                    <w:top w:val="single" w:color="auto" w:sz="12" w:space="0"/>
                  </w:tcBorders>
                  <w:noWrap w:val="0"/>
                  <w:vAlign w:val="center"/>
                </w:tcPr>
                <w:p>
                  <w:pPr>
                    <w:pStyle w:val="129"/>
                    <w:jc w:val="center"/>
                    <w:rPr>
                      <w:rFonts w:hint="eastAsia" w:eastAsia="宋体"/>
                      <w:lang w:eastAsia="zh-CN"/>
                    </w:rP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5" w:hRule="atLeast"/>
                <w:jc w:val="center"/>
              </w:trPr>
              <w:tc>
                <w:tcPr>
                  <w:tcW w:w="452" w:type="pct"/>
                  <w:vMerge w:val="continue"/>
                  <w:noWrap w:val="0"/>
                  <w:vAlign w:val="center"/>
                </w:tcPr>
                <w:p>
                  <w:pPr>
                    <w:adjustRightInd w:val="0"/>
                    <w:jc w:val="center"/>
                    <w:rPr>
                      <w:rFonts w:hint="eastAsia"/>
                      <w:szCs w:val="21"/>
                    </w:rPr>
                  </w:pPr>
                </w:p>
              </w:tc>
              <w:tc>
                <w:tcPr>
                  <w:tcW w:w="502" w:type="pct"/>
                  <w:vMerge w:val="continue"/>
                  <w:noWrap w:val="0"/>
                  <w:vAlign w:val="center"/>
                </w:tcPr>
                <w:p>
                  <w:pPr>
                    <w:adjustRightInd w:val="0"/>
                    <w:jc w:val="center"/>
                    <w:rPr>
                      <w:rFonts w:hint="eastAsia" w:eastAsia="宋体"/>
                      <w:kern w:val="2"/>
                      <w:sz w:val="21"/>
                      <w:szCs w:val="21"/>
                      <w:lang w:val="en-US" w:eastAsia="zh-CN" w:bidi="ar-SA"/>
                    </w:rPr>
                  </w:pPr>
                </w:p>
              </w:tc>
              <w:tc>
                <w:tcPr>
                  <w:tcW w:w="336" w:type="pct"/>
                  <w:tcBorders>
                    <w:top w:val="single" w:color="auto" w:sz="12" w:space="0"/>
                  </w:tcBorders>
                  <w:noWrap w:val="0"/>
                  <w:vAlign w:val="center"/>
                </w:tcPr>
                <w:p>
                  <w:pPr>
                    <w:adjustRightInd w:val="0"/>
                    <w:jc w:val="center"/>
                    <w:rPr>
                      <w:rFonts w:hint="eastAsia"/>
                      <w:szCs w:val="21"/>
                      <w:lang w:val="en-US" w:eastAsia="zh-CN"/>
                    </w:rPr>
                  </w:pPr>
                  <w:r>
                    <w:rPr>
                      <w:rFonts w:hint="eastAsia"/>
                      <w:szCs w:val="21"/>
                      <w:lang w:val="en-US" w:eastAsia="zh-CN"/>
                    </w:rPr>
                    <w:t>1F</w:t>
                  </w:r>
                </w:p>
              </w:tc>
              <w:tc>
                <w:tcPr>
                  <w:tcW w:w="2670" w:type="pct"/>
                  <w:tcBorders>
                    <w:top w:val="single" w:color="auto" w:sz="12" w:space="0"/>
                  </w:tcBorders>
                  <w:noWrap w:val="0"/>
                  <w:vAlign w:val="center"/>
                </w:tcPr>
                <w:p>
                  <w:pPr>
                    <w:adjustRightInd w:val="0"/>
                    <w:jc w:val="center"/>
                    <w:rPr>
                      <w:rFonts w:hint="eastAsia" w:eastAsia="宋体"/>
                      <w:kern w:val="2"/>
                      <w:sz w:val="21"/>
                      <w:szCs w:val="21"/>
                      <w:lang w:val="en-US" w:eastAsia="zh-CN" w:bidi="ar-SA"/>
                    </w:rPr>
                  </w:pPr>
                  <w:r>
                    <w:rPr>
                      <w:rFonts w:hint="eastAsia"/>
                      <w:szCs w:val="21"/>
                      <w:lang w:eastAsia="zh-CN"/>
                    </w:rPr>
                    <w:t>建筑面积约</w:t>
                  </w:r>
                  <w:r>
                    <w:rPr>
                      <w:rFonts w:hint="eastAsia"/>
                      <w:szCs w:val="21"/>
                      <w:lang w:val="en-US" w:eastAsia="zh-CN"/>
                    </w:rPr>
                    <w:t>620m</w:t>
                  </w:r>
                  <w:r>
                    <w:rPr>
                      <w:rFonts w:hint="eastAsia"/>
                      <w:szCs w:val="21"/>
                      <w:vertAlign w:val="superscript"/>
                      <w:lang w:val="en-US" w:eastAsia="zh-CN"/>
                    </w:rPr>
                    <w:t>2</w:t>
                  </w:r>
                  <w:r>
                    <w:rPr>
                      <w:rFonts w:hint="eastAsia"/>
                      <w:szCs w:val="21"/>
                      <w:lang w:val="en-US" w:eastAsia="zh-CN"/>
                    </w:rPr>
                    <w:t>，设医疗废物暂存间、门诊室、收费室、药房、财务室、办公室、会议室、杂物间、医务科、门卫室、病房，</w:t>
                  </w:r>
                  <w:r>
                    <w:rPr>
                      <w:rFonts w:hint="eastAsia"/>
                      <w:b/>
                      <w:bCs/>
                      <w:szCs w:val="21"/>
                      <w:lang w:val="en-US" w:eastAsia="zh-CN"/>
                    </w:rPr>
                    <w:t>本楼层新增床位22张</w:t>
                  </w:r>
                </w:p>
              </w:tc>
              <w:tc>
                <w:tcPr>
                  <w:tcW w:w="539" w:type="pct"/>
                  <w:vMerge w:val="continue"/>
                  <w:noWrap w:val="0"/>
                  <w:vAlign w:val="center"/>
                </w:tcPr>
                <w:p>
                  <w:pPr>
                    <w:pStyle w:val="129"/>
                    <w:rPr>
                      <w:rFonts w:hint="eastAsia" w:ascii="宋体" w:hAnsi="宋体" w:cs="宋体"/>
                    </w:rPr>
                  </w:pPr>
                </w:p>
              </w:tc>
              <w:tc>
                <w:tcPr>
                  <w:tcW w:w="498" w:type="pct"/>
                  <w:noWrap w:val="0"/>
                  <w:vAlign w:val="center"/>
                </w:tcPr>
                <w:p>
                  <w:pPr>
                    <w:pStyle w:val="129"/>
                    <w:jc w:val="center"/>
                    <w:rPr>
                      <w:rFonts w:hint="default" w:eastAsia="宋体"/>
                      <w:lang w:val="en-US" w:eastAsia="zh-CN"/>
                    </w:rPr>
                  </w:pPr>
                  <w:r>
                    <w:rPr>
                      <w:rFonts w:hint="eastAsia"/>
                      <w:lang w:eastAsia="zh-CN"/>
                    </w:rPr>
                    <w:t>新增床位</w:t>
                  </w:r>
                  <w:r>
                    <w:rPr>
                      <w:rFonts w:hint="eastAsia"/>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1" w:hRule="atLeast"/>
                <w:jc w:val="center"/>
              </w:trPr>
              <w:tc>
                <w:tcPr>
                  <w:tcW w:w="452" w:type="pct"/>
                  <w:vMerge w:val="continue"/>
                  <w:noWrap w:val="0"/>
                  <w:vAlign w:val="center"/>
                </w:tcPr>
                <w:p>
                  <w:pPr>
                    <w:adjustRightInd w:val="0"/>
                    <w:jc w:val="center"/>
                    <w:rPr>
                      <w:rFonts w:hint="eastAsia"/>
                      <w:szCs w:val="21"/>
                    </w:rPr>
                  </w:pPr>
                </w:p>
              </w:tc>
              <w:tc>
                <w:tcPr>
                  <w:tcW w:w="502" w:type="pct"/>
                  <w:vMerge w:val="continue"/>
                  <w:noWrap w:val="0"/>
                  <w:vAlign w:val="center"/>
                </w:tcPr>
                <w:p>
                  <w:pPr>
                    <w:adjustRightInd w:val="0"/>
                    <w:jc w:val="center"/>
                    <w:rPr>
                      <w:rFonts w:hint="default"/>
                      <w:szCs w:val="21"/>
                      <w:lang w:val="en-US" w:eastAsia="zh-CN"/>
                    </w:rPr>
                  </w:pPr>
                </w:p>
              </w:tc>
              <w:tc>
                <w:tcPr>
                  <w:tcW w:w="336" w:type="pct"/>
                  <w:tcBorders>
                    <w:top w:val="single" w:color="auto" w:sz="12" w:space="0"/>
                  </w:tcBorders>
                  <w:noWrap w:val="0"/>
                  <w:vAlign w:val="center"/>
                </w:tcPr>
                <w:p>
                  <w:pPr>
                    <w:adjustRightInd w:val="0"/>
                    <w:jc w:val="center"/>
                    <w:rPr>
                      <w:rFonts w:hint="eastAsia"/>
                      <w:szCs w:val="21"/>
                      <w:lang w:val="en-US" w:eastAsia="zh-CN"/>
                    </w:rPr>
                  </w:pPr>
                  <w:r>
                    <w:rPr>
                      <w:rFonts w:hint="eastAsia"/>
                      <w:szCs w:val="21"/>
                      <w:lang w:val="en-US" w:eastAsia="zh-CN"/>
                    </w:rPr>
                    <w:t>2F</w:t>
                  </w:r>
                </w:p>
              </w:tc>
              <w:tc>
                <w:tcPr>
                  <w:tcW w:w="2670" w:type="pct"/>
                  <w:tcBorders>
                    <w:top w:val="single" w:color="auto" w:sz="12" w:space="0"/>
                  </w:tcBorders>
                  <w:noWrap w:val="0"/>
                  <w:vAlign w:val="center"/>
                </w:tcPr>
                <w:p>
                  <w:pPr>
                    <w:adjustRightInd w:val="0"/>
                    <w:jc w:val="center"/>
                    <w:rPr>
                      <w:rFonts w:hint="default" w:eastAsia="宋体"/>
                      <w:szCs w:val="21"/>
                      <w:lang w:val="en-US" w:eastAsia="zh-CN"/>
                    </w:rPr>
                  </w:pPr>
                  <w:r>
                    <w:rPr>
                      <w:rFonts w:hint="eastAsia"/>
                      <w:szCs w:val="21"/>
                      <w:lang w:eastAsia="zh-CN"/>
                    </w:rPr>
                    <w:t>建筑面积约</w:t>
                  </w:r>
                  <w:r>
                    <w:rPr>
                      <w:rFonts w:hint="eastAsia"/>
                      <w:szCs w:val="21"/>
                      <w:lang w:val="en-US" w:eastAsia="zh-CN"/>
                    </w:rPr>
                    <w:t>520m</w:t>
                  </w:r>
                  <w:r>
                    <w:rPr>
                      <w:rFonts w:hint="eastAsia"/>
                      <w:szCs w:val="21"/>
                      <w:vertAlign w:val="superscript"/>
                      <w:lang w:val="en-US" w:eastAsia="zh-CN"/>
                    </w:rPr>
                    <w:t>2</w:t>
                  </w:r>
                  <w:r>
                    <w:rPr>
                      <w:rFonts w:hint="eastAsia"/>
                      <w:szCs w:val="21"/>
                      <w:lang w:val="en-US" w:eastAsia="zh-CN"/>
                    </w:rPr>
                    <w:t>，设办公室、心理咨询室、保健室、资料室、会议室等</w:t>
                  </w:r>
                </w:p>
              </w:tc>
              <w:tc>
                <w:tcPr>
                  <w:tcW w:w="539" w:type="pct"/>
                  <w:vMerge w:val="continue"/>
                  <w:noWrap w:val="0"/>
                  <w:vAlign w:val="center"/>
                </w:tcPr>
                <w:p>
                  <w:pPr>
                    <w:pStyle w:val="129"/>
                    <w:rPr>
                      <w:rFonts w:hint="eastAsia" w:ascii="宋体" w:hAnsi="宋体" w:cs="宋体"/>
                    </w:rPr>
                  </w:pPr>
                </w:p>
              </w:tc>
              <w:tc>
                <w:tcPr>
                  <w:tcW w:w="498" w:type="pct"/>
                  <w:noWrap w:val="0"/>
                  <w:vAlign w:val="center"/>
                </w:tcPr>
                <w:p>
                  <w:pPr>
                    <w:pStyle w:val="129"/>
                    <w:jc w:val="center"/>
                    <w:rPr>
                      <w:rFonts w:hint="eastAsia"/>
                    </w:rP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72" w:hRule="atLeast"/>
                <w:jc w:val="center"/>
              </w:trPr>
              <w:tc>
                <w:tcPr>
                  <w:tcW w:w="452" w:type="pct"/>
                  <w:vMerge w:val="continue"/>
                  <w:noWrap w:val="0"/>
                  <w:vAlign w:val="center"/>
                </w:tcPr>
                <w:p>
                  <w:pPr>
                    <w:adjustRightInd w:val="0"/>
                    <w:jc w:val="center"/>
                    <w:rPr>
                      <w:rFonts w:hint="eastAsia"/>
                      <w:szCs w:val="21"/>
                    </w:rPr>
                  </w:pPr>
                </w:p>
              </w:tc>
              <w:tc>
                <w:tcPr>
                  <w:tcW w:w="502" w:type="pct"/>
                  <w:vMerge w:val="continue"/>
                  <w:noWrap w:val="0"/>
                  <w:vAlign w:val="center"/>
                </w:tcPr>
                <w:p>
                  <w:pPr>
                    <w:adjustRightInd w:val="0"/>
                    <w:jc w:val="center"/>
                    <w:rPr>
                      <w:rFonts w:hint="default"/>
                      <w:szCs w:val="21"/>
                      <w:lang w:val="en-US" w:eastAsia="zh-CN"/>
                    </w:rPr>
                  </w:pPr>
                </w:p>
              </w:tc>
              <w:tc>
                <w:tcPr>
                  <w:tcW w:w="336" w:type="pct"/>
                  <w:tcBorders>
                    <w:top w:val="single" w:color="auto" w:sz="12" w:space="0"/>
                  </w:tcBorders>
                  <w:noWrap w:val="0"/>
                  <w:vAlign w:val="center"/>
                </w:tcPr>
                <w:p>
                  <w:pPr>
                    <w:adjustRightInd w:val="0"/>
                    <w:jc w:val="center"/>
                    <w:rPr>
                      <w:rFonts w:hint="eastAsia"/>
                      <w:szCs w:val="21"/>
                      <w:lang w:val="en-US" w:eastAsia="zh-CN"/>
                    </w:rPr>
                  </w:pPr>
                  <w:r>
                    <w:rPr>
                      <w:rFonts w:hint="eastAsia"/>
                      <w:szCs w:val="21"/>
                      <w:lang w:val="en-US" w:eastAsia="zh-CN"/>
                    </w:rPr>
                    <w:t>3F</w:t>
                  </w:r>
                </w:p>
              </w:tc>
              <w:tc>
                <w:tcPr>
                  <w:tcW w:w="2670" w:type="pct"/>
                  <w:tcBorders>
                    <w:top w:val="single" w:color="auto" w:sz="12" w:space="0"/>
                  </w:tcBorders>
                  <w:noWrap w:val="0"/>
                  <w:vAlign w:val="center"/>
                </w:tcPr>
                <w:p>
                  <w:pPr>
                    <w:adjustRightInd w:val="0"/>
                    <w:jc w:val="center"/>
                    <w:rPr>
                      <w:rFonts w:hint="default" w:eastAsia="宋体"/>
                      <w:szCs w:val="21"/>
                      <w:lang w:val="en-US" w:eastAsia="zh-CN"/>
                    </w:rPr>
                  </w:pPr>
                  <w:r>
                    <w:rPr>
                      <w:rFonts w:hint="eastAsia"/>
                      <w:szCs w:val="21"/>
                      <w:lang w:eastAsia="zh-CN"/>
                    </w:rPr>
                    <w:t>建筑面积约</w:t>
                  </w:r>
                  <w:r>
                    <w:rPr>
                      <w:rFonts w:hint="eastAsia"/>
                      <w:szCs w:val="21"/>
                      <w:lang w:val="en-US" w:eastAsia="zh-CN"/>
                    </w:rPr>
                    <w:t>320m</w:t>
                  </w:r>
                  <w:r>
                    <w:rPr>
                      <w:rFonts w:hint="eastAsia"/>
                      <w:szCs w:val="21"/>
                      <w:vertAlign w:val="superscript"/>
                      <w:lang w:val="en-US" w:eastAsia="zh-CN"/>
                    </w:rPr>
                    <w:t>2</w:t>
                  </w:r>
                  <w:r>
                    <w:rPr>
                      <w:rFonts w:hint="eastAsia"/>
                      <w:szCs w:val="21"/>
                      <w:lang w:val="en-US" w:eastAsia="zh-CN"/>
                    </w:rPr>
                    <w:t>，设隔离室、病房等，</w:t>
                  </w:r>
                  <w:r>
                    <w:rPr>
                      <w:rFonts w:hint="eastAsia"/>
                      <w:b/>
                      <w:bCs/>
                      <w:szCs w:val="21"/>
                      <w:lang w:val="en-US" w:eastAsia="zh-CN"/>
                    </w:rPr>
                    <w:t>本楼层新增床位39张</w:t>
                  </w:r>
                </w:p>
              </w:tc>
              <w:tc>
                <w:tcPr>
                  <w:tcW w:w="539" w:type="pct"/>
                  <w:vMerge w:val="continue"/>
                  <w:noWrap w:val="0"/>
                  <w:vAlign w:val="center"/>
                </w:tcPr>
                <w:p>
                  <w:pPr>
                    <w:pStyle w:val="129"/>
                    <w:rPr>
                      <w:rFonts w:hint="eastAsia" w:ascii="宋体" w:hAnsi="宋体" w:cs="宋体"/>
                    </w:rPr>
                  </w:pPr>
                </w:p>
              </w:tc>
              <w:tc>
                <w:tcPr>
                  <w:tcW w:w="498" w:type="pct"/>
                  <w:noWrap w:val="0"/>
                  <w:vAlign w:val="center"/>
                </w:tcPr>
                <w:p>
                  <w:pPr>
                    <w:pStyle w:val="129"/>
                    <w:jc w:val="center"/>
                    <w:rPr>
                      <w:rFonts w:hint="eastAsia"/>
                    </w:rPr>
                  </w:pPr>
                  <w:r>
                    <w:rPr>
                      <w:rFonts w:hint="eastAsia"/>
                      <w:lang w:eastAsia="zh-CN"/>
                    </w:rPr>
                    <w:t>新增床位</w:t>
                  </w:r>
                  <w:r>
                    <w:rPr>
                      <w:rFonts w:hint="eastAsia"/>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52" w:type="pct"/>
                  <w:vMerge w:val="continue"/>
                  <w:noWrap w:val="0"/>
                  <w:vAlign w:val="center"/>
                </w:tcPr>
                <w:p>
                  <w:pPr>
                    <w:adjustRightInd w:val="0"/>
                    <w:jc w:val="center"/>
                    <w:rPr>
                      <w:rFonts w:hint="default" w:eastAsia="宋体"/>
                      <w:szCs w:val="21"/>
                      <w:lang w:val="en-US" w:eastAsia="zh-CN"/>
                    </w:rPr>
                  </w:pPr>
                </w:p>
              </w:tc>
              <w:tc>
                <w:tcPr>
                  <w:tcW w:w="502" w:type="pct"/>
                  <w:vMerge w:val="restart"/>
                  <w:noWrap w:val="0"/>
                  <w:vAlign w:val="center"/>
                </w:tcPr>
                <w:p>
                  <w:pPr>
                    <w:adjustRightInd w:val="0"/>
                    <w:jc w:val="center"/>
                    <w:rPr>
                      <w:rFonts w:hint="default" w:eastAsia="宋体"/>
                      <w:szCs w:val="21"/>
                      <w:lang w:val="en-US" w:eastAsia="zh-CN"/>
                    </w:rPr>
                  </w:pPr>
                  <w:r>
                    <w:rPr>
                      <w:rFonts w:hint="eastAsia" w:eastAsia="宋体"/>
                      <w:szCs w:val="21"/>
                      <w:lang w:val="en-US" w:eastAsia="zh-CN"/>
                    </w:rPr>
                    <w:t>住院楼（2号楼）</w:t>
                  </w:r>
                </w:p>
              </w:tc>
              <w:tc>
                <w:tcPr>
                  <w:tcW w:w="3007" w:type="pct"/>
                  <w:gridSpan w:val="2"/>
                  <w:noWrap w:val="0"/>
                  <w:vAlign w:val="center"/>
                </w:tcPr>
                <w:p>
                  <w:pPr>
                    <w:adjustRightInd w:val="0"/>
                    <w:jc w:val="center"/>
                    <w:rPr>
                      <w:rFonts w:hint="eastAsia"/>
                      <w:szCs w:val="21"/>
                      <w:lang w:val="en-US" w:eastAsia="zh-CN"/>
                    </w:rPr>
                  </w:pPr>
                  <w:r>
                    <w:rPr>
                      <w:rFonts w:hint="eastAsia"/>
                      <w:szCs w:val="21"/>
                      <w:lang w:val="en-US" w:eastAsia="zh-CN"/>
                    </w:rPr>
                    <w:t>1栋2F</w:t>
                  </w:r>
                  <w:r>
                    <w:rPr>
                      <w:rFonts w:hint="eastAsia"/>
                      <w:szCs w:val="21"/>
                    </w:rPr>
                    <w:t>住院</w:t>
                  </w:r>
                  <w:r>
                    <w:rPr>
                      <w:rFonts w:hint="eastAsia"/>
                      <w:szCs w:val="21"/>
                      <w:lang w:eastAsia="zh-CN"/>
                    </w:rPr>
                    <w:t>楼（</w:t>
                  </w:r>
                  <w:r>
                    <w:rPr>
                      <w:rFonts w:hint="eastAsia"/>
                      <w:szCs w:val="21"/>
                      <w:lang w:val="en-US" w:eastAsia="zh-CN"/>
                    </w:rPr>
                    <w:t>2号楼</w:t>
                  </w:r>
                  <w:r>
                    <w:rPr>
                      <w:rFonts w:hint="eastAsia"/>
                      <w:szCs w:val="21"/>
                      <w:lang w:eastAsia="zh-CN"/>
                    </w:rPr>
                    <w:t>），位于项目西侧，总建筑面积约</w:t>
                  </w:r>
                  <w:r>
                    <w:rPr>
                      <w:rFonts w:hint="eastAsia"/>
                      <w:szCs w:val="21"/>
                      <w:lang w:val="en-US" w:eastAsia="zh-CN"/>
                    </w:rPr>
                    <w:t>1220m</w:t>
                  </w:r>
                  <w:r>
                    <w:rPr>
                      <w:rFonts w:hint="eastAsia"/>
                      <w:szCs w:val="21"/>
                      <w:vertAlign w:val="superscript"/>
                      <w:lang w:val="en-US" w:eastAsia="zh-CN"/>
                    </w:rPr>
                    <w:t>2</w:t>
                  </w:r>
                </w:p>
              </w:tc>
              <w:tc>
                <w:tcPr>
                  <w:tcW w:w="539" w:type="pct"/>
                  <w:vMerge w:val="continue"/>
                  <w:noWrap w:val="0"/>
                  <w:vAlign w:val="center"/>
                </w:tcPr>
                <w:p>
                  <w:pPr>
                    <w:pStyle w:val="129"/>
                  </w:pPr>
                </w:p>
              </w:tc>
              <w:tc>
                <w:tcPr>
                  <w:tcW w:w="498" w:type="pct"/>
                  <w:noWrap w:val="0"/>
                  <w:vAlign w:val="center"/>
                </w:tcPr>
                <w:p>
                  <w:pPr>
                    <w:jc w:val="cente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52" w:type="pct"/>
                  <w:vMerge w:val="continue"/>
                  <w:noWrap w:val="0"/>
                  <w:vAlign w:val="center"/>
                </w:tcPr>
                <w:p>
                  <w:pPr>
                    <w:adjustRightInd w:val="0"/>
                    <w:jc w:val="center"/>
                    <w:rPr>
                      <w:rFonts w:hint="eastAsia"/>
                      <w:szCs w:val="21"/>
                    </w:rPr>
                  </w:pPr>
                </w:p>
              </w:tc>
              <w:tc>
                <w:tcPr>
                  <w:tcW w:w="502" w:type="pct"/>
                  <w:vMerge w:val="continue"/>
                  <w:noWrap w:val="0"/>
                  <w:vAlign w:val="center"/>
                </w:tcPr>
                <w:p>
                  <w:pPr>
                    <w:adjustRightInd w:val="0"/>
                    <w:jc w:val="center"/>
                    <w:rPr>
                      <w:rFonts w:hint="eastAsia" w:eastAsia="宋体"/>
                      <w:kern w:val="2"/>
                      <w:sz w:val="21"/>
                      <w:szCs w:val="21"/>
                      <w:lang w:val="en-US" w:eastAsia="zh-CN" w:bidi="ar-SA"/>
                    </w:rPr>
                  </w:pPr>
                </w:p>
              </w:tc>
              <w:tc>
                <w:tcPr>
                  <w:tcW w:w="336" w:type="pct"/>
                  <w:noWrap w:val="0"/>
                  <w:vAlign w:val="center"/>
                </w:tcPr>
                <w:p>
                  <w:pPr>
                    <w:adjustRightInd w:val="0"/>
                    <w:jc w:val="center"/>
                    <w:rPr>
                      <w:rFonts w:hint="eastAsia"/>
                      <w:szCs w:val="21"/>
                      <w:lang w:val="en-US" w:eastAsia="zh-CN"/>
                    </w:rPr>
                  </w:pPr>
                  <w:r>
                    <w:rPr>
                      <w:rFonts w:hint="eastAsia"/>
                      <w:szCs w:val="21"/>
                      <w:lang w:val="en-US" w:eastAsia="zh-CN"/>
                    </w:rPr>
                    <w:t>1F</w:t>
                  </w:r>
                </w:p>
              </w:tc>
              <w:tc>
                <w:tcPr>
                  <w:tcW w:w="2670" w:type="pct"/>
                  <w:noWrap w:val="0"/>
                  <w:vAlign w:val="center"/>
                </w:tcPr>
                <w:p>
                  <w:pPr>
                    <w:adjustRightInd w:val="0"/>
                    <w:jc w:val="center"/>
                    <w:rPr>
                      <w:rFonts w:hint="eastAsia" w:eastAsia="宋体"/>
                      <w:kern w:val="2"/>
                      <w:sz w:val="21"/>
                      <w:szCs w:val="21"/>
                      <w:lang w:val="en-US" w:eastAsia="zh-CN" w:bidi="ar-SA"/>
                    </w:rPr>
                  </w:pPr>
                  <w:r>
                    <w:rPr>
                      <w:rFonts w:hint="eastAsia"/>
                      <w:szCs w:val="21"/>
                      <w:lang w:eastAsia="zh-CN"/>
                    </w:rPr>
                    <w:t>建筑面积约</w:t>
                  </w:r>
                  <w:r>
                    <w:rPr>
                      <w:rFonts w:hint="eastAsia"/>
                      <w:szCs w:val="21"/>
                      <w:lang w:val="en-US" w:eastAsia="zh-CN"/>
                    </w:rPr>
                    <w:t>610m</w:t>
                  </w:r>
                  <w:r>
                    <w:rPr>
                      <w:rFonts w:hint="eastAsia"/>
                      <w:szCs w:val="21"/>
                      <w:vertAlign w:val="superscript"/>
                      <w:lang w:val="en-US" w:eastAsia="zh-CN"/>
                    </w:rPr>
                    <w:t>2</w:t>
                  </w:r>
                  <w:r>
                    <w:rPr>
                      <w:rFonts w:hint="eastAsia"/>
                      <w:szCs w:val="21"/>
                      <w:lang w:val="en-US" w:eastAsia="zh-CN"/>
                    </w:rPr>
                    <w:t>，设卫生间、病房等</w:t>
                  </w:r>
                </w:p>
              </w:tc>
              <w:tc>
                <w:tcPr>
                  <w:tcW w:w="539" w:type="pct"/>
                  <w:vMerge w:val="continue"/>
                  <w:noWrap w:val="0"/>
                  <w:vAlign w:val="center"/>
                </w:tcPr>
                <w:p>
                  <w:pPr>
                    <w:pStyle w:val="129"/>
                  </w:pPr>
                </w:p>
              </w:tc>
              <w:tc>
                <w:tcPr>
                  <w:tcW w:w="498" w:type="pct"/>
                  <w:noWrap w:val="0"/>
                  <w:vAlign w:val="center"/>
                </w:tcPr>
                <w:p>
                  <w:pPr>
                    <w:jc w:val="cente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52" w:type="pct"/>
                  <w:vMerge w:val="continue"/>
                  <w:noWrap w:val="0"/>
                  <w:vAlign w:val="center"/>
                </w:tcPr>
                <w:p>
                  <w:pPr>
                    <w:adjustRightInd w:val="0"/>
                    <w:jc w:val="center"/>
                    <w:rPr>
                      <w:rFonts w:hint="eastAsia"/>
                      <w:szCs w:val="21"/>
                    </w:rPr>
                  </w:pPr>
                </w:p>
              </w:tc>
              <w:tc>
                <w:tcPr>
                  <w:tcW w:w="502" w:type="pct"/>
                  <w:vMerge w:val="continue"/>
                  <w:noWrap w:val="0"/>
                  <w:vAlign w:val="center"/>
                </w:tcPr>
                <w:p>
                  <w:pPr>
                    <w:adjustRightInd w:val="0"/>
                    <w:jc w:val="center"/>
                    <w:rPr>
                      <w:rFonts w:hint="default" w:eastAsia="宋体"/>
                      <w:szCs w:val="21"/>
                      <w:lang w:val="en-US" w:eastAsia="zh-CN"/>
                    </w:rPr>
                  </w:pPr>
                </w:p>
              </w:tc>
              <w:tc>
                <w:tcPr>
                  <w:tcW w:w="336" w:type="pct"/>
                  <w:noWrap w:val="0"/>
                  <w:vAlign w:val="center"/>
                </w:tcPr>
                <w:p>
                  <w:pPr>
                    <w:adjustRightInd w:val="0"/>
                    <w:jc w:val="center"/>
                    <w:rPr>
                      <w:rFonts w:hint="eastAsia"/>
                      <w:szCs w:val="21"/>
                      <w:lang w:val="en-US" w:eastAsia="zh-CN"/>
                    </w:rPr>
                  </w:pPr>
                  <w:r>
                    <w:rPr>
                      <w:rFonts w:hint="eastAsia"/>
                      <w:szCs w:val="21"/>
                      <w:lang w:val="en-US" w:eastAsia="zh-CN"/>
                    </w:rPr>
                    <w:t>2F</w:t>
                  </w:r>
                </w:p>
              </w:tc>
              <w:tc>
                <w:tcPr>
                  <w:tcW w:w="2670" w:type="pct"/>
                  <w:noWrap w:val="0"/>
                  <w:vAlign w:val="center"/>
                </w:tcPr>
                <w:p>
                  <w:pPr>
                    <w:adjustRightInd w:val="0"/>
                    <w:jc w:val="center"/>
                    <w:rPr>
                      <w:rFonts w:hint="default"/>
                      <w:szCs w:val="21"/>
                      <w:lang w:val="en-US"/>
                    </w:rPr>
                  </w:pPr>
                  <w:r>
                    <w:rPr>
                      <w:rFonts w:hint="eastAsia"/>
                      <w:szCs w:val="21"/>
                      <w:lang w:eastAsia="zh-CN"/>
                    </w:rPr>
                    <w:t>建筑面积约</w:t>
                  </w:r>
                  <w:r>
                    <w:rPr>
                      <w:rFonts w:hint="eastAsia"/>
                      <w:szCs w:val="21"/>
                      <w:lang w:val="en-US" w:eastAsia="zh-CN"/>
                    </w:rPr>
                    <w:t>610m</w:t>
                  </w:r>
                  <w:r>
                    <w:rPr>
                      <w:rFonts w:hint="eastAsia"/>
                      <w:szCs w:val="21"/>
                      <w:vertAlign w:val="superscript"/>
                      <w:lang w:val="en-US" w:eastAsia="zh-CN"/>
                    </w:rPr>
                    <w:t>2</w:t>
                  </w:r>
                  <w:r>
                    <w:rPr>
                      <w:rFonts w:hint="eastAsia"/>
                      <w:szCs w:val="21"/>
                      <w:lang w:val="en-US" w:eastAsia="zh-CN"/>
                    </w:rPr>
                    <w:t>，设卫生间、病房等，</w:t>
                  </w:r>
                  <w:r>
                    <w:rPr>
                      <w:rFonts w:hint="eastAsia"/>
                      <w:b/>
                      <w:bCs/>
                      <w:szCs w:val="21"/>
                      <w:lang w:val="en-US" w:eastAsia="zh-CN"/>
                    </w:rPr>
                    <w:t>本楼层新增床位49张</w:t>
                  </w:r>
                </w:p>
              </w:tc>
              <w:tc>
                <w:tcPr>
                  <w:tcW w:w="539" w:type="pct"/>
                  <w:vMerge w:val="continue"/>
                  <w:noWrap w:val="0"/>
                  <w:vAlign w:val="center"/>
                </w:tcPr>
                <w:p>
                  <w:pPr>
                    <w:pStyle w:val="129"/>
                  </w:pPr>
                </w:p>
              </w:tc>
              <w:tc>
                <w:tcPr>
                  <w:tcW w:w="498" w:type="pct"/>
                  <w:noWrap w:val="0"/>
                  <w:vAlign w:val="center"/>
                </w:tcPr>
                <w:p>
                  <w:pPr>
                    <w:jc w:val="center"/>
                    <w:rPr>
                      <w:rFonts w:hint="eastAsia"/>
                    </w:rPr>
                  </w:pPr>
                  <w:r>
                    <w:rPr>
                      <w:rFonts w:hint="eastAsia"/>
                      <w:lang w:eastAsia="zh-CN"/>
                    </w:rPr>
                    <w:t>新增床位</w:t>
                  </w:r>
                  <w:r>
                    <w:rPr>
                      <w:rFonts w:hint="eastAsia"/>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34" w:hRule="atLeast"/>
                <w:jc w:val="center"/>
              </w:trPr>
              <w:tc>
                <w:tcPr>
                  <w:tcW w:w="452" w:type="pct"/>
                  <w:vMerge w:val="continue"/>
                  <w:noWrap w:val="0"/>
                  <w:vAlign w:val="center"/>
                </w:tcPr>
                <w:p>
                  <w:pPr>
                    <w:adjustRightInd w:val="0"/>
                    <w:jc w:val="center"/>
                    <w:rPr>
                      <w:rFonts w:hint="eastAsia"/>
                      <w:szCs w:val="21"/>
                    </w:rPr>
                  </w:pPr>
                </w:p>
              </w:tc>
              <w:tc>
                <w:tcPr>
                  <w:tcW w:w="502" w:type="pct"/>
                  <w:noWrap w:val="0"/>
                  <w:vAlign w:val="center"/>
                </w:tcPr>
                <w:p>
                  <w:pPr>
                    <w:adjustRightInd w:val="0"/>
                    <w:jc w:val="center"/>
                    <w:rPr>
                      <w:rFonts w:hint="default"/>
                      <w:szCs w:val="21"/>
                      <w:lang w:val="en-US" w:eastAsia="zh-CN"/>
                    </w:rPr>
                  </w:pPr>
                  <w:r>
                    <w:rPr>
                      <w:rFonts w:hint="eastAsia"/>
                      <w:szCs w:val="21"/>
                      <w:lang w:val="en-US" w:eastAsia="zh-CN"/>
                    </w:rPr>
                    <w:t>住院楼（3号楼）</w:t>
                  </w:r>
                </w:p>
              </w:tc>
              <w:tc>
                <w:tcPr>
                  <w:tcW w:w="3007" w:type="pct"/>
                  <w:gridSpan w:val="2"/>
                  <w:noWrap w:val="0"/>
                  <w:vAlign w:val="center"/>
                </w:tcPr>
                <w:p>
                  <w:pPr>
                    <w:adjustRightInd w:val="0"/>
                    <w:jc w:val="center"/>
                    <w:rPr>
                      <w:rFonts w:hint="default"/>
                      <w:szCs w:val="21"/>
                      <w:lang w:val="en-US" w:eastAsia="zh-CN"/>
                    </w:rPr>
                  </w:pPr>
                  <w:r>
                    <w:rPr>
                      <w:rFonts w:hint="eastAsia"/>
                      <w:szCs w:val="21"/>
                      <w:lang w:val="en-US" w:eastAsia="zh-CN"/>
                    </w:rPr>
                    <w:t>1栋4F住院楼（3号楼），位于项目北侧，总建筑面积约1400m</w:t>
                  </w:r>
                  <w:r>
                    <w:rPr>
                      <w:rFonts w:hint="eastAsia"/>
                      <w:szCs w:val="21"/>
                      <w:vertAlign w:val="superscript"/>
                      <w:lang w:val="en-US" w:eastAsia="zh-CN"/>
                    </w:rPr>
                    <w:t>2</w:t>
                  </w:r>
                  <w:r>
                    <w:rPr>
                      <w:rFonts w:hint="eastAsia"/>
                      <w:szCs w:val="21"/>
                      <w:lang w:val="en-US" w:eastAsia="zh-CN"/>
                    </w:rPr>
                    <w:t>，主要设置办公室、治疗室、餐厅及病房，扩建前闲置，本次扩建投入使用</w:t>
                  </w:r>
                </w:p>
              </w:tc>
              <w:tc>
                <w:tcPr>
                  <w:tcW w:w="539" w:type="pct"/>
                  <w:vMerge w:val="continue"/>
                  <w:noWrap w:val="0"/>
                  <w:vAlign w:val="center"/>
                </w:tcPr>
                <w:p>
                  <w:pPr>
                    <w:pStyle w:val="129"/>
                  </w:pPr>
                </w:p>
              </w:tc>
              <w:tc>
                <w:tcPr>
                  <w:tcW w:w="498" w:type="pct"/>
                  <w:noWrap w:val="0"/>
                  <w:vAlign w:val="center"/>
                </w:tcPr>
                <w:p>
                  <w:pPr>
                    <w:jc w:val="center"/>
                    <w:rPr>
                      <w:rFonts w:hint="eastAsia" w:eastAsia="宋体"/>
                      <w:lang w:eastAsia="zh-CN"/>
                    </w:rP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9" w:hRule="atLeast"/>
                <w:jc w:val="center"/>
              </w:trPr>
              <w:tc>
                <w:tcPr>
                  <w:tcW w:w="452" w:type="pct"/>
                  <w:vMerge w:val="continue"/>
                  <w:noWrap w:val="0"/>
                  <w:vAlign w:val="center"/>
                </w:tcPr>
                <w:p>
                  <w:pPr>
                    <w:adjustRightInd w:val="0"/>
                    <w:jc w:val="center"/>
                    <w:rPr>
                      <w:rFonts w:hint="eastAsia"/>
                      <w:szCs w:val="21"/>
                    </w:rPr>
                  </w:pPr>
                </w:p>
              </w:tc>
              <w:tc>
                <w:tcPr>
                  <w:tcW w:w="502" w:type="pct"/>
                  <w:noWrap w:val="0"/>
                  <w:vAlign w:val="center"/>
                </w:tcPr>
                <w:p>
                  <w:pPr>
                    <w:adjustRightInd w:val="0"/>
                    <w:jc w:val="center"/>
                    <w:rPr>
                      <w:rFonts w:hint="default" w:eastAsia="宋体"/>
                      <w:szCs w:val="21"/>
                      <w:vertAlign w:val="baseline"/>
                      <w:lang w:val="en-US" w:eastAsia="zh-CN"/>
                    </w:rPr>
                  </w:pPr>
                  <w:r>
                    <w:rPr>
                      <w:rFonts w:hint="eastAsia"/>
                      <w:szCs w:val="21"/>
                      <w:lang w:val="en-US" w:eastAsia="zh-CN"/>
                    </w:rPr>
                    <w:t>检验室</w:t>
                  </w:r>
                </w:p>
              </w:tc>
              <w:tc>
                <w:tcPr>
                  <w:tcW w:w="3007" w:type="pct"/>
                  <w:gridSpan w:val="2"/>
                  <w:noWrap w:val="0"/>
                  <w:vAlign w:val="center"/>
                </w:tcPr>
                <w:p>
                  <w:pPr>
                    <w:adjustRightInd w:val="0"/>
                    <w:jc w:val="center"/>
                    <w:rPr>
                      <w:rFonts w:hint="eastAsia"/>
                      <w:szCs w:val="21"/>
                      <w:lang w:val="en-US" w:eastAsia="zh-CN"/>
                    </w:rPr>
                  </w:pPr>
                  <w:r>
                    <w:rPr>
                      <w:rFonts w:hint="eastAsia"/>
                      <w:szCs w:val="21"/>
                      <w:lang w:val="en-US" w:eastAsia="zh-CN"/>
                    </w:rPr>
                    <w:t>1栋1F，</w:t>
                  </w:r>
                  <w:r>
                    <w:rPr>
                      <w:rFonts w:hint="eastAsia"/>
                      <w:szCs w:val="21"/>
                    </w:rPr>
                    <w:t>设置于项目区东侧，建筑面积约为100m</w:t>
                  </w:r>
                  <w:r>
                    <w:rPr>
                      <w:rFonts w:hint="eastAsia"/>
                      <w:szCs w:val="21"/>
                      <w:vertAlign w:val="superscript"/>
                    </w:rPr>
                    <w:t>2</w:t>
                  </w:r>
                  <w:r>
                    <w:rPr>
                      <w:rFonts w:hint="eastAsia"/>
                      <w:szCs w:val="21"/>
                      <w:vertAlign w:val="baseline"/>
                      <w:lang w:eastAsia="zh-CN"/>
                    </w:rPr>
                    <w:t>，设</w:t>
                  </w:r>
                  <w:r>
                    <w:rPr>
                      <w:rFonts w:hint="eastAsia"/>
                      <w:szCs w:val="21"/>
                      <w:vertAlign w:val="baseline"/>
                      <w:lang w:val="en-US" w:eastAsia="zh-CN"/>
                    </w:rPr>
                    <w:t>B超室、脑电室、检验室、杂物间和库房等</w:t>
                  </w:r>
                </w:p>
              </w:tc>
              <w:tc>
                <w:tcPr>
                  <w:tcW w:w="539" w:type="pct"/>
                  <w:vMerge w:val="continue"/>
                  <w:noWrap w:val="0"/>
                  <w:vAlign w:val="center"/>
                </w:tcPr>
                <w:p>
                  <w:pPr>
                    <w:pStyle w:val="129"/>
                    <w:rPr>
                      <w:lang w:val="en"/>
                    </w:rPr>
                  </w:pPr>
                </w:p>
              </w:tc>
              <w:tc>
                <w:tcPr>
                  <w:tcW w:w="498" w:type="pct"/>
                  <w:noWrap w:val="0"/>
                  <w:vAlign w:val="center"/>
                </w:tcPr>
                <w:p>
                  <w:pPr>
                    <w:jc w:val="center"/>
                    <w:rPr>
                      <w:lang w:val="en"/>
                    </w:rP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15" w:hRule="atLeast"/>
                <w:jc w:val="center"/>
              </w:trPr>
              <w:tc>
                <w:tcPr>
                  <w:tcW w:w="452" w:type="pct"/>
                  <w:vMerge w:val="continue"/>
                  <w:noWrap w:val="0"/>
                  <w:vAlign w:val="center"/>
                </w:tcPr>
                <w:p>
                  <w:pPr>
                    <w:adjustRightInd w:val="0"/>
                    <w:jc w:val="center"/>
                    <w:rPr>
                      <w:rFonts w:hint="default" w:eastAsia="宋体"/>
                      <w:szCs w:val="21"/>
                      <w:lang w:val="en-US" w:eastAsia="zh-CN"/>
                    </w:rPr>
                  </w:pPr>
                </w:p>
              </w:tc>
              <w:tc>
                <w:tcPr>
                  <w:tcW w:w="502" w:type="pct"/>
                  <w:noWrap w:val="0"/>
                  <w:vAlign w:val="center"/>
                </w:tcPr>
                <w:p>
                  <w:pPr>
                    <w:adjustRightInd w:val="0"/>
                    <w:jc w:val="center"/>
                    <w:rPr>
                      <w:rFonts w:hint="default"/>
                      <w:szCs w:val="21"/>
                      <w:vertAlign w:val="baseline"/>
                      <w:lang w:val="en-US"/>
                    </w:rPr>
                  </w:pPr>
                  <w:r>
                    <w:rPr>
                      <w:rFonts w:hint="eastAsia"/>
                      <w:szCs w:val="21"/>
                      <w:lang w:val="en-US" w:eastAsia="zh-CN"/>
                    </w:rPr>
                    <w:t>护理部</w:t>
                  </w:r>
                </w:p>
              </w:tc>
              <w:tc>
                <w:tcPr>
                  <w:tcW w:w="3007" w:type="pct"/>
                  <w:gridSpan w:val="2"/>
                  <w:noWrap w:val="0"/>
                  <w:vAlign w:val="center"/>
                </w:tcPr>
                <w:p>
                  <w:pPr>
                    <w:adjustRightInd w:val="0"/>
                    <w:jc w:val="center"/>
                    <w:rPr>
                      <w:rFonts w:hint="eastAsia"/>
                      <w:szCs w:val="21"/>
                      <w:lang w:val="en-US" w:eastAsia="zh-CN"/>
                    </w:rPr>
                  </w:pPr>
                  <w:r>
                    <w:rPr>
                      <w:rFonts w:hint="eastAsia"/>
                      <w:szCs w:val="21"/>
                      <w:lang w:val="en-US" w:eastAsia="zh-CN"/>
                    </w:rPr>
                    <w:t>1栋1F，设置于项目西侧两栋住院楼中间位置，建筑面积约</w:t>
                  </w:r>
                  <w:r>
                    <w:rPr>
                      <w:rFonts w:hint="eastAsia"/>
                      <w:szCs w:val="21"/>
                      <w:vertAlign w:val="baseline"/>
                      <w:lang w:val="en-US" w:eastAsia="zh-CN"/>
                    </w:rPr>
                    <w:t>60m</w:t>
                  </w:r>
                  <w:r>
                    <w:rPr>
                      <w:rFonts w:hint="eastAsia"/>
                      <w:szCs w:val="21"/>
                      <w:vertAlign w:val="superscript"/>
                      <w:lang w:val="en-US" w:eastAsia="zh-CN"/>
                    </w:rPr>
                    <w:t>2</w:t>
                  </w:r>
                  <w:r>
                    <w:rPr>
                      <w:rFonts w:hint="eastAsia"/>
                      <w:szCs w:val="21"/>
                      <w:vertAlign w:val="baseline"/>
                      <w:lang w:val="en-US" w:eastAsia="zh-CN"/>
                    </w:rPr>
                    <w:t>，设检查室、X光室、办公室等</w:t>
                  </w:r>
                </w:p>
              </w:tc>
              <w:tc>
                <w:tcPr>
                  <w:tcW w:w="539" w:type="pct"/>
                  <w:vMerge w:val="continue"/>
                  <w:noWrap w:val="0"/>
                  <w:vAlign w:val="center"/>
                </w:tcPr>
                <w:p>
                  <w:pPr>
                    <w:pStyle w:val="129"/>
                    <w:rPr>
                      <w:lang w:val="en"/>
                    </w:rPr>
                  </w:pPr>
                </w:p>
              </w:tc>
              <w:tc>
                <w:tcPr>
                  <w:tcW w:w="498" w:type="pct"/>
                  <w:noWrap w:val="0"/>
                  <w:vAlign w:val="center"/>
                </w:tcPr>
                <w:p>
                  <w:pPr>
                    <w:jc w:val="center"/>
                    <w:rPr>
                      <w:rFonts w:hint="eastAsia"/>
                    </w:rP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6" w:hRule="atLeast"/>
                <w:jc w:val="center"/>
              </w:trPr>
              <w:tc>
                <w:tcPr>
                  <w:tcW w:w="452" w:type="pct"/>
                  <w:vMerge w:val="restart"/>
                  <w:noWrap w:val="0"/>
                  <w:vAlign w:val="center"/>
                </w:tcPr>
                <w:p>
                  <w:pPr>
                    <w:pStyle w:val="129"/>
                  </w:pPr>
                  <w:r>
                    <w:rPr>
                      <w:rFonts w:hint="eastAsia"/>
                    </w:rPr>
                    <w:t>辅助及配套工程</w:t>
                  </w:r>
                </w:p>
              </w:tc>
              <w:tc>
                <w:tcPr>
                  <w:tcW w:w="502" w:type="pct"/>
                  <w:noWrap w:val="0"/>
                  <w:vAlign w:val="center"/>
                </w:tcPr>
                <w:p>
                  <w:pPr>
                    <w:adjustRightInd w:val="0"/>
                    <w:jc w:val="center"/>
                    <w:rPr>
                      <w:rFonts w:hint="eastAsia"/>
                      <w:kern w:val="2"/>
                      <w:sz w:val="24"/>
                      <w:szCs w:val="24"/>
                      <w:lang w:val="en-US" w:eastAsia="zh-CN" w:bidi="ar-SA"/>
                    </w:rPr>
                  </w:pPr>
                  <w:r>
                    <w:rPr>
                      <w:rFonts w:ascii="宋体" w:hAnsi="宋体" w:cs="宋体"/>
                      <w:spacing w:val="-2"/>
                      <w:sz w:val="21"/>
                      <w:szCs w:val="21"/>
                    </w:rPr>
                    <w:t>洗衣房</w:t>
                  </w:r>
                </w:p>
              </w:tc>
              <w:tc>
                <w:tcPr>
                  <w:tcW w:w="3007" w:type="pct"/>
                  <w:gridSpan w:val="2"/>
                  <w:noWrap w:val="0"/>
                  <w:vAlign w:val="center"/>
                </w:tcPr>
                <w:p>
                  <w:pPr>
                    <w:adjustRightInd w:val="0"/>
                    <w:jc w:val="center"/>
                    <w:rPr>
                      <w:rFonts w:hint="default" w:eastAsia="宋体"/>
                      <w:kern w:val="2"/>
                      <w:sz w:val="21"/>
                      <w:szCs w:val="21"/>
                      <w:vertAlign w:val="baseline"/>
                      <w:lang w:val="en-US" w:eastAsia="zh-CN" w:bidi="ar-SA"/>
                    </w:rPr>
                  </w:pPr>
                  <w:r>
                    <w:rPr>
                      <w:szCs w:val="21"/>
                    </w:rPr>
                    <w:t>项目</w:t>
                  </w:r>
                  <w:r>
                    <w:rPr>
                      <w:rFonts w:hint="eastAsia"/>
                      <w:szCs w:val="21"/>
                    </w:rPr>
                    <w:t>门诊1号</w:t>
                  </w:r>
                  <w:r>
                    <w:rPr>
                      <w:szCs w:val="21"/>
                    </w:rPr>
                    <w:t>楼</w:t>
                  </w:r>
                  <w:r>
                    <w:rPr>
                      <w:rFonts w:hint="eastAsia"/>
                      <w:szCs w:val="21"/>
                    </w:rPr>
                    <w:t>1</w:t>
                  </w:r>
                  <w:r>
                    <w:rPr>
                      <w:szCs w:val="21"/>
                    </w:rPr>
                    <w:t>F</w:t>
                  </w:r>
                  <w:r>
                    <w:rPr>
                      <w:rFonts w:hint="eastAsia"/>
                      <w:szCs w:val="21"/>
                    </w:rPr>
                    <w:t>东北侧</w:t>
                  </w:r>
                  <w:r>
                    <w:rPr>
                      <w:rFonts w:hint="eastAsia"/>
                      <w:szCs w:val="21"/>
                      <w:lang w:eastAsia="zh-CN"/>
                    </w:rPr>
                    <w:t>，建筑面积约</w:t>
                  </w:r>
                  <w:r>
                    <w:rPr>
                      <w:rFonts w:hint="eastAsia"/>
                      <w:szCs w:val="21"/>
                      <w:lang w:val="en-US" w:eastAsia="zh-CN"/>
                    </w:rPr>
                    <w:t>60</w:t>
                  </w:r>
                  <w:r>
                    <w:rPr>
                      <w:rFonts w:hint="eastAsia"/>
                      <w:szCs w:val="21"/>
                      <w:vertAlign w:val="baseline"/>
                      <w:lang w:val="en-US" w:eastAsia="zh-CN"/>
                    </w:rPr>
                    <w:t>m</w:t>
                  </w:r>
                  <w:r>
                    <w:rPr>
                      <w:rFonts w:hint="eastAsia"/>
                      <w:szCs w:val="21"/>
                      <w:vertAlign w:val="superscript"/>
                      <w:lang w:val="en-US" w:eastAsia="zh-CN"/>
                    </w:rPr>
                    <w:t>2</w:t>
                  </w:r>
                  <w:r>
                    <w:rPr>
                      <w:rFonts w:hint="eastAsia"/>
                      <w:szCs w:val="21"/>
                      <w:vertAlign w:val="baseline"/>
                      <w:lang w:val="en-US" w:eastAsia="zh-CN"/>
                    </w:rPr>
                    <w:t>，设2台洗衣机；</w:t>
                  </w:r>
                  <w:r>
                    <w:rPr>
                      <w:rFonts w:hint="eastAsia"/>
                      <w:lang w:val="en" w:eastAsia="zh-CN"/>
                    </w:rPr>
                    <w:t>本次床位扩建不新增洗衣设备</w:t>
                  </w:r>
                </w:p>
              </w:tc>
              <w:tc>
                <w:tcPr>
                  <w:tcW w:w="539" w:type="pct"/>
                  <w:noWrap w:val="0"/>
                  <w:vAlign w:val="center"/>
                </w:tcPr>
                <w:p>
                  <w:pPr>
                    <w:pStyle w:val="129"/>
                    <w:jc w:val="left"/>
                    <w:rPr>
                      <w:rFonts w:hint="eastAsia" w:eastAsia="宋体"/>
                      <w:lang w:val="en" w:eastAsia="zh-CN"/>
                    </w:rPr>
                  </w:pPr>
                  <w:r>
                    <w:rPr>
                      <w:rFonts w:hint="eastAsia"/>
                      <w:lang w:val="en" w:eastAsia="zh-CN"/>
                    </w:rPr>
                    <w:t>废水、噪声</w:t>
                  </w:r>
                </w:p>
              </w:tc>
              <w:tc>
                <w:tcPr>
                  <w:tcW w:w="498" w:type="pct"/>
                  <w:noWrap w:val="0"/>
                  <w:vAlign w:val="center"/>
                </w:tcPr>
                <w:p>
                  <w:pPr>
                    <w:jc w:val="center"/>
                    <w:rPr>
                      <w:rFonts w:hint="eastAsia" w:eastAsia="宋体"/>
                      <w:lang w:val="en" w:eastAsia="zh-CN"/>
                    </w:rP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34" w:hRule="atLeast"/>
                <w:jc w:val="center"/>
              </w:trPr>
              <w:tc>
                <w:tcPr>
                  <w:tcW w:w="452" w:type="pct"/>
                  <w:vMerge w:val="continue"/>
                  <w:noWrap w:val="0"/>
                  <w:vAlign w:val="center"/>
                </w:tcPr>
                <w:p>
                  <w:pPr>
                    <w:pStyle w:val="129"/>
                    <w:rPr>
                      <w:rFonts w:hint="eastAsia"/>
                    </w:rPr>
                  </w:pPr>
                </w:p>
              </w:tc>
              <w:tc>
                <w:tcPr>
                  <w:tcW w:w="502" w:type="pct"/>
                  <w:noWrap w:val="0"/>
                  <w:vAlign w:val="center"/>
                </w:tcPr>
                <w:p>
                  <w:pPr>
                    <w:adjustRightInd w:val="0"/>
                    <w:jc w:val="center"/>
                    <w:rPr>
                      <w:rFonts w:hint="eastAsia" w:ascii="宋体" w:hAnsi="宋体" w:eastAsia="宋体" w:cs="宋体"/>
                      <w:spacing w:val="-2"/>
                      <w:sz w:val="21"/>
                      <w:szCs w:val="21"/>
                      <w:lang w:eastAsia="zh-CN"/>
                    </w:rPr>
                  </w:pPr>
                  <w:r>
                    <w:rPr>
                      <w:rFonts w:hint="eastAsia" w:ascii="宋体" w:hAnsi="宋体" w:cs="宋体"/>
                      <w:spacing w:val="-2"/>
                      <w:sz w:val="21"/>
                      <w:szCs w:val="21"/>
                      <w:lang w:eastAsia="zh-CN"/>
                    </w:rPr>
                    <w:t>供热制冷</w:t>
                  </w:r>
                </w:p>
              </w:tc>
              <w:tc>
                <w:tcPr>
                  <w:tcW w:w="3007" w:type="pct"/>
                  <w:gridSpan w:val="2"/>
                  <w:noWrap w:val="0"/>
                  <w:vAlign w:val="center"/>
                </w:tcPr>
                <w:p>
                  <w:pPr>
                    <w:adjustRightInd w:val="0"/>
                    <w:jc w:val="center"/>
                    <w:rPr>
                      <w:szCs w:val="21"/>
                    </w:rPr>
                  </w:pPr>
                  <w:r>
                    <w:rPr>
                      <w:szCs w:val="21"/>
                    </w:rPr>
                    <w:t>设分体式空调，不设锅炉及中央空调</w:t>
                  </w:r>
                </w:p>
              </w:tc>
              <w:tc>
                <w:tcPr>
                  <w:tcW w:w="539" w:type="pct"/>
                  <w:noWrap w:val="0"/>
                  <w:vAlign w:val="center"/>
                </w:tcPr>
                <w:p>
                  <w:pPr>
                    <w:pStyle w:val="129"/>
                    <w:rPr>
                      <w:rFonts w:hint="eastAsia" w:eastAsia="宋体"/>
                      <w:lang w:val="en" w:eastAsia="zh-CN"/>
                    </w:rPr>
                  </w:pPr>
                  <w:r>
                    <w:rPr>
                      <w:rFonts w:hint="eastAsia"/>
                      <w:lang w:val="en" w:eastAsia="zh-CN"/>
                    </w:rPr>
                    <w:t>噪声</w:t>
                  </w:r>
                </w:p>
              </w:tc>
              <w:tc>
                <w:tcPr>
                  <w:tcW w:w="498" w:type="pct"/>
                  <w:noWrap w:val="0"/>
                  <w:vAlign w:val="center"/>
                </w:tcPr>
                <w:p>
                  <w:pPr>
                    <w:jc w:val="center"/>
                    <w:rPr>
                      <w:lang w:val="en"/>
                    </w:rP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0" w:hRule="atLeast"/>
                <w:jc w:val="center"/>
              </w:trPr>
              <w:tc>
                <w:tcPr>
                  <w:tcW w:w="452" w:type="pct"/>
                  <w:vMerge w:val="restart"/>
                  <w:noWrap w:val="0"/>
                  <w:vAlign w:val="center"/>
                </w:tcPr>
                <w:p>
                  <w:pPr>
                    <w:pStyle w:val="129"/>
                  </w:pPr>
                  <w:r>
                    <w:rPr>
                      <w:rFonts w:hint="eastAsia"/>
                    </w:rPr>
                    <w:t>办公及生活设施</w:t>
                  </w:r>
                </w:p>
              </w:tc>
              <w:tc>
                <w:tcPr>
                  <w:tcW w:w="502" w:type="pct"/>
                  <w:noWrap w:val="0"/>
                  <w:vAlign w:val="center"/>
                </w:tcPr>
                <w:p>
                  <w:pPr>
                    <w:adjustRightInd w:val="0"/>
                    <w:jc w:val="center"/>
                    <w:rPr>
                      <w:rFonts w:hint="eastAsia"/>
                      <w:kern w:val="2"/>
                      <w:sz w:val="21"/>
                      <w:szCs w:val="21"/>
                      <w:lang w:val="en-US" w:eastAsia="zh-CN" w:bidi="ar-SA"/>
                    </w:rPr>
                  </w:pPr>
                  <w:r>
                    <w:rPr>
                      <w:rFonts w:hint="eastAsia"/>
                      <w:kern w:val="2"/>
                      <w:sz w:val="21"/>
                      <w:szCs w:val="21"/>
                      <w:lang w:val="en-US" w:eastAsia="zh-CN" w:bidi="ar-SA"/>
                    </w:rPr>
                    <w:t>宿舍楼</w:t>
                  </w:r>
                </w:p>
              </w:tc>
              <w:tc>
                <w:tcPr>
                  <w:tcW w:w="3007" w:type="pct"/>
                  <w:gridSpan w:val="2"/>
                  <w:noWrap w:val="0"/>
                  <w:vAlign w:val="center"/>
                </w:tcPr>
                <w:p>
                  <w:pPr>
                    <w:adjustRightInd w:val="0"/>
                    <w:jc w:val="center"/>
                    <w:rPr>
                      <w:rFonts w:hint="default"/>
                      <w:kern w:val="2"/>
                      <w:sz w:val="21"/>
                      <w:szCs w:val="21"/>
                      <w:lang w:val="en-US" w:eastAsia="zh-CN" w:bidi="ar-SA"/>
                    </w:rPr>
                  </w:pPr>
                  <w:r>
                    <w:rPr>
                      <w:rFonts w:hint="eastAsia"/>
                      <w:kern w:val="2"/>
                      <w:sz w:val="21"/>
                      <w:szCs w:val="21"/>
                      <w:lang w:val="en-US" w:eastAsia="zh-CN" w:bidi="ar-SA"/>
                    </w:rPr>
                    <w:t>1栋4F员工宿舍楼，位于项目东侧，建筑面积约1800</w:t>
                  </w:r>
                  <w:r>
                    <w:rPr>
                      <w:rFonts w:hint="eastAsia"/>
                      <w:szCs w:val="21"/>
                      <w:vertAlign w:val="baseline"/>
                      <w:lang w:val="en-US" w:eastAsia="zh-CN"/>
                    </w:rPr>
                    <w:t>m</w:t>
                  </w:r>
                  <w:r>
                    <w:rPr>
                      <w:rFonts w:hint="eastAsia"/>
                      <w:szCs w:val="21"/>
                      <w:vertAlign w:val="superscript"/>
                      <w:lang w:val="en-US" w:eastAsia="zh-CN"/>
                    </w:rPr>
                    <w:t>2</w:t>
                  </w:r>
                </w:p>
              </w:tc>
              <w:tc>
                <w:tcPr>
                  <w:tcW w:w="539" w:type="pct"/>
                  <w:vMerge w:val="restart"/>
                  <w:noWrap w:val="0"/>
                  <w:vAlign w:val="center"/>
                </w:tcPr>
                <w:p>
                  <w:pPr>
                    <w:pStyle w:val="129"/>
                    <w:jc w:val="left"/>
                    <w:rPr>
                      <w:rFonts w:hint="eastAsia" w:eastAsia="宋体"/>
                      <w:kern w:val="2"/>
                      <w:sz w:val="21"/>
                      <w:szCs w:val="21"/>
                      <w:lang w:val="en" w:eastAsia="zh-CN" w:bidi="ar-SA"/>
                    </w:rPr>
                  </w:pPr>
                  <w:r>
                    <w:rPr>
                      <w:rFonts w:hint="eastAsia"/>
                      <w:lang w:val="en"/>
                    </w:rPr>
                    <w:t>油烟、</w:t>
                  </w:r>
                  <w:r>
                    <w:rPr>
                      <w:rFonts w:hint="eastAsia"/>
                      <w:lang w:val="en" w:eastAsia="zh-CN"/>
                    </w:rPr>
                    <w:t>固废、废水</w:t>
                  </w:r>
                </w:p>
              </w:tc>
              <w:tc>
                <w:tcPr>
                  <w:tcW w:w="498" w:type="pct"/>
                  <w:noWrap w:val="0"/>
                  <w:vAlign w:val="center"/>
                </w:tcPr>
                <w:p>
                  <w:pPr>
                    <w:jc w:val="center"/>
                    <w:rPr>
                      <w:rFonts w:hint="eastAsia"/>
                      <w:kern w:val="2"/>
                      <w:sz w:val="21"/>
                      <w:szCs w:val="24"/>
                      <w:lang w:val="en" w:eastAsia="zh-CN" w:bidi="ar-SA"/>
                    </w:rP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8" w:hRule="atLeast"/>
                <w:jc w:val="center"/>
              </w:trPr>
              <w:tc>
                <w:tcPr>
                  <w:tcW w:w="452" w:type="pct"/>
                  <w:vMerge w:val="continue"/>
                  <w:noWrap w:val="0"/>
                  <w:vAlign w:val="center"/>
                </w:tcPr>
                <w:p>
                  <w:pPr>
                    <w:pStyle w:val="129"/>
                  </w:pPr>
                </w:p>
              </w:tc>
              <w:tc>
                <w:tcPr>
                  <w:tcW w:w="502" w:type="pct"/>
                  <w:noWrap w:val="0"/>
                  <w:vAlign w:val="center"/>
                </w:tcPr>
                <w:p>
                  <w:pPr>
                    <w:adjustRightInd w:val="0"/>
                    <w:jc w:val="center"/>
                    <w:rPr>
                      <w:rFonts w:hint="eastAsia" w:eastAsia="宋体"/>
                      <w:kern w:val="2"/>
                      <w:sz w:val="21"/>
                      <w:szCs w:val="21"/>
                      <w:lang w:val="en-US" w:eastAsia="zh-CN" w:bidi="ar-SA"/>
                    </w:rPr>
                  </w:pPr>
                  <w:r>
                    <w:rPr>
                      <w:rFonts w:hint="eastAsia"/>
                      <w:szCs w:val="21"/>
                      <w:lang w:eastAsia="zh-CN"/>
                    </w:rPr>
                    <w:t>厨房</w:t>
                  </w:r>
                </w:p>
              </w:tc>
              <w:tc>
                <w:tcPr>
                  <w:tcW w:w="3007" w:type="pct"/>
                  <w:gridSpan w:val="2"/>
                  <w:noWrap w:val="0"/>
                  <w:vAlign w:val="center"/>
                </w:tcPr>
                <w:p>
                  <w:pPr>
                    <w:adjustRightInd w:val="0"/>
                    <w:jc w:val="center"/>
                    <w:rPr>
                      <w:kern w:val="2"/>
                      <w:sz w:val="21"/>
                      <w:szCs w:val="21"/>
                      <w:lang w:val="en-US" w:eastAsia="zh-CN" w:bidi="ar-SA"/>
                    </w:rPr>
                  </w:pPr>
                  <w:r>
                    <w:rPr>
                      <w:rFonts w:hint="eastAsia"/>
                      <w:szCs w:val="21"/>
                    </w:rPr>
                    <w:t>1栋</w:t>
                  </w:r>
                  <w:r>
                    <w:rPr>
                      <w:rFonts w:hint="eastAsia"/>
                      <w:szCs w:val="21"/>
                      <w:lang w:val="en-US" w:eastAsia="zh-CN"/>
                    </w:rPr>
                    <w:t>1F厨房</w:t>
                  </w:r>
                  <w:r>
                    <w:rPr>
                      <w:rFonts w:hint="eastAsia"/>
                      <w:szCs w:val="21"/>
                    </w:rPr>
                    <w:t>，</w:t>
                  </w:r>
                  <w:r>
                    <w:rPr>
                      <w:rFonts w:hint="eastAsia"/>
                      <w:szCs w:val="21"/>
                      <w:lang w:eastAsia="zh-CN"/>
                    </w:rPr>
                    <w:t>位于项目东北侧，</w:t>
                  </w:r>
                  <w:r>
                    <w:rPr>
                      <w:rFonts w:hint="eastAsia"/>
                      <w:szCs w:val="21"/>
                    </w:rPr>
                    <w:t>建筑面积约20m</w:t>
                  </w:r>
                  <w:r>
                    <w:rPr>
                      <w:szCs w:val="21"/>
                    </w:rPr>
                    <w:t>²</w:t>
                  </w:r>
                </w:p>
              </w:tc>
              <w:tc>
                <w:tcPr>
                  <w:tcW w:w="539" w:type="pct"/>
                  <w:vMerge w:val="continue"/>
                  <w:noWrap w:val="0"/>
                  <w:vAlign w:val="center"/>
                </w:tcPr>
                <w:p>
                  <w:pPr>
                    <w:pStyle w:val="129"/>
                    <w:rPr>
                      <w:rFonts w:hint="eastAsia"/>
                      <w:lang w:val="en"/>
                    </w:rPr>
                  </w:pPr>
                </w:p>
              </w:tc>
              <w:tc>
                <w:tcPr>
                  <w:tcW w:w="498" w:type="pct"/>
                  <w:noWrap w:val="0"/>
                  <w:vAlign w:val="center"/>
                </w:tcPr>
                <w:p>
                  <w:pPr>
                    <w:jc w:val="center"/>
                    <w:rPr>
                      <w:rFonts w:hint="eastAsia"/>
                    </w:rP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2" w:hRule="atLeast"/>
                <w:jc w:val="center"/>
              </w:trPr>
              <w:tc>
                <w:tcPr>
                  <w:tcW w:w="452" w:type="pct"/>
                  <w:vMerge w:val="continue"/>
                  <w:noWrap w:val="0"/>
                  <w:vAlign w:val="center"/>
                </w:tcPr>
                <w:p>
                  <w:pPr>
                    <w:pStyle w:val="129"/>
                  </w:pPr>
                </w:p>
              </w:tc>
              <w:tc>
                <w:tcPr>
                  <w:tcW w:w="502" w:type="pct"/>
                  <w:noWrap w:val="0"/>
                  <w:vAlign w:val="center"/>
                </w:tcPr>
                <w:p>
                  <w:pPr>
                    <w:adjustRightInd w:val="0"/>
                    <w:jc w:val="center"/>
                    <w:rPr>
                      <w:rFonts w:hint="eastAsia"/>
                      <w:szCs w:val="21"/>
                      <w:lang w:eastAsia="zh-CN"/>
                    </w:rPr>
                  </w:pPr>
                  <w:r>
                    <w:rPr>
                      <w:rFonts w:hint="eastAsia"/>
                      <w:szCs w:val="21"/>
                      <w:lang w:eastAsia="zh-CN"/>
                    </w:rPr>
                    <w:t>管理用房</w:t>
                  </w:r>
                </w:p>
              </w:tc>
              <w:tc>
                <w:tcPr>
                  <w:tcW w:w="3007" w:type="pct"/>
                  <w:gridSpan w:val="2"/>
                  <w:noWrap w:val="0"/>
                  <w:vAlign w:val="center"/>
                </w:tcPr>
                <w:p>
                  <w:pPr>
                    <w:adjustRightInd w:val="0"/>
                    <w:jc w:val="center"/>
                    <w:rPr>
                      <w:rFonts w:hint="default" w:eastAsia="宋体"/>
                      <w:szCs w:val="21"/>
                      <w:lang w:val="en-US" w:eastAsia="zh-CN"/>
                    </w:rPr>
                  </w:pPr>
                  <w:r>
                    <w:rPr>
                      <w:rFonts w:hint="eastAsia"/>
                      <w:szCs w:val="21"/>
                      <w:lang w:val="en-US" w:eastAsia="zh-CN"/>
                    </w:rPr>
                    <w:t>1栋1F管理用房，位于项目东北侧，建筑面积约35</w:t>
                  </w:r>
                  <w:r>
                    <w:rPr>
                      <w:rFonts w:hint="eastAsia"/>
                      <w:szCs w:val="21"/>
                      <w:vertAlign w:val="baseline"/>
                      <w:lang w:val="en-US" w:eastAsia="zh-CN"/>
                    </w:rPr>
                    <w:t>m</w:t>
                  </w:r>
                  <w:r>
                    <w:rPr>
                      <w:rFonts w:hint="eastAsia"/>
                      <w:szCs w:val="21"/>
                      <w:vertAlign w:val="superscript"/>
                      <w:lang w:val="en-US" w:eastAsia="zh-CN"/>
                    </w:rPr>
                    <w:t>2</w:t>
                  </w:r>
                  <w:r>
                    <w:rPr>
                      <w:rFonts w:hint="eastAsia"/>
                      <w:szCs w:val="21"/>
                      <w:vertAlign w:val="baseline"/>
                      <w:lang w:val="en-US" w:eastAsia="zh-CN"/>
                    </w:rPr>
                    <w:t>，设有管理室与办公室</w:t>
                  </w:r>
                </w:p>
              </w:tc>
              <w:tc>
                <w:tcPr>
                  <w:tcW w:w="539" w:type="pct"/>
                  <w:noWrap w:val="0"/>
                  <w:vAlign w:val="center"/>
                </w:tcPr>
                <w:p>
                  <w:pPr>
                    <w:pStyle w:val="129"/>
                    <w:rPr>
                      <w:rFonts w:hint="eastAsia" w:eastAsia="宋体"/>
                      <w:lang w:val="en-US" w:eastAsia="zh-CN"/>
                    </w:rPr>
                  </w:pPr>
                  <w:r>
                    <w:rPr>
                      <w:rFonts w:hint="eastAsia"/>
                      <w:lang w:val="en-US" w:eastAsia="zh-CN"/>
                    </w:rPr>
                    <w:t>固废</w:t>
                  </w:r>
                </w:p>
              </w:tc>
              <w:tc>
                <w:tcPr>
                  <w:tcW w:w="498" w:type="pct"/>
                  <w:noWrap w:val="0"/>
                  <w:vAlign w:val="center"/>
                </w:tcPr>
                <w:p>
                  <w:pPr>
                    <w:jc w:val="center"/>
                    <w:rPr>
                      <w:rFonts w:hint="eastAsia"/>
                    </w:rP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8" w:hRule="atLeast"/>
                <w:jc w:val="center"/>
              </w:trPr>
              <w:tc>
                <w:tcPr>
                  <w:tcW w:w="452" w:type="pct"/>
                  <w:vMerge w:val="restart"/>
                  <w:noWrap w:val="0"/>
                  <w:vAlign w:val="center"/>
                </w:tcPr>
                <w:p>
                  <w:pPr>
                    <w:pStyle w:val="129"/>
                  </w:pPr>
                  <w:r>
                    <w:rPr>
                      <w:rFonts w:hint="eastAsia"/>
                    </w:rPr>
                    <w:t>公用工程</w:t>
                  </w:r>
                </w:p>
              </w:tc>
              <w:tc>
                <w:tcPr>
                  <w:tcW w:w="502" w:type="pct"/>
                  <w:noWrap w:val="0"/>
                  <w:vAlign w:val="top"/>
                </w:tcPr>
                <w:p>
                  <w:pPr>
                    <w:spacing w:before="46" w:line="219" w:lineRule="auto"/>
                    <w:jc w:val="center"/>
                    <w:rPr>
                      <w:rFonts w:hint="eastAsia" w:ascii="宋体" w:hAnsi="宋体" w:cs="宋体"/>
                      <w:szCs w:val="21"/>
                    </w:rPr>
                  </w:pPr>
                  <w:r>
                    <w:rPr>
                      <w:rFonts w:hint="eastAsia" w:ascii="宋体" w:hAnsi="宋体" w:cs="宋体"/>
                      <w:spacing w:val="-2"/>
                      <w:szCs w:val="21"/>
                    </w:rPr>
                    <w:t>供水</w:t>
                  </w:r>
                </w:p>
              </w:tc>
              <w:tc>
                <w:tcPr>
                  <w:tcW w:w="3007" w:type="pct"/>
                  <w:gridSpan w:val="2"/>
                  <w:noWrap w:val="0"/>
                  <w:vAlign w:val="top"/>
                </w:tcPr>
                <w:p>
                  <w:pPr>
                    <w:spacing w:before="26" w:line="219" w:lineRule="auto"/>
                    <w:jc w:val="center"/>
                    <w:rPr>
                      <w:rFonts w:hint="eastAsia" w:ascii="宋体" w:hAnsi="宋体" w:cs="宋体"/>
                      <w:szCs w:val="21"/>
                    </w:rPr>
                  </w:pPr>
                  <w:r>
                    <w:rPr>
                      <w:rFonts w:hint="eastAsia" w:ascii="宋体" w:hAnsi="宋体" w:cs="宋体"/>
                      <w:spacing w:val="-1"/>
                      <w:szCs w:val="21"/>
                    </w:rPr>
                    <w:t>接自附近市政自来水管道</w:t>
                  </w:r>
                </w:p>
              </w:tc>
              <w:tc>
                <w:tcPr>
                  <w:tcW w:w="539" w:type="pct"/>
                  <w:noWrap w:val="0"/>
                  <w:vAlign w:val="center"/>
                </w:tcPr>
                <w:p>
                  <w:pPr>
                    <w:pStyle w:val="129"/>
                  </w:pPr>
                  <w:r>
                    <w:rPr>
                      <w:rFonts w:hint="eastAsia"/>
                    </w:rPr>
                    <w:t>/</w:t>
                  </w:r>
                </w:p>
              </w:tc>
              <w:tc>
                <w:tcPr>
                  <w:tcW w:w="498" w:type="pct"/>
                  <w:noWrap w:val="0"/>
                  <w:vAlign w:val="center"/>
                </w:tcPr>
                <w:p>
                  <w:pPr>
                    <w:jc w:val="cente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7" w:hRule="atLeast"/>
                <w:jc w:val="center"/>
              </w:trPr>
              <w:tc>
                <w:tcPr>
                  <w:tcW w:w="452" w:type="pct"/>
                  <w:vMerge w:val="continue"/>
                  <w:noWrap w:val="0"/>
                  <w:vAlign w:val="center"/>
                </w:tcPr>
                <w:p>
                  <w:pPr>
                    <w:pStyle w:val="129"/>
                    <w:rPr>
                      <w:rFonts w:hint="eastAsia"/>
                    </w:rPr>
                  </w:pPr>
                </w:p>
              </w:tc>
              <w:tc>
                <w:tcPr>
                  <w:tcW w:w="502" w:type="pct"/>
                  <w:noWrap w:val="0"/>
                  <w:vAlign w:val="top"/>
                </w:tcPr>
                <w:p>
                  <w:pPr>
                    <w:spacing w:before="46" w:line="219" w:lineRule="auto"/>
                    <w:jc w:val="center"/>
                    <w:rPr>
                      <w:rFonts w:hint="eastAsia" w:ascii="宋体" w:hAnsi="宋体" w:cs="宋体"/>
                      <w:szCs w:val="21"/>
                    </w:rPr>
                  </w:pPr>
                  <w:r>
                    <w:rPr>
                      <w:rFonts w:hint="eastAsia" w:ascii="宋体" w:hAnsi="宋体" w:cs="宋体"/>
                      <w:spacing w:val="-2"/>
                      <w:szCs w:val="21"/>
                    </w:rPr>
                    <w:t>供电</w:t>
                  </w:r>
                </w:p>
              </w:tc>
              <w:tc>
                <w:tcPr>
                  <w:tcW w:w="3007" w:type="pct"/>
                  <w:gridSpan w:val="2"/>
                  <w:noWrap w:val="0"/>
                  <w:vAlign w:val="top"/>
                </w:tcPr>
                <w:p>
                  <w:pPr>
                    <w:spacing w:before="47" w:line="219" w:lineRule="auto"/>
                    <w:jc w:val="center"/>
                    <w:rPr>
                      <w:rFonts w:hint="eastAsia" w:ascii="宋体" w:hAnsi="宋体" w:cs="宋体"/>
                      <w:szCs w:val="21"/>
                    </w:rPr>
                  </w:pPr>
                  <w:r>
                    <w:rPr>
                      <w:rFonts w:hint="eastAsia" w:ascii="宋体" w:hAnsi="宋体" w:cs="宋体"/>
                      <w:spacing w:val="2"/>
                      <w:szCs w:val="21"/>
                    </w:rPr>
                    <w:t>接自周边市政电网</w:t>
                  </w:r>
                </w:p>
              </w:tc>
              <w:tc>
                <w:tcPr>
                  <w:tcW w:w="539" w:type="pct"/>
                  <w:noWrap w:val="0"/>
                  <w:vAlign w:val="center"/>
                </w:tcPr>
                <w:p>
                  <w:pPr>
                    <w:jc w:val="center"/>
                  </w:pPr>
                  <w:r>
                    <w:rPr>
                      <w:rFonts w:hint="eastAsia"/>
                    </w:rPr>
                    <w:t>/</w:t>
                  </w:r>
                </w:p>
              </w:tc>
              <w:tc>
                <w:tcPr>
                  <w:tcW w:w="498" w:type="pct"/>
                  <w:noWrap w:val="0"/>
                  <w:vAlign w:val="center"/>
                </w:tcPr>
                <w:p>
                  <w:pPr>
                    <w:jc w:val="cente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9" w:hRule="atLeast"/>
                <w:jc w:val="center"/>
              </w:trPr>
              <w:tc>
                <w:tcPr>
                  <w:tcW w:w="452" w:type="pct"/>
                  <w:vMerge w:val="continue"/>
                  <w:noWrap w:val="0"/>
                  <w:vAlign w:val="center"/>
                </w:tcPr>
                <w:p>
                  <w:pPr>
                    <w:pStyle w:val="129"/>
                    <w:rPr>
                      <w:rFonts w:hint="eastAsia"/>
                    </w:rPr>
                  </w:pPr>
                </w:p>
              </w:tc>
              <w:tc>
                <w:tcPr>
                  <w:tcW w:w="502" w:type="pct"/>
                  <w:noWrap w:val="0"/>
                  <w:vAlign w:val="center"/>
                </w:tcPr>
                <w:p>
                  <w:pPr>
                    <w:adjustRightInd w:val="0"/>
                    <w:jc w:val="center"/>
                    <w:rPr>
                      <w:rFonts w:hint="eastAsia"/>
                      <w:szCs w:val="21"/>
                    </w:rPr>
                  </w:pPr>
                  <w:r>
                    <w:rPr>
                      <w:rFonts w:ascii="宋体" w:hAnsi="宋体" w:cs="宋体"/>
                      <w:spacing w:val="-2"/>
                      <w:sz w:val="21"/>
                      <w:szCs w:val="21"/>
                    </w:rPr>
                    <w:t>排水</w:t>
                  </w:r>
                </w:p>
              </w:tc>
              <w:tc>
                <w:tcPr>
                  <w:tcW w:w="3007" w:type="pct"/>
                  <w:gridSpan w:val="2"/>
                  <w:noWrap w:val="0"/>
                  <w:vAlign w:val="center"/>
                </w:tcPr>
                <w:p>
                  <w:pPr>
                    <w:adjustRightInd w:val="0"/>
                    <w:jc w:val="center"/>
                    <w:rPr>
                      <w:rFonts w:hint="eastAsia" w:eastAsia="宋体"/>
                      <w:szCs w:val="21"/>
                      <w:lang w:eastAsia="zh-CN"/>
                    </w:rPr>
                  </w:pPr>
                  <w:r>
                    <w:rPr>
                      <w:rFonts w:hint="eastAsia"/>
                      <w:szCs w:val="21"/>
                    </w:rPr>
                    <w:t>医院废水经污水处理站处理达标后，排入</w:t>
                  </w:r>
                  <w:r>
                    <w:rPr>
                      <w:rFonts w:hint="eastAsia"/>
                      <w:szCs w:val="21"/>
                      <w:lang w:eastAsia="zh-CN"/>
                    </w:rPr>
                    <w:t>乐山市第三污水处理厂处理</w:t>
                  </w:r>
                </w:p>
              </w:tc>
              <w:tc>
                <w:tcPr>
                  <w:tcW w:w="539" w:type="pct"/>
                  <w:noWrap w:val="0"/>
                  <w:vAlign w:val="center"/>
                </w:tcPr>
                <w:p>
                  <w:pPr>
                    <w:jc w:val="center"/>
                  </w:pPr>
                  <w:r>
                    <w:rPr>
                      <w:rFonts w:hint="eastAsia"/>
                    </w:rPr>
                    <w:t>/</w:t>
                  </w:r>
                </w:p>
              </w:tc>
              <w:tc>
                <w:tcPr>
                  <w:tcW w:w="498" w:type="pct"/>
                  <w:noWrap w:val="0"/>
                  <w:vAlign w:val="center"/>
                </w:tcPr>
                <w:p>
                  <w:pPr>
                    <w:jc w:val="cente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52" w:type="pct"/>
                  <w:vMerge w:val="continue"/>
                  <w:noWrap w:val="0"/>
                  <w:vAlign w:val="center"/>
                </w:tcPr>
                <w:p>
                  <w:pPr>
                    <w:pStyle w:val="129"/>
                  </w:pPr>
                </w:p>
              </w:tc>
              <w:tc>
                <w:tcPr>
                  <w:tcW w:w="502" w:type="pct"/>
                  <w:noWrap w:val="0"/>
                  <w:vAlign w:val="center"/>
                </w:tcPr>
                <w:p>
                  <w:pPr>
                    <w:adjustRightInd w:val="0"/>
                    <w:jc w:val="center"/>
                    <w:rPr>
                      <w:rFonts w:hint="eastAsia"/>
                      <w:szCs w:val="21"/>
                    </w:rPr>
                  </w:pPr>
                  <w:r>
                    <w:rPr>
                      <w:rFonts w:hint="eastAsia"/>
                      <w:szCs w:val="21"/>
                    </w:rPr>
                    <w:t>通风</w:t>
                  </w:r>
                </w:p>
              </w:tc>
              <w:tc>
                <w:tcPr>
                  <w:tcW w:w="3007" w:type="pct"/>
                  <w:gridSpan w:val="2"/>
                  <w:noWrap w:val="0"/>
                  <w:vAlign w:val="center"/>
                </w:tcPr>
                <w:p>
                  <w:pPr>
                    <w:adjustRightInd w:val="0"/>
                    <w:jc w:val="center"/>
                    <w:rPr>
                      <w:szCs w:val="21"/>
                    </w:rPr>
                  </w:pPr>
                  <w:r>
                    <w:rPr>
                      <w:rFonts w:hint="eastAsia" w:ascii="宋体" w:hAnsi="宋体" w:cs="宋体"/>
                      <w:spacing w:val="9"/>
                      <w:sz w:val="21"/>
                      <w:szCs w:val="21"/>
                      <w:lang w:eastAsia="zh-CN"/>
                    </w:rPr>
                    <w:t>依托原有</w:t>
                  </w:r>
                  <w:r>
                    <w:rPr>
                      <w:rFonts w:ascii="宋体" w:hAnsi="宋体" w:cs="宋体"/>
                      <w:spacing w:val="9"/>
                      <w:sz w:val="21"/>
                      <w:szCs w:val="21"/>
                    </w:rPr>
                    <w:t>通风管</w:t>
                  </w:r>
                </w:p>
              </w:tc>
              <w:tc>
                <w:tcPr>
                  <w:tcW w:w="539" w:type="pct"/>
                  <w:noWrap w:val="0"/>
                  <w:vAlign w:val="center"/>
                </w:tcPr>
                <w:p>
                  <w:pPr>
                    <w:jc w:val="center"/>
                  </w:pPr>
                  <w:r>
                    <w:rPr>
                      <w:rFonts w:hint="eastAsia"/>
                    </w:rPr>
                    <w:t>/</w:t>
                  </w:r>
                </w:p>
              </w:tc>
              <w:tc>
                <w:tcPr>
                  <w:tcW w:w="498" w:type="pct"/>
                  <w:noWrap w:val="0"/>
                  <w:vAlign w:val="center"/>
                </w:tcPr>
                <w:p>
                  <w:pPr>
                    <w:jc w:val="cente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33" w:hRule="atLeast"/>
                <w:jc w:val="center"/>
              </w:trPr>
              <w:tc>
                <w:tcPr>
                  <w:tcW w:w="452" w:type="pct"/>
                  <w:vMerge w:val="restart"/>
                  <w:noWrap w:val="0"/>
                  <w:vAlign w:val="center"/>
                </w:tcPr>
                <w:p>
                  <w:pPr>
                    <w:pStyle w:val="129"/>
                  </w:pPr>
                  <w:r>
                    <w:rPr>
                      <w:rFonts w:hint="eastAsia"/>
                    </w:rPr>
                    <w:t>环保工程</w:t>
                  </w:r>
                </w:p>
              </w:tc>
              <w:tc>
                <w:tcPr>
                  <w:tcW w:w="502" w:type="pct"/>
                  <w:vMerge w:val="restart"/>
                  <w:noWrap w:val="0"/>
                  <w:vAlign w:val="center"/>
                </w:tcPr>
                <w:p>
                  <w:pPr>
                    <w:jc w:val="center"/>
                    <w:rPr>
                      <w:rFonts w:hint="eastAsia" w:eastAsia="宋体"/>
                      <w:lang w:eastAsia="zh-CN"/>
                    </w:rPr>
                  </w:pPr>
                  <w:r>
                    <w:rPr>
                      <w:rFonts w:hint="eastAsia"/>
                      <w:lang w:eastAsia="zh-CN"/>
                    </w:rPr>
                    <w:t>废水治理</w:t>
                  </w:r>
                </w:p>
              </w:tc>
              <w:tc>
                <w:tcPr>
                  <w:tcW w:w="3007" w:type="pct"/>
                  <w:gridSpan w:val="2"/>
                  <w:noWrap w:val="0"/>
                  <w:vAlign w:val="center"/>
                </w:tcPr>
                <w:p>
                  <w:pPr>
                    <w:pStyle w:val="129"/>
                    <w:rPr>
                      <w:rFonts w:hint="eastAsia"/>
                    </w:rPr>
                  </w:pPr>
                  <w:r>
                    <w:rPr>
                      <w:rFonts w:hint="eastAsia"/>
                    </w:rPr>
                    <w:t>污水处理站</w:t>
                  </w:r>
                  <w:r>
                    <w:rPr>
                      <w:rFonts w:hint="eastAsia"/>
                      <w:lang w:eastAsia="zh-CN"/>
                    </w:rPr>
                    <w:t>：</w:t>
                  </w:r>
                  <w:r>
                    <w:rPr>
                      <w:rFonts w:hint="eastAsia"/>
                    </w:rPr>
                    <w:t>1座，采用“二级生化+消毒”处理工艺处理达到预处理标准后，排入</w:t>
                  </w:r>
                  <w:r>
                    <w:rPr>
                      <w:rFonts w:hint="eastAsia"/>
                      <w:lang w:eastAsia="zh-CN"/>
                    </w:rPr>
                    <w:t>乐山市第三</w:t>
                  </w:r>
                  <w:r>
                    <w:rPr>
                      <w:rFonts w:hint="eastAsia"/>
                    </w:rPr>
                    <w:t>污水处理厂处理</w:t>
                  </w:r>
                </w:p>
              </w:tc>
              <w:tc>
                <w:tcPr>
                  <w:tcW w:w="539" w:type="pct"/>
                  <w:vMerge w:val="restart"/>
                  <w:noWrap w:val="0"/>
                  <w:vAlign w:val="center"/>
                </w:tcPr>
                <w:p>
                  <w:pPr>
                    <w:pStyle w:val="129"/>
                    <w:jc w:val="left"/>
                    <w:rPr>
                      <w:rFonts w:hint="eastAsia"/>
                    </w:rPr>
                  </w:pPr>
                  <w:r>
                    <w:rPr>
                      <w:rFonts w:hint="eastAsia"/>
                    </w:rPr>
                    <w:t>臭气</w:t>
                  </w:r>
                  <w:r>
                    <w:rPr>
                      <w:rFonts w:hint="eastAsia"/>
                      <w:lang w:eastAsia="zh-CN"/>
                    </w:rPr>
                    <w:t>、固废、废水</w:t>
                  </w:r>
                </w:p>
              </w:tc>
              <w:tc>
                <w:tcPr>
                  <w:tcW w:w="498" w:type="pct"/>
                  <w:noWrap w:val="0"/>
                  <w:vAlign w:val="center"/>
                </w:tcPr>
                <w:p>
                  <w:pPr>
                    <w:jc w:val="cente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2" w:hRule="atLeast"/>
                <w:jc w:val="center"/>
              </w:trPr>
              <w:tc>
                <w:tcPr>
                  <w:tcW w:w="452" w:type="pct"/>
                  <w:vMerge w:val="continue"/>
                  <w:noWrap w:val="0"/>
                  <w:vAlign w:val="center"/>
                </w:tcPr>
                <w:p>
                  <w:pPr>
                    <w:pStyle w:val="129"/>
                  </w:pPr>
                </w:p>
              </w:tc>
              <w:tc>
                <w:tcPr>
                  <w:tcW w:w="502" w:type="pct"/>
                  <w:vMerge w:val="continue"/>
                  <w:noWrap w:val="0"/>
                  <w:vAlign w:val="center"/>
                </w:tcPr>
                <w:p>
                  <w:pPr>
                    <w:pStyle w:val="129"/>
                  </w:pPr>
                </w:p>
              </w:tc>
              <w:tc>
                <w:tcPr>
                  <w:tcW w:w="3007" w:type="pct"/>
                  <w:gridSpan w:val="2"/>
                  <w:noWrap w:val="0"/>
                  <w:vAlign w:val="center"/>
                </w:tcPr>
                <w:p>
                  <w:pPr>
                    <w:pStyle w:val="129"/>
                    <w:rPr>
                      <w:rFonts w:hint="eastAsia" w:eastAsia="宋体"/>
                      <w:lang w:eastAsia="zh-CN"/>
                    </w:rPr>
                  </w:pPr>
                  <w:r>
                    <w:t>隔油池</w:t>
                  </w:r>
                  <w:r>
                    <w:rPr>
                      <w:rFonts w:hint="eastAsia"/>
                      <w:lang w:eastAsia="zh-CN"/>
                    </w:rPr>
                    <w:t>：</w:t>
                  </w:r>
                  <w:r>
                    <w:t>1座，</w:t>
                  </w:r>
                  <w:r>
                    <w:rPr>
                      <w:rFonts w:hint="eastAsia"/>
                      <w:lang w:eastAsia="zh-CN"/>
                    </w:rPr>
                    <w:t>厨房含油废</w:t>
                  </w:r>
                  <w:r>
                    <w:t>水</w:t>
                  </w:r>
                  <w:r>
                    <w:rPr>
                      <w:rFonts w:hint="eastAsia"/>
                      <w:lang w:eastAsia="zh-CN"/>
                    </w:rPr>
                    <w:t>由</w:t>
                  </w:r>
                  <w:r>
                    <w:t>隔油池预处理</w:t>
                  </w:r>
                  <w:r>
                    <w:rPr>
                      <w:rFonts w:hint="eastAsia"/>
                      <w:lang w:eastAsia="zh-CN"/>
                    </w:rPr>
                    <w:t>后进入院内现有污水处理站处理</w:t>
                  </w:r>
                </w:p>
              </w:tc>
              <w:tc>
                <w:tcPr>
                  <w:tcW w:w="539" w:type="pct"/>
                  <w:vMerge w:val="continue"/>
                  <w:noWrap w:val="0"/>
                  <w:vAlign w:val="center"/>
                </w:tcPr>
                <w:p>
                  <w:pPr>
                    <w:pStyle w:val="129"/>
                    <w:rPr>
                      <w:rFonts w:hint="eastAsia" w:eastAsia="宋体"/>
                      <w:lang w:eastAsia="zh-CN"/>
                    </w:rPr>
                  </w:pPr>
                </w:p>
              </w:tc>
              <w:tc>
                <w:tcPr>
                  <w:tcW w:w="498" w:type="pct"/>
                  <w:noWrap w:val="0"/>
                  <w:vAlign w:val="center"/>
                </w:tcPr>
                <w:p>
                  <w:pPr>
                    <w:jc w:val="cente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jc w:val="center"/>
              </w:trPr>
              <w:tc>
                <w:tcPr>
                  <w:tcW w:w="452" w:type="pct"/>
                  <w:vMerge w:val="continue"/>
                  <w:noWrap w:val="0"/>
                  <w:vAlign w:val="center"/>
                </w:tcPr>
                <w:p>
                  <w:pPr>
                    <w:pStyle w:val="129"/>
                  </w:pPr>
                </w:p>
              </w:tc>
              <w:tc>
                <w:tcPr>
                  <w:tcW w:w="502" w:type="pct"/>
                  <w:vMerge w:val="continue"/>
                  <w:noWrap w:val="0"/>
                  <w:vAlign w:val="center"/>
                </w:tcPr>
                <w:p>
                  <w:pPr>
                    <w:adjustRightInd w:val="0"/>
                    <w:jc w:val="center"/>
                    <w:rPr>
                      <w:rFonts w:hint="eastAsia"/>
                      <w:bCs/>
                      <w:szCs w:val="21"/>
                    </w:rPr>
                  </w:pPr>
                </w:p>
              </w:tc>
              <w:tc>
                <w:tcPr>
                  <w:tcW w:w="3007" w:type="pct"/>
                  <w:gridSpan w:val="2"/>
                  <w:noWrap w:val="0"/>
                  <w:vAlign w:val="center"/>
                </w:tcPr>
                <w:p>
                  <w:pPr>
                    <w:pStyle w:val="129"/>
                    <w:rPr>
                      <w:rFonts w:hint="eastAsia"/>
                      <w:bCs/>
                      <w:szCs w:val="21"/>
                    </w:rPr>
                  </w:pPr>
                  <w:r>
                    <w:t>化粪池</w:t>
                  </w:r>
                  <w:r>
                    <w:rPr>
                      <w:rFonts w:hint="eastAsia"/>
                      <w:lang w:eastAsia="zh-CN"/>
                    </w:rPr>
                    <w:t>：</w:t>
                  </w:r>
                  <w:r>
                    <w:rPr>
                      <w:rFonts w:hint="eastAsia"/>
                      <w:bCs/>
                      <w:szCs w:val="21"/>
                    </w:rPr>
                    <w:t>3座（项目本身建设3座，扩建前使用2座，扩建后3座同时投入使用），砖混结构，</w:t>
                  </w:r>
                  <w:r>
                    <w:rPr>
                      <w:rFonts w:hint="eastAsia"/>
                      <w:bCs/>
                      <w:szCs w:val="21"/>
                      <w:lang w:eastAsia="zh-CN"/>
                    </w:rPr>
                    <w:t>本项目废水</w:t>
                  </w:r>
                  <w:r>
                    <w:rPr>
                      <w:rFonts w:hint="eastAsia"/>
                      <w:bCs/>
                      <w:szCs w:val="21"/>
                    </w:rPr>
                    <w:t>经化粪池排入医院污水处理站处理</w:t>
                  </w:r>
                </w:p>
              </w:tc>
              <w:tc>
                <w:tcPr>
                  <w:tcW w:w="539" w:type="pct"/>
                  <w:vMerge w:val="continue"/>
                  <w:noWrap w:val="0"/>
                  <w:vAlign w:val="center"/>
                </w:tcPr>
                <w:p>
                  <w:pPr>
                    <w:pStyle w:val="129"/>
                    <w:rPr>
                      <w:rFonts w:hint="eastAsia"/>
                    </w:rPr>
                  </w:pPr>
                </w:p>
              </w:tc>
              <w:tc>
                <w:tcPr>
                  <w:tcW w:w="498" w:type="pct"/>
                  <w:noWrap w:val="0"/>
                  <w:vAlign w:val="center"/>
                </w:tcPr>
                <w:p>
                  <w:pPr>
                    <w:jc w:val="center"/>
                    <w:rPr>
                      <w:rFonts w:hint="eastAsia"/>
                    </w:rP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1" w:hRule="atLeast"/>
                <w:jc w:val="center"/>
              </w:trPr>
              <w:tc>
                <w:tcPr>
                  <w:tcW w:w="452" w:type="pct"/>
                  <w:vMerge w:val="continue"/>
                  <w:noWrap w:val="0"/>
                  <w:vAlign w:val="center"/>
                </w:tcPr>
                <w:p>
                  <w:pPr>
                    <w:pStyle w:val="129"/>
                  </w:pPr>
                </w:p>
              </w:tc>
              <w:tc>
                <w:tcPr>
                  <w:tcW w:w="502" w:type="pct"/>
                  <w:vMerge w:val="restart"/>
                  <w:noWrap w:val="0"/>
                  <w:vAlign w:val="center"/>
                </w:tcPr>
                <w:p>
                  <w:pPr>
                    <w:adjustRightInd w:val="0"/>
                    <w:jc w:val="center"/>
                    <w:rPr>
                      <w:rFonts w:hint="eastAsia" w:eastAsia="宋体"/>
                      <w:bCs/>
                      <w:szCs w:val="21"/>
                      <w:lang w:eastAsia="zh-CN"/>
                    </w:rPr>
                  </w:pPr>
                  <w:r>
                    <w:rPr>
                      <w:rFonts w:hint="eastAsia"/>
                      <w:bCs/>
                      <w:szCs w:val="21"/>
                      <w:lang w:eastAsia="zh-CN"/>
                    </w:rPr>
                    <w:t>废气治理</w:t>
                  </w:r>
                </w:p>
              </w:tc>
              <w:tc>
                <w:tcPr>
                  <w:tcW w:w="3007" w:type="pct"/>
                  <w:gridSpan w:val="2"/>
                  <w:noWrap w:val="0"/>
                  <w:vAlign w:val="center"/>
                </w:tcPr>
                <w:p>
                  <w:pPr>
                    <w:pStyle w:val="129"/>
                    <w:rPr>
                      <w:rFonts w:hint="eastAsia" w:eastAsia="宋体"/>
                      <w:lang w:eastAsia="zh-CN"/>
                    </w:rPr>
                  </w:pPr>
                  <w:r>
                    <w:rPr>
                      <w:rFonts w:hint="eastAsia"/>
                      <w:lang w:eastAsia="zh-CN"/>
                    </w:rPr>
                    <w:t>污水处理站臭气：</w:t>
                  </w:r>
                  <w:r>
                    <w:rPr>
                      <w:rFonts w:hint="eastAsia"/>
                      <w:bCs/>
                      <w:szCs w:val="21"/>
                    </w:rPr>
                    <w:t>地埋式污水处理站，盖板封闭</w:t>
                  </w:r>
                  <w:r>
                    <w:rPr>
                      <w:rFonts w:hint="eastAsia"/>
                      <w:bCs/>
                      <w:szCs w:val="21"/>
                      <w:lang w:eastAsia="zh-CN"/>
                    </w:rPr>
                    <w:t>，喷洒除臭剂，</w:t>
                  </w:r>
                  <w:r>
                    <w:rPr>
                      <w:rFonts w:hint="eastAsia" w:ascii="宋体" w:hAnsi="宋体"/>
                      <w:sz w:val="21"/>
                      <w:szCs w:val="18"/>
                    </w:rPr>
                    <w:t>加强周边绿化等措施后</w:t>
                  </w:r>
                </w:p>
              </w:tc>
              <w:tc>
                <w:tcPr>
                  <w:tcW w:w="539" w:type="pct"/>
                  <w:noWrap w:val="0"/>
                  <w:vAlign w:val="center"/>
                </w:tcPr>
                <w:p>
                  <w:pPr>
                    <w:pStyle w:val="129"/>
                    <w:rPr>
                      <w:rFonts w:hint="eastAsia"/>
                    </w:rPr>
                  </w:pPr>
                  <w:r>
                    <w:rPr>
                      <w:rFonts w:hint="eastAsia"/>
                    </w:rPr>
                    <w:t>/</w:t>
                  </w:r>
                </w:p>
              </w:tc>
              <w:tc>
                <w:tcPr>
                  <w:tcW w:w="498" w:type="pct"/>
                  <w:noWrap w:val="0"/>
                  <w:vAlign w:val="center"/>
                </w:tcPr>
                <w:p>
                  <w:pPr>
                    <w:jc w:val="center"/>
                    <w:rPr>
                      <w:rFonts w:hint="eastAsia"/>
                    </w:rP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52" w:type="pct"/>
                  <w:vMerge w:val="continue"/>
                  <w:noWrap w:val="0"/>
                  <w:vAlign w:val="center"/>
                </w:tcPr>
                <w:p>
                  <w:pPr>
                    <w:pStyle w:val="129"/>
                  </w:pPr>
                </w:p>
              </w:tc>
              <w:tc>
                <w:tcPr>
                  <w:tcW w:w="502" w:type="pct"/>
                  <w:vMerge w:val="continue"/>
                  <w:noWrap w:val="0"/>
                  <w:vAlign w:val="center"/>
                </w:tcPr>
                <w:p>
                  <w:pPr>
                    <w:adjustRightInd w:val="0"/>
                    <w:jc w:val="center"/>
                    <w:rPr>
                      <w:rFonts w:hint="eastAsia"/>
                      <w:bCs/>
                      <w:szCs w:val="21"/>
                      <w:lang w:eastAsia="zh-CN"/>
                    </w:rPr>
                  </w:pPr>
                </w:p>
              </w:tc>
              <w:tc>
                <w:tcPr>
                  <w:tcW w:w="3007" w:type="pct"/>
                  <w:gridSpan w:val="2"/>
                  <w:noWrap w:val="0"/>
                  <w:vAlign w:val="center"/>
                </w:tcPr>
                <w:p>
                  <w:pPr>
                    <w:pStyle w:val="165"/>
                    <w:rPr>
                      <w:rFonts w:hint="eastAsia" w:ascii="Times New Roman" w:hAnsi="Times New Roman" w:eastAsia="宋体" w:cs="Times New Roman"/>
                      <w:sz w:val="21"/>
                      <w:lang w:val="en-US" w:eastAsia="zh-CN" w:bidi="ar-SA"/>
                    </w:rPr>
                  </w:pPr>
                  <w:r>
                    <w:rPr>
                      <w:rFonts w:hint="eastAsia"/>
                    </w:rPr>
                    <w:t>食堂油烟</w:t>
                  </w:r>
                  <w:r>
                    <w:rPr>
                      <w:rFonts w:hint="eastAsia"/>
                      <w:lang w:eastAsia="zh-CN"/>
                    </w:rPr>
                    <w:t>：</w:t>
                  </w:r>
                  <w:r>
                    <w:rPr>
                      <w:rFonts w:hint="eastAsia"/>
                      <w:bCs/>
                      <w:szCs w:val="21"/>
                    </w:rPr>
                    <w:t>油烟机处理后排放</w:t>
                  </w:r>
                </w:p>
              </w:tc>
              <w:tc>
                <w:tcPr>
                  <w:tcW w:w="539" w:type="pct"/>
                  <w:noWrap w:val="0"/>
                  <w:vAlign w:val="center"/>
                </w:tcPr>
                <w:p>
                  <w:pPr>
                    <w:pStyle w:val="129"/>
                    <w:rPr>
                      <w:rFonts w:hint="eastAsia"/>
                    </w:rPr>
                  </w:pPr>
                  <w:r>
                    <w:rPr>
                      <w:rFonts w:hint="eastAsia"/>
                    </w:rPr>
                    <w:t>/</w:t>
                  </w:r>
                </w:p>
              </w:tc>
              <w:tc>
                <w:tcPr>
                  <w:tcW w:w="498" w:type="pct"/>
                  <w:noWrap w:val="0"/>
                  <w:vAlign w:val="center"/>
                </w:tcPr>
                <w:p>
                  <w:pPr>
                    <w:jc w:val="center"/>
                    <w:rPr>
                      <w:rFonts w:hint="eastAsia"/>
                    </w:rP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4" w:hRule="atLeast"/>
                <w:jc w:val="center"/>
              </w:trPr>
              <w:tc>
                <w:tcPr>
                  <w:tcW w:w="452" w:type="pct"/>
                  <w:vMerge w:val="continue"/>
                  <w:noWrap w:val="0"/>
                  <w:vAlign w:val="center"/>
                </w:tcPr>
                <w:p>
                  <w:pPr>
                    <w:pStyle w:val="129"/>
                  </w:pPr>
                </w:p>
              </w:tc>
              <w:tc>
                <w:tcPr>
                  <w:tcW w:w="502" w:type="pct"/>
                  <w:vMerge w:val="continue"/>
                  <w:noWrap w:val="0"/>
                  <w:vAlign w:val="center"/>
                </w:tcPr>
                <w:p>
                  <w:pPr>
                    <w:adjustRightInd w:val="0"/>
                    <w:jc w:val="center"/>
                    <w:rPr>
                      <w:rFonts w:hint="eastAsia"/>
                      <w:bCs/>
                      <w:szCs w:val="21"/>
                      <w:lang w:eastAsia="zh-CN"/>
                    </w:rPr>
                  </w:pPr>
                </w:p>
              </w:tc>
              <w:tc>
                <w:tcPr>
                  <w:tcW w:w="3007" w:type="pct"/>
                  <w:gridSpan w:val="2"/>
                  <w:noWrap w:val="0"/>
                  <w:vAlign w:val="center"/>
                </w:tcPr>
                <w:p>
                  <w:pPr>
                    <w:pStyle w:val="129"/>
                    <w:rPr>
                      <w:rFonts w:hint="eastAsia" w:eastAsia="宋体"/>
                      <w:kern w:val="2"/>
                      <w:sz w:val="21"/>
                      <w:szCs w:val="21"/>
                      <w:lang w:val="en-US" w:eastAsia="zh-CN" w:bidi="ar-SA"/>
                    </w:rPr>
                  </w:pPr>
                  <w:r>
                    <w:rPr>
                      <w:rFonts w:hint="eastAsia"/>
                    </w:rPr>
                    <w:t>天然气燃烧废气</w:t>
                  </w:r>
                  <w:r>
                    <w:rPr>
                      <w:rFonts w:hint="eastAsia"/>
                      <w:lang w:eastAsia="zh-CN"/>
                    </w:rPr>
                    <w:t>：天然气为清洁能源</w:t>
                  </w:r>
                  <w:r>
                    <w:rPr>
                      <w:rFonts w:hint="eastAsia" w:ascii="Times New Roman" w:hAnsi="Times New Roman" w:eastAsia="宋体"/>
                    </w:rPr>
                    <w:t>，燃烧后产生的污染物较少，不会对周边的环境产生较大的影响</w:t>
                  </w:r>
                </w:p>
              </w:tc>
              <w:tc>
                <w:tcPr>
                  <w:tcW w:w="539" w:type="pct"/>
                  <w:noWrap w:val="0"/>
                  <w:vAlign w:val="center"/>
                </w:tcPr>
                <w:p>
                  <w:pPr>
                    <w:pStyle w:val="129"/>
                    <w:rPr>
                      <w:rFonts w:hint="eastAsia"/>
                    </w:rPr>
                  </w:pPr>
                  <w:r>
                    <w:rPr>
                      <w:rFonts w:hint="eastAsia"/>
                    </w:rPr>
                    <w:t>/</w:t>
                  </w:r>
                </w:p>
              </w:tc>
              <w:tc>
                <w:tcPr>
                  <w:tcW w:w="498" w:type="pct"/>
                  <w:noWrap w:val="0"/>
                  <w:vAlign w:val="center"/>
                </w:tcPr>
                <w:p>
                  <w:pPr>
                    <w:jc w:val="center"/>
                    <w:rPr>
                      <w:rFonts w:hint="eastAsia"/>
                    </w:rP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9" w:hRule="atLeast"/>
                <w:jc w:val="center"/>
              </w:trPr>
              <w:tc>
                <w:tcPr>
                  <w:tcW w:w="452" w:type="pct"/>
                  <w:vMerge w:val="continue"/>
                  <w:noWrap w:val="0"/>
                  <w:vAlign w:val="center"/>
                </w:tcPr>
                <w:p>
                  <w:pPr>
                    <w:pStyle w:val="129"/>
                  </w:pPr>
                </w:p>
              </w:tc>
              <w:tc>
                <w:tcPr>
                  <w:tcW w:w="502" w:type="pct"/>
                  <w:vMerge w:val="continue"/>
                  <w:noWrap w:val="0"/>
                  <w:vAlign w:val="center"/>
                </w:tcPr>
                <w:p>
                  <w:pPr>
                    <w:adjustRightInd w:val="0"/>
                    <w:jc w:val="center"/>
                    <w:rPr>
                      <w:rFonts w:hint="eastAsia"/>
                      <w:bCs/>
                      <w:szCs w:val="21"/>
                      <w:lang w:eastAsia="zh-CN"/>
                    </w:rPr>
                  </w:pPr>
                </w:p>
              </w:tc>
              <w:tc>
                <w:tcPr>
                  <w:tcW w:w="3007" w:type="pct"/>
                  <w:gridSpan w:val="2"/>
                  <w:noWrap w:val="0"/>
                  <w:vAlign w:val="center"/>
                </w:tcPr>
                <w:p>
                  <w:pPr>
                    <w:pStyle w:val="129"/>
                    <w:rPr>
                      <w:rFonts w:hint="eastAsia" w:eastAsia="宋体"/>
                      <w:kern w:val="2"/>
                      <w:sz w:val="21"/>
                      <w:szCs w:val="21"/>
                      <w:lang w:val="en-US" w:eastAsia="zh-CN" w:bidi="ar-SA"/>
                    </w:rPr>
                  </w:pPr>
                  <w:r>
                    <w:rPr>
                      <w:rFonts w:hint="eastAsia"/>
                    </w:rPr>
                    <w:t>备用发电机组废气</w:t>
                  </w:r>
                  <w:r>
                    <w:rPr>
                      <w:rFonts w:hint="eastAsia"/>
                      <w:lang w:eastAsia="zh-CN"/>
                    </w:rPr>
                    <w:t>：发电机使用几率小，</w:t>
                  </w:r>
                  <w:r>
                    <w:rPr>
                      <w:rFonts w:hint="eastAsia" w:ascii="Times New Roman" w:hAnsi="Times New Roman" w:eastAsia="宋体"/>
                    </w:rPr>
                    <w:t>烟气污染物排放量很少</w:t>
                  </w:r>
                  <w:r>
                    <w:rPr>
                      <w:rFonts w:hint="eastAsia" w:ascii="Times New Roman" w:hAnsi="Times New Roman" w:eastAsia="宋体"/>
                      <w:lang w:eastAsia="zh-CN"/>
                    </w:rPr>
                    <w:t>，</w:t>
                  </w:r>
                  <w:r>
                    <w:rPr>
                      <w:rFonts w:hint="eastAsia" w:ascii="Times New Roman" w:hAnsi="Times New Roman" w:eastAsia="宋体"/>
                    </w:rPr>
                    <w:t>不会对周边的环境产生较大的影响</w:t>
                  </w:r>
                </w:p>
              </w:tc>
              <w:tc>
                <w:tcPr>
                  <w:tcW w:w="539" w:type="pct"/>
                  <w:noWrap w:val="0"/>
                  <w:vAlign w:val="center"/>
                </w:tcPr>
                <w:p>
                  <w:pPr>
                    <w:pStyle w:val="129"/>
                    <w:rPr>
                      <w:rFonts w:hint="eastAsia"/>
                    </w:rPr>
                  </w:pPr>
                  <w:r>
                    <w:rPr>
                      <w:rFonts w:hint="eastAsia"/>
                    </w:rPr>
                    <w:t>/</w:t>
                  </w:r>
                </w:p>
              </w:tc>
              <w:tc>
                <w:tcPr>
                  <w:tcW w:w="498" w:type="pct"/>
                  <w:noWrap w:val="0"/>
                  <w:vAlign w:val="center"/>
                </w:tcPr>
                <w:p>
                  <w:pPr>
                    <w:jc w:val="center"/>
                    <w:rPr>
                      <w:rFonts w:hint="eastAsia"/>
                    </w:rP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2" w:hRule="atLeast"/>
                <w:jc w:val="center"/>
              </w:trPr>
              <w:tc>
                <w:tcPr>
                  <w:tcW w:w="452" w:type="pct"/>
                  <w:vMerge w:val="continue"/>
                  <w:noWrap w:val="0"/>
                  <w:vAlign w:val="center"/>
                </w:tcPr>
                <w:p>
                  <w:pPr>
                    <w:pStyle w:val="129"/>
                  </w:pPr>
                </w:p>
              </w:tc>
              <w:tc>
                <w:tcPr>
                  <w:tcW w:w="502" w:type="pct"/>
                  <w:vMerge w:val="restart"/>
                  <w:noWrap w:val="0"/>
                  <w:vAlign w:val="center"/>
                </w:tcPr>
                <w:p>
                  <w:pPr>
                    <w:adjustRightInd w:val="0"/>
                    <w:jc w:val="center"/>
                    <w:rPr>
                      <w:rFonts w:hint="eastAsia"/>
                      <w:bCs/>
                      <w:szCs w:val="21"/>
                      <w:lang w:eastAsia="zh-CN"/>
                    </w:rPr>
                  </w:pPr>
                  <w:r>
                    <w:rPr>
                      <w:rFonts w:hint="eastAsia"/>
                      <w:bCs/>
                      <w:szCs w:val="21"/>
                      <w:lang w:eastAsia="zh-CN"/>
                    </w:rPr>
                    <w:t>噪声治理</w:t>
                  </w:r>
                </w:p>
              </w:tc>
              <w:tc>
                <w:tcPr>
                  <w:tcW w:w="3007" w:type="pct"/>
                  <w:gridSpan w:val="2"/>
                  <w:noWrap w:val="0"/>
                  <w:vAlign w:val="center"/>
                </w:tcPr>
                <w:p>
                  <w:pPr>
                    <w:pStyle w:val="129"/>
                    <w:rPr>
                      <w:rFonts w:hint="default" w:eastAsia="宋体"/>
                      <w:lang w:val="en-US" w:eastAsia="zh-CN"/>
                    </w:rPr>
                  </w:pPr>
                  <w:r>
                    <w:rPr>
                      <w:rFonts w:hint="eastAsia"/>
                      <w:lang w:eastAsia="zh-CN"/>
                    </w:rPr>
                    <w:t>设备噪声：</w:t>
                  </w:r>
                  <w:r>
                    <w:rPr>
                      <w:rFonts w:hint="eastAsia"/>
                      <w:bCs/>
                      <w:szCs w:val="21"/>
                    </w:rPr>
                    <w:t>发电机、污水泵均采取了隔声封闭、基础减震措施，空调间歇式使用</w:t>
                  </w:r>
                </w:p>
              </w:tc>
              <w:tc>
                <w:tcPr>
                  <w:tcW w:w="539" w:type="pct"/>
                  <w:noWrap w:val="0"/>
                  <w:vAlign w:val="center"/>
                </w:tcPr>
                <w:p>
                  <w:pPr>
                    <w:jc w:val="center"/>
                    <w:rPr>
                      <w:rFonts w:hint="eastAsia"/>
                    </w:rPr>
                  </w:pPr>
                  <w:r>
                    <w:rPr>
                      <w:rFonts w:hint="eastAsia"/>
                    </w:rPr>
                    <w:t>/</w:t>
                  </w:r>
                </w:p>
              </w:tc>
              <w:tc>
                <w:tcPr>
                  <w:tcW w:w="498" w:type="pct"/>
                  <w:noWrap w:val="0"/>
                  <w:vAlign w:val="center"/>
                </w:tcPr>
                <w:p>
                  <w:pPr>
                    <w:jc w:val="center"/>
                    <w:rPr>
                      <w:rFonts w:hint="eastAsia"/>
                    </w:rP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452" w:type="pct"/>
                  <w:vMerge w:val="continue"/>
                  <w:noWrap w:val="0"/>
                  <w:vAlign w:val="center"/>
                </w:tcPr>
                <w:p>
                  <w:pPr>
                    <w:pStyle w:val="129"/>
                  </w:pPr>
                </w:p>
              </w:tc>
              <w:tc>
                <w:tcPr>
                  <w:tcW w:w="502" w:type="pct"/>
                  <w:vMerge w:val="continue"/>
                  <w:noWrap w:val="0"/>
                  <w:vAlign w:val="center"/>
                </w:tcPr>
                <w:p>
                  <w:pPr>
                    <w:adjustRightInd w:val="0"/>
                    <w:jc w:val="center"/>
                    <w:rPr>
                      <w:rFonts w:hint="eastAsia"/>
                      <w:bCs/>
                      <w:szCs w:val="21"/>
                      <w:lang w:eastAsia="zh-CN"/>
                    </w:rPr>
                  </w:pPr>
                </w:p>
              </w:tc>
              <w:tc>
                <w:tcPr>
                  <w:tcW w:w="3007" w:type="pct"/>
                  <w:gridSpan w:val="2"/>
                  <w:noWrap w:val="0"/>
                  <w:vAlign w:val="center"/>
                </w:tcPr>
                <w:p>
                  <w:pPr>
                    <w:pStyle w:val="129"/>
                    <w:rPr>
                      <w:rFonts w:hint="eastAsia" w:eastAsia="宋体"/>
                      <w:lang w:eastAsia="zh-CN"/>
                    </w:rPr>
                  </w:pPr>
                  <w:r>
                    <w:rPr>
                      <w:rFonts w:hint="eastAsia"/>
                      <w:lang w:eastAsia="zh-CN"/>
                    </w:rPr>
                    <w:t>车辆噪声：</w:t>
                  </w:r>
                  <w:r>
                    <w:rPr>
                      <w:rFonts w:hint="eastAsia"/>
                      <w:bCs/>
                      <w:szCs w:val="21"/>
                    </w:rPr>
                    <w:t>医院进出车辆低速行驶，禁止鸣笛、频繁点火</w:t>
                  </w:r>
                </w:p>
              </w:tc>
              <w:tc>
                <w:tcPr>
                  <w:tcW w:w="539" w:type="pct"/>
                  <w:noWrap w:val="0"/>
                  <w:vAlign w:val="center"/>
                </w:tcPr>
                <w:p>
                  <w:pPr>
                    <w:jc w:val="center"/>
                    <w:rPr>
                      <w:rFonts w:hint="eastAsia"/>
                    </w:rPr>
                  </w:pPr>
                  <w:r>
                    <w:rPr>
                      <w:rFonts w:hint="eastAsia"/>
                    </w:rPr>
                    <w:t>/</w:t>
                  </w:r>
                </w:p>
              </w:tc>
              <w:tc>
                <w:tcPr>
                  <w:tcW w:w="498" w:type="pct"/>
                  <w:noWrap w:val="0"/>
                  <w:vAlign w:val="center"/>
                </w:tcPr>
                <w:p>
                  <w:pPr>
                    <w:jc w:val="center"/>
                    <w:rPr>
                      <w:rFonts w:hint="eastAsia"/>
                    </w:rP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16" w:hRule="atLeast"/>
                <w:jc w:val="center"/>
              </w:trPr>
              <w:tc>
                <w:tcPr>
                  <w:tcW w:w="452" w:type="pct"/>
                  <w:vMerge w:val="continue"/>
                  <w:noWrap w:val="0"/>
                  <w:vAlign w:val="center"/>
                </w:tcPr>
                <w:p>
                  <w:pPr>
                    <w:pStyle w:val="129"/>
                  </w:pPr>
                </w:p>
              </w:tc>
              <w:tc>
                <w:tcPr>
                  <w:tcW w:w="502" w:type="pct"/>
                  <w:vMerge w:val="continue"/>
                  <w:noWrap w:val="0"/>
                  <w:vAlign w:val="center"/>
                </w:tcPr>
                <w:p>
                  <w:pPr>
                    <w:adjustRightInd w:val="0"/>
                    <w:jc w:val="center"/>
                    <w:rPr>
                      <w:rFonts w:hint="eastAsia"/>
                      <w:bCs/>
                      <w:szCs w:val="21"/>
                      <w:lang w:eastAsia="zh-CN"/>
                    </w:rPr>
                  </w:pPr>
                </w:p>
              </w:tc>
              <w:tc>
                <w:tcPr>
                  <w:tcW w:w="3007" w:type="pct"/>
                  <w:gridSpan w:val="2"/>
                  <w:noWrap w:val="0"/>
                  <w:vAlign w:val="center"/>
                </w:tcPr>
                <w:p>
                  <w:pPr>
                    <w:pStyle w:val="129"/>
                    <w:rPr>
                      <w:rFonts w:hint="eastAsia"/>
                      <w:lang w:eastAsia="zh-CN"/>
                    </w:rPr>
                  </w:pPr>
                  <w:r>
                    <w:rPr>
                      <w:rFonts w:hint="eastAsia"/>
                      <w:lang w:eastAsia="zh-CN"/>
                    </w:rPr>
                    <w:t>社会噪声：</w:t>
                  </w:r>
                  <w:r>
                    <w:rPr>
                      <w:rFonts w:hint="eastAsia"/>
                      <w:bCs/>
                      <w:szCs w:val="21"/>
                    </w:rPr>
                    <w:t>严格遵守医院规章制度，突发情况及时制止，公共区域张贴“禁止高声喧哗”等标语</w:t>
                  </w:r>
                </w:p>
              </w:tc>
              <w:tc>
                <w:tcPr>
                  <w:tcW w:w="539" w:type="pct"/>
                  <w:noWrap w:val="0"/>
                  <w:vAlign w:val="center"/>
                </w:tcPr>
                <w:p>
                  <w:pPr>
                    <w:jc w:val="center"/>
                    <w:rPr>
                      <w:rFonts w:hint="eastAsia"/>
                    </w:rPr>
                  </w:pPr>
                  <w:r>
                    <w:rPr>
                      <w:rFonts w:hint="eastAsia"/>
                    </w:rPr>
                    <w:t>/</w:t>
                  </w:r>
                </w:p>
              </w:tc>
              <w:tc>
                <w:tcPr>
                  <w:tcW w:w="498" w:type="pct"/>
                  <w:noWrap w:val="0"/>
                  <w:vAlign w:val="center"/>
                </w:tcPr>
                <w:p>
                  <w:pPr>
                    <w:jc w:val="center"/>
                    <w:rPr>
                      <w:rFonts w:hint="eastAsia"/>
                    </w:rP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09" w:hRule="atLeast"/>
                <w:jc w:val="center"/>
              </w:trPr>
              <w:tc>
                <w:tcPr>
                  <w:tcW w:w="452" w:type="pct"/>
                  <w:vMerge w:val="continue"/>
                  <w:noWrap w:val="0"/>
                  <w:vAlign w:val="center"/>
                </w:tcPr>
                <w:p>
                  <w:pPr>
                    <w:pStyle w:val="129"/>
                  </w:pPr>
                </w:p>
              </w:tc>
              <w:tc>
                <w:tcPr>
                  <w:tcW w:w="502" w:type="pct"/>
                  <w:vMerge w:val="restart"/>
                  <w:noWrap w:val="0"/>
                  <w:vAlign w:val="center"/>
                </w:tcPr>
                <w:p>
                  <w:pPr>
                    <w:adjustRightInd w:val="0"/>
                    <w:jc w:val="center"/>
                    <w:rPr>
                      <w:rFonts w:hint="eastAsia" w:eastAsia="宋体"/>
                      <w:bCs/>
                      <w:szCs w:val="21"/>
                      <w:lang w:eastAsia="zh-CN"/>
                    </w:rPr>
                  </w:pPr>
                  <w:r>
                    <w:rPr>
                      <w:rFonts w:hint="eastAsia"/>
                      <w:bCs/>
                      <w:szCs w:val="21"/>
                      <w:lang w:eastAsia="zh-CN"/>
                    </w:rPr>
                    <w:t>固废处置</w:t>
                  </w:r>
                </w:p>
              </w:tc>
              <w:tc>
                <w:tcPr>
                  <w:tcW w:w="3007" w:type="pct"/>
                  <w:gridSpan w:val="2"/>
                  <w:noWrap w:val="0"/>
                  <w:vAlign w:val="center"/>
                </w:tcPr>
                <w:p>
                  <w:pPr>
                    <w:pStyle w:val="129"/>
                    <w:rPr>
                      <w:rFonts w:hint="eastAsia"/>
                      <w:bCs/>
                      <w:szCs w:val="21"/>
                    </w:rPr>
                  </w:pPr>
                  <w:r>
                    <w:t>医废暂存间</w:t>
                  </w:r>
                  <w:r>
                    <w:rPr>
                      <w:rFonts w:hint="eastAsia"/>
                      <w:lang w:eastAsia="zh-CN"/>
                    </w:rPr>
                    <w:t>：</w:t>
                  </w:r>
                  <w:r>
                    <w:rPr>
                      <w:rFonts w:hint="eastAsia"/>
                      <w:bCs/>
                      <w:szCs w:val="21"/>
                    </w:rPr>
                    <w:t>1间，位于门诊楼</w:t>
                  </w:r>
                  <w:r>
                    <w:rPr>
                      <w:rFonts w:hint="eastAsia"/>
                      <w:bCs/>
                      <w:szCs w:val="21"/>
                      <w:lang w:val="en-US" w:eastAsia="zh-CN"/>
                    </w:rPr>
                    <w:t>1F内，医疗废物与污水处理站污泥暂存于医疗废物暂存间，交由有资质单位处理</w:t>
                  </w:r>
                </w:p>
              </w:tc>
              <w:tc>
                <w:tcPr>
                  <w:tcW w:w="539" w:type="pct"/>
                  <w:noWrap w:val="0"/>
                  <w:vAlign w:val="center"/>
                </w:tcPr>
                <w:p>
                  <w:pPr>
                    <w:jc w:val="center"/>
                    <w:rPr>
                      <w:rFonts w:hint="eastAsia"/>
                    </w:rPr>
                  </w:pPr>
                  <w:r>
                    <w:rPr>
                      <w:rFonts w:hint="eastAsia"/>
                    </w:rPr>
                    <w:t>/</w:t>
                  </w:r>
                </w:p>
              </w:tc>
              <w:tc>
                <w:tcPr>
                  <w:tcW w:w="498" w:type="pct"/>
                  <w:noWrap w:val="0"/>
                  <w:vAlign w:val="center"/>
                </w:tcPr>
                <w:p>
                  <w:pPr>
                    <w:jc w:val="center"/>
                    <w:rPr>
                      <w:rFonts w:hint="eastAsia"/>
                    </w:rP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52" w:type="pct"/>
                  <w:vMerge w:val="continue"/>
                  <w:noWrap w:val="0"/>
                  <w:vAlign w:val="center"/>
                </w:tcPr>
                <w:p>
                  <w:pPr>
                    <w:pStyle w:val="129"/>
                  </w:pPr>
                </w:p>
              </w:tc>
              <w:tc>
                <w:tcPr>
                  <w:tcW w:w="502" w:type="pct"/>
                  <w:vMerge w:val="continue"/>
                  <w:noWrap w:val="0"/>
                  <w:vAlign w:val="center"/>
                </w:tcPr>
                <w:p>
                  <w:pPr>
                    <w:adjustRightInd w:val="0"/>
                    <w:jc w:val="center"/>
                    <w:rPr>
                      <w:rFonts w:hint="eastAsia"/>
                      <w:bCs/>
                      <w:szCs w:val="21"/>
                    </w:rPr>
                  </w:pPr>
                </w:p>
              </w:tc>
              <w:tc>
                <w:tcPr>
                  <w:tcW w:w="3007" w:type="pct"/>
                  <w:gridSpan w:val="2"/>
                  <w:noWrap w:val="0"/>
                  <w:vAlign w:val="center"/>
                </w:tcPr>
                <w:p>
                  <w:pPr>
                    <w:pStyle w:val="129"/>
                    <w:rPr>
                      <w:rFonts w:hint="eastAsia"/>
                      <w:bCs/>
                      <w:szCs w:val="21"/>
                    </w:rPr>
                  </w:pPr>
                  <w:r>
                    <w:rPr>
                      <w:rFonts w:ascii="宋体" w:hAnsi="宋体" w:cs="宋体"/>
                      <w:spacing w:val="-2"/>
                      <w:sz w:val="21"/>
                      <w:szCs w:val="21"/>
                    </w:rPr>
                    <w:t>生活垃圾</w:t>
                  </w:r>
                  <w:r>
                    <w:rPr>
                      <w:rFonts w:hint="eastAsia" w:ascii="宋体" w:hAnsi="宋体" w:cs="宋体"/>
                      <w:spacing w:val="-2"/>
                      <w:sz w:val="21"/>
                      <w:szCs w:val="21"/>
                      <w:lang w:eastAsia="zh-CN"/>
                    </w:rPr>
                    <w:t>：</w:t>
                  </w:r>
                  <w:r>
                    <w:rPr>
                      <w:rFonts w:hint="eastAsia"/>
                      <w:bCs/>
                      <w:szCs w:val="21"/>
                    </w:rPr>
                    <w:t>各层垃圾桶收集后，交当地环卫部门清运</w:t>
                  </w:r>
                </w:p>
              </w:tc>
              <w:tc>
                <w:tcPr>
                  <w:tcW w:w="539" w:type="pct"/>
                  <w:noWrap w:val="0"/>
                  <w:vAlign w:val="center"/>
                </w:tcPr>
                <w:p>
                  <w:pPr>
                    <w:jc w:val="center"/>
                    <w:rPr>
                      <w:rFonts w:hint="eastAsia"/>
                    </w:rPr>
                  </w:pPr>
                  <w:r>
                    <w:rPr>
                      <w:rFonts w:hint="eastAsia"/>
                    </w:rPr>
                    <w:t>/</w:t>
                  </w:r>
                </w:p>
              </w:tc>
              <w:tc>
                <w:tcPr>
                  <w:tcW w:w="498" w:type="pct"/>
                  <w:noWrap w:val="0"/>
                  <w:vAlign w:val="center"/>
                </w:tcPr>
                <w:p>
                  <w:pPr>
                    <w:jc w:val="center"/>
                    <w:rPr>
                      <w:rFonts w:hint="eastAsia"/>
                    </w:rPr>
                  </w:pPr>
                  <w:r>
                    <w:rPr>
                      <w:rFonts w:hint="eastAsia"/>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1" w:hRule="atLeast"/>
                <w:jc w:val="center"/>
              </w:trPr>
              <w:tc>
                <w:tcPr>
                  <w:tcW w:w="452" w:type="pct"/>
                  <w:vMerge w:val="continue"/>
                  <w:noWrap w:val="0"/>
                  <w:vAlign w:val="center"/>
                </w:tcPr>
                <w:p>
                  <w:pPr>
                    <w:pStyle w:val="129"/>
                  </w:pPr>
                </w:p>
              </w:tc>
              <w:tc>
                <w:tcPr>
                  <w:tcW w:w="502" w:type="pct"/>
                  <w:noWrap w:val="0"/>
                  <w:vAlign w:val="center"/>
                </w:tcPr>
                <w:p>
                  <w:pPr>
                    <w:adjustRightInd w:val="0"/>
                    <w:jc w:val="center"/>
                    <w:rPr>
                      <w:rFonts w:hint="eastAsia" w:eastAsia="宋体"/>
                      <w:bCs/>
                      <w:szCs w:val="21"/>
                      <w:lang w:eastAsia="zh-CN"/>
                    </w:rPr>
                  </w:pPr>
                  <w:r>
                    <w:rPr>
                      <w:rFonts w:hint="eastAsia"/>
                      <w:bCs/>
                      <w:szCs w:val="21"/>
                      <w:lang w:eastAsia="zh-CN"/>
                    </w:rPr>
                    <w:t>风险措施</w:t>
                  </w:r>
                </w:p>
              </w:tc>
              <w:tc>
                <w:tcPr>
                  <w:tcW w:w="3007" w:type="pct"/>
                  <w:gridSpan w:val="2"/>
                  <w:noWrap w:val="0"/>
                  <w:vAlign w:val="center"/>
                </w:tcPr>
                <w:p>
                  <w:pPr>
                    <w:pStyle w:val="129"/>
                    <w:rPr>
                      <w:rFonts w:hint="eastAsia"/>
                      <w:bCs/>
                      <w:szCs w:val="21"/>
                    </w:rPr>
                  </w:pPr>
                  <w:r>
                    <w:rPr>
                      <w:rFonts w:ascii="宋体" w:hAnsi="宋体" w:cs="宋体"/>
                      <w:spacing w:val="-2"/>
                      <w:sz w:val="21"/>
                      <w:szCs w:val="21"/>
                    </w:rPr>
                    <w:t>事故应急池</w:t>
                  </w:r>
                  <w:r>
                    <w:rPr>
                      <w:rFonts w:hint="eastAsia" w:ascii="宋体" w:hAnsi="宋体" w:cs="宋体"/>
                      <w:spacing w:val="-2"/>
                      <w:sz w:val="21"/>
                      <w:szCs w:val="21"/>
                      <w:lang w:eastAsia="zh-CN"/>
                    </w:rPr>
                    <w:t>：</w:t>
                  </w:r>
                  <w:r>
                    <w:rPr>
                      <w:rFonts w:hint="eastAsia"/>
                      <w:bCs/>
                      <w:szCs w:val="21"/>
                    </w:rPr>
                    <w:t>1个，30m</w:t>
                  </w:r>
                  <w:r>
                    <w:rPr>
                      <w:rFonts w:hint="eastAsia"/>
                      <w:bCs/>
                      <w:szCs w:val="21"/>
                      <w:vertAlign w:val="superscript"/>
                    </w:rPr>
                    <w:t>3</w:t>
                  </w:r>
                  <w:r>
                    <w:rPr>
                      <w:rFonts w:hint="eastAsia"/>
                      <w:bCs/>
                      <w:szCs w:val="21"/>
                    </w:rPr>
                    <w:t>，用于收集污水处理</w:t>
                  </w:r>
                  <w:r>
                    <w:rPr>
                      <w:rFonts w:hint="eastAsia"/>
                      <w:bCs/>
                      <w:szCs w:val="21"/>
                      <w:lang w:eastAsia="zh-CN"/>
                    </w:rPr>
                    <w:t>站</w:t>
                  </w:r>
                  <w:r>
                    <w:rPr>
                      <w:rFonts w:hint="eastAsia"/>
                      <w:bCs/>
                      <w:szCs w:val="21"/>
                    </w:rPr>
                    <w:t>事故废水</w:t>
                  </w:r>
                </w:p>
              </w:tc>
              <w:tc>
                <w:tcPr>
                  <w:tcW w:w="539" w:type="pct"/>
                  <w:noWrap w:val="0"/>
                  <w:vAlign w:val="center"/>
                </w:tcPr>
                <w:p>
                  <w:pPr>
                    <w:jc w:val="center"/>
                    <w:rPr>
                      <w:rFonts w:hint="eastAsia"/>
                    </w:rPr>
                  </w:pPr>
                  <w:r>
                    <w:rPr>
                      <w:rFonts w:hint="eastAsia"/>
                    </w:rPr>
                    <w:t>/</w:t>
                  </w:r>
                </w:p>
              </w:tc>
              <w:tc>
                <w:tcPr>
                  <w:tcW w:w="498" w:type="pct"/>
                  <w:noWrap w:val="0"/>
                  <w:vAlign w:val="center"/>
                </w:tcPr>
                <w:p>
                  <w:pPr>
                    <w:jc w:val="center"/>
                    <w:rPr>
                      <w:rFonts w:hint="eastAsia"/>
                    </w:rPr>
                  </w:pPr>
                  <w:r>
                    <w:rPr>
                      <w:rFonts w:hint="eastAsia"/>
                      <w:lang w:eastAsia="zh-CN"/>
                    </w:rPr>
                    <w:t>已建</w:t>
                  </w:r>
                </w:p>
              </w:tc>
            </w:tr>
          </w:tbl>
          <w:p>
            <w:pPr>
              <w:pStyle w:val="72"/>
              <w:ind w:firstLine="480"/>
              <w:rPr>
                <w:rFonts w:hint="eastAsia" w:eastAsia="宋体"/>
                <w:b/>
                <w:bCs/>
                <w:lang w:val="en-US" w:eastAsia="zh-CN"/>
              </w:rPr>
            </w:pPr>
            <w:r>
              <w:rPr>
                <w:rFonts w:hint="eastAsia"/>
                <w:b/>
                <w:bCs/>
                <w:lang w:val="en-US" w:eastAsia="zh-CN"/>
              </w:rPr>
              <w:t>四、项目建成前后基本情况对比</w:t>
            </w:r>
          </w:p>
          <w:p>
            <w:pPr>
              <w:pStyle w:val="72"/>
              <w:ind w:firstLine="480"/>
              <w:rPr>
                <w:rFonts w:hint="default" w:eastAsia="宋体"/>
                <w:lang w:val="en-US" w:eastAsia="zh-CN"/>
              </w:rPr>
            </w:pPr>
            <w:r>
              <w:rPr>
                <w:rFonts w:hint="eastAsia"/>
                <w:lang w:val="en-US" w:eastAsia="zh-CN"/>
              </w:rPr>
              <w:t>1、</w:t>
            </w:r>
            <w:r>
              <w:rPr>
                <w:rFonts w:hint="eastAsia"/>
                <w:lang w:eastAsia="zh-CN"/>
              </w:rPr>
              <w:t>拟建项目建成前后，乐山巴川精神病专科医院诊疗科目无变化，仍为《医疗机构执业许可证》中确定的门诊（内科）、精神科、医学检验科（血液）等简单的诊疗服务，不涉及牙科、传染科、结核科等特殊科室。根据现有项目实际情况调查与业主提供资料，拟建项目建成后，乐山巴川精神病专科医院诊疗科目对比情况见表</w:t>
            </w:r>
            <w:r>
              <w:rPr>
                <w:rFonts w:hint="eastAsia"/>
                <w:lang w:val="en-US" w:eastAsia="zh-CN"/>
              </w:rPr>
              <w:t>2-4</w:t>
            </w:r>
            <w:r>
              <w:rPr>
                <w:rFonts w:hint="eastAsia"/>
                <w:lang w:eastAsia="zh-CN"/>
              </w:rPr>
              <w:t>。</w:t>
            </w:r>
          </w:p>
          <w:p>
            <w:pPr>
              <w:spacing w:line="240" w:lineRule="auto"/>
              <w:jc w:val="center"/>
              <w:rPr>
                <w:rFonts w:hint="eastAsia"/>
                <w:b/>
                <w:szCs w:val="21"/>
              </w:rPr>
            </w:pPr>
            <w:r>
              <w:rPr>
                <w:rFonts w:hint="eastAsia"/>
                <w:b/>
                <w:szCs w:val="21"/>
              </w:rPr>
              <w:t>表</w:t>
            </w:r>
            <w:r>
              <w:rPr>
                <w:rFonts w:hint="eastAsia"/>
                <w:b/>
                <w:szCs w:val="21"/>
                <w:lang w:val="en-US" w:eastAsia="zh-CN"/>
              </w:rPr>
              <w:t>2-4</w:t>
            </w:r>
            <w:r>
              <w:rPr>
                <w:rFonts w:hint="eastAsia"/>
                <w:b/>
                <w:szCs w:val="21"/>
              </w:rPr>
              <w:t xml:space="preserve">  </w:t>
            </w:r>
            <w:r>
              <w:rPr>
                <w:rFonts w:hint="eastAsia"/>
                <w:b/>
                <w:szCs w:val="21"/>
                <w:lang w:eastAsia="zh-CN"/>
              </w:rPr>
              <w:t>乐山巴川精神病专科医院</w:t>
            </w:r>
            <w:r>
              <w:rPr>
                <w:rFonts w:hint="eastAsia"/>
                <w:b/>
                <w:szCs w:val="21"/>
              </w:rPr>
              <w:t>对比情况一览表</w:t>
            </w:r>
          </w:p>
          <w:tbl>
            <w:tblPr>
              <w:tblStyle w:val="41"/>
              <w:tblW w:w="7939"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8"/>
              <w:gridCol w:w="5584"/>
              <w:gridCol w:w="144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908" w:type="dxa"/>
                  <w:tcBorders>
                    <w:tl2br w:val="nil"/>
                    <w:tr2bl w:val="nil"/>
                  </w:tcBorders>
                  <w:noWrap w:val="0"/>
                  <w:vAlign w:val="center"/>
                </w:tcPr>
                <w:p>
                  <w:pPr>
                    <w:jc w:val="center"/>
                    <w:rPr>
                      <w:rFonts w:hint="eastAsia"/>
                      <w:szCs w:val="21"/>
                    </w:rPr>
                  </w:pPr>
                  <w:r>
                    <w:rPr>
                      <w:rFonts w:hint="eastAsia"/>
                      <w:szCs w:val="21"/>
                    </w:rPr>
                    <w:t>时段</w:t>
                  </w:r>
                </w:p>
              </w:tc>
              <w:tc>
                <w:tcPr>
                  <w:tcW w:w="5584" w:type="dxa"/>
                  <w:tcBorders>
                    <w:tl2br w:val="nil"/>
                    <w:tr2bl w:val="nil"/>
                  </w:tcBorders>
                  <w:noWrap w:val="0"/>
                  <w:vAlign w:val="center"/>
                </w:tcPr>
                <w:p>
                  <w:pPr>
                    <w:jc w:val="center"/>
                    <w:rPr>
                      <w:rFonts w:hint="eastAsia"/>
                      <w:szCs w:val="21"/>
                    </w:rPr>
                  </w:pPr>
                  <w:r>
                    <w:rPr>
                      <w:rFonts w:hint="eastAsia"/>
                      <w:szCs w:val="21"/>
                    </w:rPr>
                    <w:t>诊疗服务</w:t>
                  </w:r>
                </w:p>
              </w:tc>
              <w:tc>
                <w:tcPr>
                  <w:tcW w:w="1447" w:type="dxa"/>
                  <w:tcBorders>
                    <w:tl2br w:val="nil"/>
                    <w:tr2bl w:val="nil"/>
                  </w:tcBorders>
                  <w:noWrap w:val="0"/>
                  <w:vAlign w:val="center"/>
                </w:tcPr>
                <w:p>
                  <w:pPr>
                    <w:jc w:val="center"/>
                    <w:rPr>
                      <w:rFonts w:hint="eastAsia"/>
                      <w:szCs w:val="21"/>
                    </w:rPr>
                  </w:pPr>
                  <w:r>
                    <w:rPr>
                      <w:rFonts w:hint="eastAsia"/>
                      <w:szCs w:val="21"/>
                    </w:rPr>
                    <w:t>变化情况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908" w:type="dxa"/>
                  <w:tcBorders>
                    <w:tl2br w:val="nil"/>
                    <w:tr2bl w:val="nil"/>
                  </w:tcBorders>
                  <w:noWrap w:val="0"/>
                  <w:vAlign w:val="center"/>
                </w:tcPr>
                <w:p>
                  <w:pPr>
                    <w:jc w:val="center"/>
                    <w:rPr>
                      <w:rFonts w:hint="eastAsia"/>
                      <w:szCs w:val="21"/>
                    </w:rPr>
                  </w:pPr>
                  <w:r>
                    <w:rPr>
                      <w:rFonts w:hint="eastAsia"/>
                      <w:szCs w:val="21"/>
                    </w:rPr>
                    <w:t>建成前</w:t>
                  </w:r>
                </w:p>
              </w:tc>
              <w:tc>
                <w:tcPr>
                  <w:tcW w:w="5584" w:type="dxa"/>
                  <w:tcBorders>
                    <w:tl2br w:val="nil"/>
                    <w:tr2bl w:val="nil"/>
                  </w:tcBorders>
                  <w:noWrap w:val="0"/>
                  <w:vAlign w:val="center"/>
                </w:tcPr>
                <w:p>
                  <w:pPr>
                    <w:jc w:val="center"/>
                    <w:rPr>
                      <w:rFonts w:hint="eastAsia"/>
                      <w:szCs w:val="21"/>
                    </w:rPr>
                  </w:pPr>
                  <w:r>
                    <w:rPr>
                      <w:rFonts w:hint="eastAsia"/>
                      <w:szCs w:val="21"/>
                    </w:rPr>
                    <w:t>门诊（内科）、精神科、医学检验科（血液）等简单的诊疗服务，不涉及牙科、传染科、结核科等特殊科室</w:t>
                  </w:r>
                </w:p>
              </w:tc>
              <w:tc>
                <w:tcPr>
                  <w:tcW w:w="1447" w:type="dxa"/>
                  <w:vMerge w:val="restart"/>
                  <w:tcBorders>
                    <w:tl2br w:val="nil"/>
                    <w:tr2bl w:val="nil"/>
                  </w:tcBorders>
                  <w:noWrap w:val="0"/>
                  <w:vAlign w:val="center"/>
                </w:tcPr>
                <w:p>
                  <w:pPr>
                    <w:jc w:val="center"/>
                    <w:rPr>
                      <w:rFonts w:hint="eastAsia"/>
                      <w:szCs w:val="21"/>
                    </w:rPr>
                  </w:pPr>
                  <w:r>
                    <w:rPr>
                      <w:rFonts w:hint="eastAsia"/>
                      <w:szCs w:val="21"/>
                    </w:rPr>
                    <w:t>对比，建成前后无变化</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908" w:type="dxa"/>
                  <w:tcBorders>
                    <w:tl2br w:val="nil"/>
                    <w:tr2bl w:val="nil"/>
                  </w:tcBorders>
                  <w:noWrap w:val="0"/>
                  <w:vAlign w:val="center"/>
                </w:tcPr>
                <w:p>
                  <w:pPr>
                    <w:jc w:val="center"/>
                    <w:rPr>
                      <w:rFonts w:hint="eastAsia"/>
                      <w:szCs w:val="21"/>
                    </w:rPr>
                  </w:pPr>
                  <w:r>
                    <w:rPr>
                      <w:rFonts w:hint="eastAsia"/>
                      <w:szCs w:val="21"/>
                    </w:rPr>
                    <w:t>建成后</w:t>
                  </w:r>
                </w:p>
              </w:tc>
              <w:tc>
                <w:tcPr>
                  <w:tcW w:w="5584" w:type="dxa"/>
                  <w:tcBorders>
                    <w:tl2br w:val="nil"/>
                    <w:tr2bl w:val="nil"/>
                  </w:tcBorders>
                  <w:noWrap w:val="0"/>
                  <w:vAlign w:val="center"/>
                </w:tcPr>
                <w:p>
                  <w:pPr>
                    <w:jc w:val="center"/>
                    <w:rPr>
                      <w:rFonts w:hint="eastAsia"/>
                      <w:szCs w:val="21"/>
                    </w:rPr>
                  </w:pPr>
                  <w:r>
                    <w:rPr>
                      <w:rFonts w:hint="eastAsia"/>
                      <w:szCs w:val="21"/>
                      <w:lang w:eastAsia="zh-CN"/>
                    </w:rPr>
                    <w:t>门诊（内科）、精神科、医学检验科（血液）等简单的诊疗服务</w:t>
                  </w:r>
                  <w:r>
                    <w:rPr>
                      <w:rFonts w:hint="eastAsia"/>
                      <w:szCs w:val="21"/>
                    </w:rPr>
                    <w:t>，不涉及牙科、传染科、结核科等特殊科室</w:t>
                  </w:r>
                </w:p>
              </w:tc>
              <w:tc>
                <w:tcPr>
                  <w:tcW w:w="1447" w:type="dxa"/>
                  <w:vMerge w:val="continue"/>
                  <w:tcBorders>
                    <w:tl2br w:val="nil"/>
                    <w:tr2bl w:val="nil"/>
                  </w:tcBorders>
                  <w:noWrap w:val="0"/>
                  <w:vAlign w:val="center"/>
                </w:tcPr>
                <w:p>
                  <w:pPr>
                    <w:jc w:val="center"/>
                    <w:rPr>
                      <w:rFonts w:hint="eastAsia"/>
                      <w:szCs w:val="21"/>
                    </w:rPr>
                  </w:pPr>
                </w:p>
              </w:tc>
            </w:tr>
          </w:tbl>
          <w:p>
            <w:pPr>
              <w:pStyle w:val="72"/>
              <w:ind w:firstLine="480"/>
              <w:rPr>
                <w:rFonts w:hint="default" w:eastAsia="宋体"/>
                <w:lang w:val="en-US" w:eastAsia="zh-CN"/>
              </w:rPr>
            </w:pPr>
            <w:r>
              <w:rPr>
                <w:rFonts w:hint="eastAsia"/>
                <w:lang w:val="en-US" w:eastAsia="zh-CN"/>
              </w:rPr>
              <w:t>2、</w:t>
            </w:r>
            <w:r>
              <w:rPr>
                <w:rFonts w:hint="eastAsia"/>
                <w:lang w:eastAsia="zh-CN"/>
              </w:rPr>
              <w:t>根据业主提供资料，巴川精神病专科医院实际门诊为</w:t>
            </w:r>
            <w:r>
              <w:rPr>
                <w:rFonts w:hint="eastAsia"/>
                <w:lang w:val="en-US" w:eastAsia="zh-CN"/>
              </w:rPr>
              <w:t>10人次/日，</w:t>
            </w:r>
            <w:r>
              <w:rPr>
                <w:rFonts w:hint="eastAsia"/>
                <w:lang w:eastAsia="zh-CN"/>
              </w:rPr>
              <w:t>项目建成前后诊疗规模对比情况见表</w:t>
            </w:r>
            <w:r>
              <w:rPr>
                <w:rFonts w:hint="eastAsia"/>
                <w:lang w:val="en-US" w:eastAsia="zh-CN"/>
              </w:rPr>
              <w:t>2-5。</w:t>
            </w:r>
          </w:p>
          <w:p>
            <w:pPr>
              <w:spacing w:line="240" w:lineRule="auto"/>
              <w:jc w:val="center"/>
              <w:rPr>
                <w:rFonts w:hint="eastAsia"/>
                <w:b/>
                <w:szCs w:val="21"/>
              </w:rPr>
            </w:pPr>
            <w:r>
              <w:rPr>
                <w:rFonts w:hint="eastAsia"/>
                <w:b/>
                <w:szCs w:val="21"/>
              </w:rPr>
              <w:t>表</w:t>
            </w:r>
            <w:r>
              <w:rPr>
                <w:rFonts w:hint="eastAsia"/>
                <w:b/>
                <w:szCs w:val="21"/>
                <w:lang w:val="en-US" w:eastAsia="zh-CN"/>
              </w:rPr>
              <w:t>2-5</w:t>
            </w:r>
            <w:r>
              <w:rPr>
                <w:rFonts w:hint="eastAsia"/>
                <w:b/>
                <w:szCs w:val="21"/>
              </w:rPr>
              <w:t xml:space="preserve">  项目建成前后诊疗规模对比情况一览表</w:t>
            </w:r>
          </w:p>
          <w:tbl>
            <w:tblPr>
              <w:tblStyle w:val="41"/>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588"/>
              <w:gridCol w:w="1588"/>
              <w:gridCol w:w="1411"/>
              <w:gridCol w:w="176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588" w:type="dxa"/>
                  <w:tcBorders>
                    <w:tl2br w:val="nil"/>
                    <w:tr2bl w:val="nil"/>
                  </w:tcBorders>
                  <w:noWrap w:val="0"/>
                  <w:vAlign w:val="center"/>
                </w:tcPr>
                <w:p>
                  <w:pPr>
                    <w:jc w:val="center"/>
                    <w:rPr>
                      <w:rFonts w:hint="eastAsia"/>
                      <w:szCs w:val="21"/>
                    </w:rPr>
                  </w:pPr>
                  <w:r>
                    <w:rPr>
                      <w:rFonts w:hint="eastAsia"/>
                      <w:szCs w:val="21"/>
                    </w:rPr>
                    <w:t>项目</w:t>
                  </w:r>
                </w:p>
              </w:tc>
              <w:tc>
                <w:tcPr>
                  <w:tcW w:w="1588" w:type="dxa"/>
                  <w:tcBorders>
                    <w:tl2br w:val="nil"/>
                    <w:tr2bl w:val="nil"/>
                  </w:tcBorders>
                  <w:noWrap w:val="0"/>
                  <w:vAlign w:val="center"/>
                </w:tcPr>
                <w:p>
                  <w:pPr>
                    <w:jc w:val="center"/>
                    <w:rPr>
                      <w:rFonts w:hint="eastAsia"/>
                      <w:szCs w:val="21"/>
                    </w:rPr>
                  </w:pPr>
                  <w:r>
                    <w:rPr>
                      <w:rFonts w:hint="eastAsia"/>
                      <w:szCs w:val="21"/>
                    </w:rPr>
                    <w:t>建成前</w:t>
                  </w:r>
                </w:p>
              </w:tc>
              <w:tc>
                <w:tcPr>
                  <w:tcW w:w="1588" w:type="dxa"/>
                  <w:tcBorders>
                    <w:tl2br w:val="nil"/>
                    <w:tr2bl w:val="nil"/>
                  </w:tcBorders>
                  <w:noWrap w:val="0"/>
                  <w:vAlign w:val="center"/>
                </w:tcPr>
                <w:p>
                  <w:pPr>
                    <w:jc w:val="center"/>
                    <w:rPr>
                      <w:rFonts w:hint="eastAsia"/>
                      <w:szCs w:val="21"/>
                    </w:rPr>
                  </w:pPr>
                  <w:r>
                    <w:rPr>
                      <w:rFonts w:hint="eastAsia"/>
                      <w:szCs w:val="21"/>
                    </w:rPr>
                    <w:t>拟建项目</w:t>
                  </w:r>
                </w:p>
              </w:tc>
              <w:tc>
                <w:tcPr>
                  <w:tcW w:w="1411" w:type="dxa"/>
                  <w:tcBorders>
                    <w:tl2br w:val="nil"/>
                    <w:tr2bl w:val="nil"/>
                  </w:tcBorders>
                  <w:noWrap w:val="0"/>
                  <w:vAlign w:val="center"/>
                </w:tcPr>
                <w:p>
                  <w:pPr>
                    <w:jc w:val="center"/>
                    <w:rPr>
                      <w:rFonts w:hint="eastAsia"/>
                      <w:szCs w:val="21"/>
                    </w:rPr>
                  </w:pPr>
                  <w:r>
                    <w:rPr>
                      <w:rFonts w:hint="eastAsia"/>
                      <w:szCs w:val="21"/>
                    </w:rPr>
                    <w:t>建成后</w:t>
                  </w:r>
                </w:p>
              </w:tc>
              <w:tc>
                <w:tcPr>
                  <w:tcW w:w="1764" w:type="dxa"/>
                  <w:tcBorders>
                    <w:tl2br w:val="nil"/>
                    <w:tr2bl w:val="nil"/>
                  </w:tcBorders>
                  <w:noWrap w:val="0"/>
                  <w:vAlign w:val="center"/>
                </w:tcPr>
                <w:p>
                  <w:pPr>
                    <w:jc w:val="center"/>
                    <w:rPr>
                      <w:rFonts w:hint="eastAsia"/>
                      <w:szCs w:val="21"/>
                    </w:rPr>
                  </w:pPr>
                  <w:r>
                    <w:rPr>
                      <w:rFonts w:hint="eastAsia"/>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588" w:type="dxa"/>
                  <w:tcBorders>
                    <w:tl2br w:val="nil"/>
                    <w:tr2bl w:val="nil"/>
                  </w:tcBorders>
                  <w:noWrap w:val="0"/>
                  <w:vAlign w:val="center"/>
                </w:tcPr>
                <w:p>
                  <w:pPr>
                    <w:jc w:val="center"/>
                    <w:rPr>
                      <w:rFonts w:hint="eastAsia"/>
                      <w:szCs w:val="21"/>
                    </w:rPr>
                  </w:pPr>
                  <w:r>
                    <w:rPr>
                      <w:rFonts w:hint="eastAsia"/>
                      <w:szCs w:val="21"/>
                    </w:rPr>
                    <w:t>门诊</w:t>
                  </w:r>
                </w:p>
              </w:tc>
              <w:tc>
                <w:tcPr>
                  <w:tcW w:w="1588" w:type="dxa"/>
                  <w:tcBorders>
                    <w:tl2br w:val="nil"/>
                    <w:tr2bl w:val="nil"/>
                  </w:tcBorders>
                  <w:noWrap w:val="0"/>
                  <w:vAlign w:val="center"/>
                </w:tcPr>
                <w:p>
                  <w:pPr>
                    <w:jc w:val="center"/>
                    <w:rPr>
                      <w:rFonts w:hint="eastAsia"/>
                      <w:szCs w:val="21"/>
                    </w:rPr>
                  </w:pPr>
                  <w:r>
                    <w:rPr>
                      <w:rFonts w:hint="eastAsia"/>
                      <w:szCs w:val="21"/>
                      <w:lang w:val="en-US" w:eastAsia="zh-CN"/>
                    </w:rPr>
                    <w:t>10</w:t>
                  </w:r>
                  <w:r>
                    <w:rPr>
                      <w:rFonts w:hint="eastAsia"/>
                      <w:szCs w:val="21"/>
                    </w:rPr>
                    <w:t>人次/日</w:t>
                  </w:r>
                </w:p>
              </w:tc>
              <w:tc>
                <w:tcPr>
                  <w:tcW w:w="1588" w:type="dxa"/>
                  <w:tcBorders>
                    <w:tl2br w:val="nil"/>
                    <w:tr2bl w:val="nil"/>
                  </w:tcBorders>
                  <w:noWrap w:val="0"/>
                  <w:vAlign w:val="center"/>
                </w:tcPr>
                <w:p>
                  <w:pPr>
                    <w:jc w:val="center"/>
                    <w:rPr>
                      <w:rFonts w:hint="eastAsia" w:eastAsia="宋体"/>
                      <w:szCs w:val="21"/>
                      <w:lang w:eastAsia="zh-CN"/>
                    </w:rPr>
                  </w:pPr>
                  <w:r>
                    <w:rPr>
                      <w:rFonts w:hint="eastAsia"/>
                      <w:szCs w:val="21"/>
                      <w:lang w:val="en-US" w:eastAsia="zh-CN"/>
                    </w:rPr>
                    <w:t>0</w:t>
                  </w:r>
                </w:p>
              </w:tc>
              <w:tc>
                <w:tcPr>
                  <w:tcW w:w="1411" w:type="dxa"/>
                  <w:tcBorders>
                    <w:tl2br w:val="nil"/>
                    <w:tr2bl w:val="nil"/>
                  </w:tcBorders>
                  <w:noWrap w:val="0"/>
                  <w:vAlign w:val="center"/>
                </w:tcPr>
                <w:p>
                  <w:pPr>
                    <w:jc w:val="center"/>
                    <w:rPr>
                      <w:rFonts w:hint="eastAsia"/>
                      <w:szCs w:val="21"/>
                    </w:rPr>
                  </w:pPr>
                  <w:r>
                    <w:rPr>
                      <w:rFonts w:hint="eastAsia"/>
                      <w:szCs w:val="21"/>
                      <w:lang w:val="en-US" w:eastAsia="zh-CN"/>
                    </w:rPr>
                    <w:t>1</w:t>
                  </w:r>
                  <w:r>
                    <w:rPr>
                      <w:rFonts w:hint="eastAsia"/>
                      <w:szCs w:val="21"/>
                    </w:rPr>
                    <w:t>0人次/日</w:t>
                  </w:r>
                </w:p>
              </w:tc>
              <w:tc>
                <w:tcPr>
                  <w:tcW w:w="1764" w:type="dxa"/>
                  <w:tcBorders>
                    <w:tl2br w:val="nil"/>
                    <w:tr2bl w:val="nil"/>
                  </w:tcBorders>
                  <w:noWrap w:val="0"/>
                  <w:vAlign w:val="center"/>
                </w:tcPr>
                <w:p>
                  <w:pPr>
                    <w:jc w:val="center"/>
                    <w:rPr>
                      <w:rFonts w:hint="eastAsia"/>
                      <w:szCs w:val="21"/>
                    </w:rPr>
                  </w:pPr>
                  <w:r>
                    <w:rPr>
                      <w:rFonts w:hint="eastAsia"/>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1588" w:type="dxa"/>
                  <w:tcBorders>
                    <w:tl2br w:val="nil"/>
                    <w:tr2bl w:val="nil"/>
                  </w:tcBorders>
                  <w:noWrap w:val="0"/>
                  <w:vAlign w:val="center"/>
                </w:tcPr>
                <w:p>
                  <w:pPr>
                    <w:jc w:val="center"/>
                    <w:rPr>
                      <w:rFonts w:hint="eastAsia"/>
                      <w:szCs w:val="21"/>
                    </w:rPr>
                  </w:pPr>
                  <w:r>
                    <w:rPr>
                      <w:rFonts w:hint="eastAsia"/>
                      <w:szCs w:val="21"/>
                    </w:rPr>
                    <w:t>病床</w:t>
                  </w:r>
                </w:p>
              </w:tc>
              <w:tc>
                <w:tcPr>
                  <w:tcW w:w="1588" w:type="dxa"/>
                  <w:tcBorders>
                    <w:tl2br w:val="nil"/>
                    <w:tr2bl w:val="nil"/>
                  </w:tcBorders>
                  <w:noWrap w:val="0"/>
                  <w:vAlign w:val="center"/>
                </w:tcPr>
                <w:p>
                  <w:pPr>
                    <w:jc w:val="center"/>
                    <w:rPr>
                      <w:rFonts w:hint="eastAsia"/>
                      <w:szCs w:val="21"/>
                    </w:rPr>
                  </w:pPr>
                  <w:r>
                    <w:rPr>
                      <w:rFonts w:hint="eastAsia"/>
                      <w:szCs w:val="21"/>
                      <w:lang w:val="en-US" w:eastAsia="zh-CN"/>
                    </w:rPr>
                    <w:t>70</w:t>
                  </w:r>
                  <w:r>
                    <w:rPr>
                      <w:rFonts w:hint="eastAsia"/>
                      <w:szCs w:val="21"/>
                    </w:rPr>
                    <w:t>张</w:t>
                  </w:r>
                </w:p>
              </w:tc>
              <w:tc>
                <w:tcPr>
                  <w:tcW w:w="1588" w:type="dxa"/>
                  <w:tcBorders>
                    <w:tl2br w:val="nil"/>
                    <w:tr2bl w:val="nil"/>
                  </w:tcBorders>
                  <w:noWrap w:val="0"/>
                  <w:vAlign w:val="center"/>
                </w:tcPr>
                <w:p>
                  <w:pPr>
                    <w:jc w:val="center"/>
                    <w:rPr>
                      <w:rFonts w:hint="eastAsia" w:eastAsia="宋体"/>
                      <w:szCs w:val="21"/>
                      <w:lang w:eastAsia="zh-CN"/>
                    </w:rPr>
                  </w:pPr>
                  <w:r>
                    <w:rPr>
                      <w:rFonts w:hint="eastAsia"/>
                      <w:szCs w:val="21"/>
                      <w:lang w:val="en-US" w:eastAsia="zh-CN"/>
                    </w:rPr>
                    <w:t>1</w:t>
                  </w:r>
                  <w:r>
                    <w:rPr>
                      <w:rFonts w:hint="eastAsia"/>
                      <w:szCs w:val="21"/>
                    </w:rPr>
                    <w:t>10</w:t>
                  </w:r>
                  <w:r>
                    <w:rPr>
                      <w:rFonts w:hint="eastAsia"/>
                      <w:szCs w:val="21"/>
                      <w:lang w:eastAsia="zh-CN"/>
                    </w:rPr>
                    <w:t>张</w:t>
                  </w:r>
                </w:p>
              </w:tc>
              <w:tc>
                <w:tcPr>
                  <w:tcW w:w="1411" w:type="dxa"/>
                  <w:tcBorders>
                    <w:tl2br w:val="nil"/>
                    <w:tr2bl w:val="nil"/>
                  </w:tcBorders>
                  <w:noWrap w:val="0"/>
                  <w:vAlign w:val="center"/>
                </w:tcPr>
                <w:p>
                  <w:pPr>
                    <w:jc w:val="center"/>
                    <w:rPr>
                      <w:rFonts w:hint="eastAsia"/>
                      <w:szCs w:val="21"/>
                    </w:rPr>
                  </w:pPr>
                  <w:r>
                    <w:rPr>
                      <w:rFonts w:hint="eastAsia"/>
                      <w:szCs w:val="21"/>
                    </w:rPr>
                    <w:t>1</w:t>
                  </w:r>
                  <w:r>
                    <w:rPr>
                      <w:rFonts w:hint="eastAsia"/>
                      <w:szCs w:val="21"/>
                      <w:lang w:val="en-US" w:eastAsia="zh-CN"/>
                    </w:rPr>
                    <w:t>80</w:t>
                  </w:r>
                  <w:r>
                    <w:rPr>
                      <w:rFonts w:hint="eastAsia"/>
                      <w:szCs w:val="21"/>
                    </w:rPr>
                    <w:t>张</w:t>
                  </w:r>
                </w:p>
              </w:tc>
              <w:tc>
                <w:tcPr>
                  <w:tcW w:w="1764" w:type="dxa"/>
                  <w:tcBorders>
                    <w:tl2br w:val="nil"/>
                    <w:tr2bl w:val="nil"/>
                  </w:tcBorders>
                  <w:noWrap w:val="0"/>
                  <w:vAlign w:val="center"/>
                </w:tcPr>
                <w:p>
                  <w:pPr>
                    <w:jc w:val="center"/>
                    <w:rPr>
                      <w:rFonts w:hint="eastAsia"/>
                      <w:szCs w:val="21"/>
                    </w:rPr>
                  </w:pPr>
                  <w:r>
                    <w:rPr>
                      <w:rFonts w:hint="eastAsia"/>
                      <w:szCs w:val="21"/>
                    </w:rPr>
                    <w:t>新增1</w:t>
                  </w:r>
                  <w:r>
                    <w:rPr>
                      <w:rFonts w:hint="eastAsia"/>
                      <w:szCs w:val="21"/>
                      <w:lang w:val="en-US" w:eastAsia="zh-CN"/>
                    </w:rPr>
                    <w:t>1</w:t>
                  </w:r>
                  <w:r>
                    <w:rPr>
                      <w:rFonts w:hint="eastAsia"/>
                      <w:szCs w:val="21"/>
                    </w:rPr>
                    <w:t>0张病床</w:t>
                  </w:r>
                </w:p>
              </w:tc>
            </w:tr>
          </w:tbl>
          <w:p>
            <w:pPr>
              <w:spacing w:line="360" w:lineRule="auto"/>
              <w:ind w:firstLine="480" w:firstLineChars="200"/>
              <w:rPr>
                <w:rFonts w:hint="eastAsia"/>
                <w:sz w:val="24"/>
              </w:rPr>
            </w:pPr>
            <w:r>
              <w:rPr>
                <w:rFonts w:hint="eastAsia"/>
                <w:sz w:val="24"/>
                <w:lang w:val="en-US" w:eastAsia="zh-CN"/>
              </w:rPr>
              <w:t>3、</w:t>
            </w:r>
            <w:r>
              <w:rPr>
                <w:rFonts w:hint="eastAsia"/>
                <w:sz w:val="24"/>
              </w:rPr>
              <w:t>项目建成前后功能设置对比见表</w:t>
            </w:r>
            <w:r>
              <w:rPr>
                <w:rFonts w:hint="eastAsia"/>
                <w:sz w:val="24"/>
                <w:lang w:val="en-US" w:eastAsia="zh-CN"/>
              </w:rPr>
              <w:t>2-6</w:t>
            </w:r>
            <w:r>
              <w:rPr>
                <w:rFonts w:hint="eastAsia"/>
                <w:sz w:val="24"/>
              </w:rPr>
              <w:t>。</w:t>
            </w:r>
          </w:p>
          <w:p>
            <w:pPr>
              <w:spacing w:line="240" w:lineRule="auto"/>
              <w:jc w:val="center"/>
              <w:rPr>
                <w:rFonts w:hint="eastAsia"/>
                <w:b/>
                <w:szCs w:val="21"/>
              </w:rPr>
            </w:pPr>
            <w:r>
              <w:rPr>
                <w:rFonts w:hint="eastAsia"/>
                <w:b/>
                <w:szCs w:val="21"/>
              </w:rPr>
              <w:t>表</w:t>
            </w:r>
            <w:r>
              <w:rPr>
                <w:rFonts w:hint="eastAsia"/>
                <w:b/>
                <w:szCs w:val="21"/>
                <w:lang w:val="en-US" w:eastAsia="zh-CN"/>
              </w:rPr>
              <w:t>2-6</w:t>
            </w:r>
            <w:r>
              <w:rPr>
                <w:rFonts w:hint="eastAsia"/>
                <w:b/>
                <w:szCs w:val="21"/>
              </w:rPr>
              <w:t xml:space="preserve">  项目建成前后功能设置对比情况一览表</w:t>
            </w:r>
          </w:p>
          <w:tbl>
            <w:tblPr>
              <w:tblStyle w:val="41"/>
              <w:tblW w:w="7979"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6"/>
              <w:gridCol w:w="966"/>
              <w:gridCol w:w="1184"/>
              <w:gridCol w:w="2107"/>
              <w:gridCol w:w="1859"/>
              <w:gridCol w:w="120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656" w:type="dxa"/>
                  <w:vMerge w:val="restart"/>
                  <w:tcBorders>
                    <w:tl2br w:val="nil"/>
                    <w:tr2bl w:val="nil"/>
                  </w:tcBorders>
                  <w:noWrap w:val="0"/>
                  <w:vAlign w:val="center"/>
                </w:tcPr>
                <w:p>
                  <w:pPr>
                    <w:jc w:val="center"/>
                    <w:rPr>
                      <w:rFonts w:hint="eastAsia"/>
                      <w:szCs w:val="21"/>
                    </w:rPr>
                  </w:pPr>
                  <w:r>
                    <w:rPr>
                      <w:rFonts w:hint="eastAsia"/>
                      <w:szCs w:val="21"/>
                    </w:rPr>
                    <w:t>时段</w:t>
                  </w:r>
                </w:p>
              </w:tc>
              <w:tc>
                <w:tcPr>
                  <w:tcW w:w="7323" w:type="dxa"/>
                  <w:gridSpan w:val="5"/>
                  <w:tcBorders>
                    <w:tl2br w:val="nil"/>
                    <w:tr2bl w:val="nil"/>
                  </w:tcBorders>
                  <w:noWrap w:val="0"/>
                  <w:vAlign w:val="center"/>
                </w:tcPr>
                <w:p>
                  <w:pPr>
                    <w:jc w:val="center"/>
                    <w:rPr>
                      <w:rFonts w:hint="eastAsia"/>
                      <w:szCs w:val="21"/>
                    </w:rPr>
                  </w:pPr>
                  <w:r>
                    <w:rPr>
                      <w:rFonts w:hint="eastAsia"/>
                      <w:szCs w:val="21"/>
                    </w:rPr>
                    <w:t>功能设置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656" w:type="dxa"/>
                  <w:vMerge w:val="continue"/>
                  <w:tcBorders>
                    <w:tl2br w:val="nil"/>
                    <w:tr2bl w:val="nil"/>
                  </w:tcBorders>
                  <w:noWrap w:val="0"/>
                  <w:vAlign w:val="center"/>
                </w:tcPr>
                <w:p>
                  <w:pPr>
                    <w:jc w:val="center"/>
                    <w:rPr>
                      <w:rFonts w:hint="eastAsia"/>
                      <w:szCs w:val="21"/>
                    </w:rPr>
                  </w:pPr>
                </w:p>
              </w:tc>
              <w:tc>
                <w:tcPr>
                  <w:tcW w:w="966" w:type="dxa"/>
                  <w:tcBorders>
                    <w:tl2br w:val="nil"/>
                    <w:tr2bl w:val="nil"/>
                  </w:tcBorders>
                  <w:noWrap w:val="0"/>
                  <w:vAlign w:val="center"/>
                </w:tcPr>
                <w:p>
                  <w:pPr>
                    <w:jc w:val="center"/>
                    <w:rPr>
                      <w:rFonts w:hint="eastAsia"/>
                      <w:szCs w:val="21"/>
                    </w:rPr>
                  </w:pPr>
                  <w:r>
                    <w:rPr>
                      <w:rFonts w:hint="eastAsia"/>
                      <w:szCs w:val="21"/>
                    </w:rPr>
                    <w:t>医疗卫生服务</w:t>
                  </w:r>
                </w:p>
              </w:tc>
              <w:tc>
                <w:tcPr>
                  <w:tcW w:w="1184" w:type="dxa"/>
                  <w:tcBorders>
                    <w:tl2br w:val="nil"/>
                    <w:tr2bl w:val="nil"/>
                  </w:tcBorders>
                  <w:noWrap w:val="0"/>
                  <w:vAlign w:val="center"/>
                </w:tcPr>
                <w:p>
                  <w:pPr>
                    <w:jc w:val="center"/>
                    <w:rPr>
                      <w:rFonts w:hint="eastAsia"/>
                      <w:szCs w:val="21"/>
                    </w:rPr>
                  </w:pPr>
                  <w:r>
                    <w:rPr>
                      <w:rFonts w:hint="eastAsia"/>
                      <w:szCs w:val="21"/>
                    </w:rPr>
                    <w:t>餐饮服务</w:t>
                  </w:r>
                </w:p>
              </w:tc>
              <w:tc>
                <w:tcPr>
                  <w:tcW w:w="2107" w:type="dxa"/>
                  <w:tcBorders>
                    <w:tl2br w:val="nil"/>
                    <w:tr2bl w:val="nil"/>
                  </w:tcBorders>
                  <w:noWrap w:val="0"/>
                  <w:vAlign w:val="center"/>
                </w:tcPr>
                <w:p>
                  <w:pPr>
                    <w:jc w:val="center"/>
                    <w:rPr>
                      <w:rFonts w:hint="eastAsia"/>
                      <w:szCs w:val="21"/>
                    </w:rPr>
                  </w:pPr>
                  <w:r>
                    <w:rPr>
                      <w:rFonts w:hint="eastAsia"/>
                      <w:szCs w:val="21"/>
                    </w:rPr>
                    <w:t>废水处理</w:t>
                  </w:r>
                </w:p>
              </w:tc>
              <w:tc>
                <w:tcPr>
                  <w:tcW w:w="1859" w:type="dxa"/>
                  <w:tcBorders>
                    <w:tl2br w:val="nil"/>
                    <w:tr2bl w:val="nil"/>
                  </w:tcBorders>
                  <w:noWrap w:val="0"/>
                  <w:vAlign w:val="center"/>
                </w:tcPr>
                <w:p>
                  <w:pPr>
                    <w:jc w:val="center"/>
                    <w:rPr>
                      <w:rFonts w:hint="eastAsia"/>
                      <w:szCs w:val="21"/>
                    </w:rPr>
                  </w:pPr>
                  <w:r>
                    <w:rPr>
                      <w:rFonts w:hint="eastAsia"/>
                      <w:szCs w:val="21"/>
                    </w:rPr>
                    <w:t>固废收集</w:t>
                  </w:r>
                </w:p>
              </w:tc>
              <w:tc>
                <w:tcPr>
                  <w:tcW w:w="1207" w:type="dxa"/>
                  <w:tcBorders>
                    <w:tl2br w:val="nil"/>
                    <w:tr2bl w:val="nil"/>
                  </w:tcBorders>
                  <w:noWrap w:val="0"/>
                  <w:vAlign w:val="center"/>
                </w:tcPr>
                <w:p>
                  <w:pPr>
                    <w:jc w:val="center"/>
                    <w:rPr>
                      <w:rFonts w:hint="eastAsia"/>
                      <w:szCs w:val="21"/>
                    </w:rPr>
                  </w:pPr>
                  <w:r>
                    <w:rPr>
                      <w:rFonts w:hint="eastAsia"/>
                      <w:szCs w:val="21"/>
                    </w:rPr>
                    <w:t>废气治理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1" w:hRule="atLeast"/>
              </w:trPr>
              <w:tc>
                <w:tcPr>
                  <w:tcW w:w="656" w:type="dxa"/>
                  <w:tcBorders>
                    <w:tl2br w:val="nil"/>
                    <w:tr2bl w:val="nil"/>
                  </w:tcBorders>
                  <w:noWrap w:val="0"/>
                  <w:vAlign w:val="center"/>
                </w:tcPr>
                <w:p>
                  <w:pPr>
                    <w:jc w:val="center"/>
                    <w:rPr>
                      <w:rFonts w:hint="eastAsia"/>
                      <w:szCs w:val="21"/>
                    </w:rPr>
                  </w:pPr>
                  <w:r>
                    <w:rPr>
                      <w:rFonts w:hint="eastAsia"/>
                      <w:szCs w:val="21"/>
                    </w:rPr>
                    <w:t>建成前</w:t>
                  </w:r>
                </w:p>
              </w:tc>
              <w:tc>
                <w:tcPr>
                  <w:tcW w:w="966" w:type="dxa"/>
                  <w:tcBorders>
                    <w:tl2br w:val="nil"/>
                    <w:tr2bl w:val="nil"/>
                  </w:tcBorders>
                  <w:noWrap w:val="0"/>
                  <w:vAlign w:val="center"/>
                </w:tcPr>
                <w:p>
                  <w:pPr>
                    <w:jc w:val="center"/>
                    <w:rPr>
                      <w:rFonts w:hint="eastAsia"/>
                      <w:szCs w:val="21"/>
                    </w:rPr>
                  </w:pPr>
                  <w:r>
                    <w:rPr>
                      <w:rFonts w:hint="eastAsia"/>
                      <w:szCs w:val="21"/>
                    </w:rPr>
                    <w:t>门诊、住院、检验、急诊等简单的诊疗服务</w:t>
                  </w:r>
                </w:p>
              </w:tc>
              <w:tc>
                <w:tcPr>
                  <w:tcW w:w="1184" w:type="dxa"/>
                  <w:tcBorders>
                    <w:tl2br w:val="nil"/>
                    <w:tr2bl w:val="nil"/>
                  </w:tcBorders>
                  <w:noWrap w:val="0"/>
                  <w:vAlign w:val="center"/>
                </w:tcPr>
                <w:p>
                  <w:pPr>
                    <w:jc w:val="center"/>
                    <w:rPr>
                      <w:rFonts w:hint="eastAsia" w:eastAsia="宋体"/>
                      <w:szCs w:val="21"/>
                      <w:lang w:eastAsia="zh-CN"/>
                    </w:rPr>
                  </w:pPr>
                  <w:r>
                    <w:rPr>
                      <w:rFonts w:hint="eastAsia"/>
                      <w:szCs w:val="21"/>
                      <w:lang w:eastAsia="zh-CN"/>
                    </w:rPr>
                    <w:t>有厨房，员工宿舍有厨房餐厅，员工与病人均在院内就餐</w:t>
                  </w:r>
                </w:p>
              </w:tc>
              <w:tc>
                <w:tcPr>
                  <w:tcW w:w="2107" w:type="dxa"/>
                  <w:tcBorders>
                    <w:tl2br w:val="nil"/>
                    <w:tr2bl w:val="nil"/>
                  </w:tcBorders>
                  <w:noWrap w:val="0"/>
                  <w:vAlign w:val="center"/>
                </w:tcPr>
                <w:p>
                  <w:pPr>
                    <w:jc w:val="center"/>
                    <w:rPr>
                      <w:rFonts w:hint="eastAsia" w:eastAsia="宋体"/>
                      <w:szCs w:val="21"/>
                      <w:lang w:eastAsia="zh-CN"/>
                    </w:rPr>
                  </w:pPr>
                  <w:r>
                    <w:rPr>
                      <w:rFonts w:hint="eastAsia"/>
                      <w:szCs w:val="21"/>
                    </w:rPr>
                    <w:t>食堂废水经隔油池预处理后与生活污水、洗涤废水</w:t>
                  </w:r>
                  <w:r>
                    <w:rPr>
                      <w:rFonts w:hint="eastAsia"/>
                      <w:szCs w:val="21"/>
                      <w:lang w:eastAsia="zh-CN"/>
                    </w:rPr>
                    <w:t>、</w:t>
                  </w:r>
                  <w:r>
                    <w:rPr>
                      <w:rFonts w:hint="eastAsia"/>
                      <w:szCs w:val="21"/>
                    </w:rPr>
                    <w:t>医疗污水通过化粪池排入院内污水处理站处理，</w:t>
                  </w:r>
                  <w:r>
                    <w:rPr>
                      <w:rFonts w:hint="eastAsia"/>
                      <w:szCs w:val="21"/>
                      <w:lang w:eastAsia="zh-CN"/>
                    </w:rPr>
                    <w:t>处理达标后排入污水处理厂</w:t>
                  </w:r>
                </w:p>
              </w:tc>
              <w:tc>
                <w:tcPr>
                  <w:tcW w:w="1859" w:type="dxa"/>
                  <w:tcBorders>
                    <w:tl2br w:val="nil"/>
                    <w:tr2bl w:val="nil"/>
                  </w:tcBorders>
                  <w:noWrap w:val="0"/>
                  <w:vAlign w:val="center"/>
                </w:tcPr>
                <w:p>
                  <w:pPr>
                    <w:jc w:val="center"/>
                    <w:rPr>
                      <w:rFonts w:hint="eastAsia" w:eastAsia="宋体"/>
                      <w:szCs w:val="21"/>
                      <w:lang w:eastAsia="zh-CN"/>
                    </w:rPr>
                  </w:pPr>
                  <w:r>
                    <w:rPr>
                      <w:rFonts w:hint="eastAsia"/>
                      <w:szCs w:val="21"/>
                    </w:rPr>
                    <w:t>生活垃圾统一由当地环保部门收集处理，医疗</w:t>
                  </w:r>
                  <w:r>
                    <w:rPr>
                      <w:rFonts w:hint="eastAsia"/>
                      <w:szCs w:val="21"/>
                      <w:lang w:eastAsia="zh-CN"/>
                    </w:rPr>
                    <w:t>废物与污水处理站污泥</w:t>
                  </w:r>
                  <w:r>
                    <w:rPr>
                      <w:rFonts w:hint="eastAsia"/>
                      <w:szCs w:val="21"/>
                    </w:rPr>
                    <w:t>收集至</w:t>
                  </w:r>
                  <w:r>
                    <w:rPr>
                      <w:rFonts w:hint="eastAsia"/>
                      <w:szCs w:val="21"/>
                      <w:lang w:eastAsia="zh-CN"/>
                    </w:rPr>
                    <w:t>医</w:t>
                  </w:r>
                  <w:r>
                    <w:rPr>
                      <w:rFonts w:hint="eastAsia"/>
                      <w:szCs w:val="21"/>
                    </w:rPr>
                    <w:t>废暂存间，定期</w:t>
                  </w:r>
                  <w:r>
                    <w:rPr>
                      <w:rFonts w:hint="eastAsia"/>
                      <w:szCs w:val="21"/>
                      <w:lang w:eastAsia="zh-CN"/>
                    </w:rPr>
                    <w:t>交由有资质单位处理</w:t>
                  </w:r>
                </w:p>
              </w:tc>
              <w:tc>
                <w:tcPr>
                  <w:tcW w:w="1207" w:type="dxa"/>
                  <w:tcBorders>
                    <w:tl2br w:val="nil"/>
                    <w:tr2bl w:val="nil"/>
                  </w:tcBorders>
                  <w:noWrap w:val="0"/>
                  <w:vAlign w:val="center"/>
                </w:tcPr>
                <w:p>
                  <w:pPr>
                    <w:jc w:val="center"/>
                    <w:rPr>
                      <w:rFonts w:hint="eastAsia" w:eastAsia="宋体"/>
                      <w:szCs w:val="21"/>
                      <w:lang w:eastAsia="zh-CN"/>
                    </w:rPr>
                  </w:pPr>
                  <w:r>
                    <w:rPr>
                      <w:rFonts w:hint="eastAsia"/>
                      <w:szCs w:val="21"/>
                      <w:lang w:eastAsia="zh-CN"/>
                    </w:rPr>
                    <w:t>污水处理站地埋，调节池等盖板封闭，定期喷洒除臭药剂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5" w:hRule="atLeast"/>
              </w:trPr>
              <w:tc>
                <w:tcPr>
                  <w:tcW w:w="656" w:type="dxa"/>
                  <w:tcBorders>
                    <w:tl2br w:val="nil"/>
                    <w:tr2bl w:val="nil"/>
                  </w:tcBorders>
                  <w:noWrap w:val="0"/>
                  <w:vAlign w:val="center"/>
                </w:tcPr>
                <w:p>
                  <w:pPr>
                    <w:jc w:val="center"/>
                    <w:rPr>
                      <w:rFonts w:hint="eastAsia"/>
                      <w:szCs w:val="21"/>
                    </w:rPr>
                  </w:pPr>
                  <w:r>
                    <w:rPr>
                      <w:rFonts w:hint="eastAsia"/>
                      <w:szCs w:val="21"/>
                    </w:rPr>
                    <w:t>建成后</w:t>
                  </w:r>
                </w:p>
              </w:tc>
              <w:tc>
                <w:tcPr>
                  <w:tcW w:w="966" w:type="dxa"/>
                  <w:tcBorders>
                    <w:tl2br w:val="nil"/>
                    <w:tr2bl w:val="nil"/>
                  </w:tcBorders>
                  <w:noWrap w:val="0"/>
                  <w:vAlign w:val="center"/>
                </w:tcPr>
                <w:p>
                  <w:pPr>
                    <w:jc w:val="center"/>
                    <w:rPr>
                      <w:rFonts w:hint="eastAsia"/>
                      <w:szCs w:val="21"/>
                    </w:rPr>
                  </w:pPr>
                  <w:r>
                    <w:rPr>
                      <w:rFonts w:hint="eastAsia"/>
                      <w:szCs w:val="21"/>
                    </w:rPr>
                    <w:t>门诊、住院、检验、急诊等简单的诊疗服务</w:t>
                  </w:r>
                </w:p>
              </w:tc>
              <w:tc>
                <w:tcPr>
                  <w:tcW w:w="1184" w:type="dxa"/>
                  <w:tcBorders>
                    <w:tl2br w:val="nil"/>
                    <w:tr2bl w:val="nil"/>
                  </w:tcBorders>
                  <w:noWrap w:val="0"/>
                  <w:vAlign w:val="center"/>
                </w:tcPr>
                <w:p>
                  <w:pPr>
                    <w:jc w:val="center"/>
                    <w:rPr>
                      <w:rFonts w:hint="eastAsia"/>
                      <w:szCs w:val="21"/>
                    </w:rPr>
                  </w:pPr>
                  <w:r>
                    <w:rPr>
                      <w:rFonts w:hint="eastAsia"/>
                      <w:szCs w:val="21"/>
                      <w:lang w:eastAsia="zh-CN"/>
                    </w:rPr>
                    <w:t>有厨房，员工宿舍有厨房餐厅，员工与病人均在院内就餐</w:t>
                  </w:r>
                </w:p>
              </w:tc>
              <w:tc>
                <w:tcPr>
                  <w:tcW w:w="2107" w:type="dxa"/>
                  <w:tcBorders>
                    <w:tl2br w:val="nil"/>
                    <w:tr2bl w:val="nil"/>
                  </w:tcBorders>
                  <w:noWrap w:val="0"/>
                  <w:vAlign w:val="center"/>
                </w:tcPr>
                <w:p>
                  <w:pPr>
                    <w:jc w:val="center"/>
                    <w:rPr>
                      <w:rFonts w:hint="eastAsia"/>
                      <w:szCs w:val="21"/>
                    </w:rPr>
                  </w:pPr>
                  <w:r>
                    <w:rPr>
                      <w:rFonts w:hint="eastAsia"/>
                      <w:szCs w:val="21"/>
                    </w:rPr>
                    <w:t>食堂废水经隔油池预处理后与生活污水、洗涤废水</w:t>
                  </w:r>
                  <w:r>
                    <w:rPr>
                      <w:rFonts w:hint="eastAsia"/>
                      <w:szCs w:val="21"/>
                      <w:lang w:eastAsia="zh-CN"/>
                    </w:rPr>
                    <w:t>、</w:t>
                  </w:r>
                  <w:r>
                    <w:rPr>
                      <w:rFonts w:hint="eastAsia"/>
                      <w:szCs w:val="21"/>
                    </w:rPr>
                    <w:t>医疗污水通过化粪池排入院内污水处理站处理，</w:t>
                  </w:r>
                  <w:r>
                    <w:rPr>
                      <w:rFonts w:hint="eastAsia"/>
                      <w:szCs w:val="21"/>
                      <w:lang w:eastAsia="zh-CN"/>
                    </w:rPr>
                    <w:t>处理达标后排入污水处理厂</w:t>
                  </w:r>
                </w:p>
              </w:tc>
              <w:tc>
                <w:tcPr>
                  <w:tcW w:w="1859" w:type="dxa"/>
                  <w:tcBorders>
                    <w:tl2br w:val="nil"/>
                    <w:tr2bl w:val="nil"/>
                  </w:tcBorders>
                  <w:noWrap w:val="0"/>
                  <w:vAlign w:val="center"/>
                </w:tcPr>
                <w:p>
                  <w:pPr>
                    <w:jc w:val="center"/>
                    <w:rPr>
                      <w:rFonts w:hint="eastAsia"/>
                      <w:szCs w:val="21"/>
                    </w:rPr>
                  </w:pPr>
                  <w:r>
                    <w:rPr>
                      <w:rFonts w:hint="eastAsia"/>
                      <w:szCs w:val="21"/>
                    </w:rPr>
                    <w:t>生活垃圾统一由当地环保部门收集处理，医疗</w:t>
                  </w:r>
                  <w:r>
                    <w:rPr>
                      <w:rFonts w:hint="eastAsia"/>
                      <w:szCs w:val="21"/>
                      <w:lang w:eastAsia="zh-CN"/>
                    </w:rPr>
                    <w:t>废物与污水处理站污泥</w:t>
                  </w:r>
                  <w:r>
                    <w:rPr>
                      <w:rFonts w:hint="eastAsia"/>
                      <w:szCs w:val="21"/>
                    </w:rPr>
                    <w:t>收集至</w:t>
                  </w:r>
                  <w:r>
                    <w:rPr>
                      <w:rFonts w:hint="eastAsia"/>
                      <w:szCs w:val="21"/>
                      <w:lang w:eastAsia="zh-CN"/>
                    </w:rPr>
                    <w:t>医</w:t>
                  </w:r>
                  <w:r>
                    <w:rPr>
                      <w:rFonts w:hint="eastAsia"/>
                      <w:szCs w:val="21"/>
                    </w:rPr>
                    <w:t>废暂存间，定期</w:t>
                  </w:r>
                  <w:r>
                    <w:rPr>
                      <w:rFonts w:hint="eastAsia"/>
                      <w:szCs w:val="21"/>
                      <w:lang w:eastAsia="zh-CN"/>
                    </w:rPr>
                    <w:t>交由有资质单位处理</w:t>
                  </w:r>
                </w:p>
              </w:tc>
              <w:tc>
                <w:tcPr>
                  <w:tcW w:w="1207" w:type="dxa"/>
                  <w:tcBorders>
                    <w:tl2br w:val="nil"/>
                    <w:tr2bl w:val="nil"/>
                  </w:tcBorders>
                  <w:noWrap w:val="0"/>
                  <w:vAlign w:val="center"/>
                </w:tcPr>
                <w:p>
                  <w:pPr>
                    <w:jc w:val="center"/>
                    <w:rPr>
                      <w:rFonts w:hint="eastAsia"/>
                      <w:szCs w:val="21"/>
                    </w:rPr>
                  </w:pPr>
                  <w:r>
                    <w:rPr>
                      <w:rFonts w:hint="eastAsia"/>
                      <w:szCs w:val="21"/>
                      <w:lang w:eastAsia="zh-CN"/>
                    </w:rPr>
                    <w:t>污水处理站地埋，调节池等盖板封闭，定期喷洒除臭药剂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trPr>
              <w:tc>
                <w:tcPr>
                  <w:tcW w:w="656" w:type="dxa"/>
                  <w:tcBorders>
                    <w:tl2br w:val="nil"/>
                    <w:tr2bl w:val="nil"/>
                  </w:tcBorders>
                  <w:noWrap w:val="0"/>
                  <w:vAlign w:val="center"/>
                </w:tcPr>
                <w:p>
                  <w:pPr>
                    <w:jc w:val="center"/>
                    <w:rPr>
                      <w:rFonts w:hint="eastAsia"/>
                      <w:szCs w:val="21"/>
                    </w:rPr>
                  </w:pPr>
                  <w:r>
                    <w:rPr>
                      <w:rFonts w:hint="eastAsia"/>
                      <w:szCs w:val="21"/>
                    </w:rPr>
                    <w:t>变化情况</w:t>
                  </w:r>
                </w:p>
              </w:tc>
              <w:tc>
                <w:tcPr>
                  <w:tcW w:w="966" w:type="dxa"/>
                  <w:tcBorders>
                    <w:tl2br w:val="nil"/>
                    <w:tr2bl w:val="nil"/>
                  </w:tcBorders>
                  <w:noWrap w:val="0"/>
                  <w:vAlign w:val="center"/>
                </w:tcPr>
                <w:p>
                  <w:pPr>
                    <w:jc w:val="center"/>
                    <w:rPr>
                      <w:rFonts w:hint="eastAsia" w:eastAsia="宋体"/>
                      <w:szCs w:val="21"/>
                      <w:lang w:eastAsia="zh-CN"/>
                    </w:rPr>
                  </w:pPr>
                  <w:r>
                    <w:rPr>
                      <w:rFonts w:hint="eastAsia"/>
                      <w:szCs w:val="21"/>
                      <w:lang w:eastAsia="zh-CN"/>
                    </w:rPr>
                    <w:t>无变化</w:t>
                  </w:r>
                </w:p>
              </w:tc>
              <w:tc>
                <w:tcPr>
                  <w:tcW w:w="1184" w:type="dxa"/>
                  <w:tcBorders>
                    <w:tl2br w:val="nil"/>
                    <w:tr2bl w:val="nil"/>
                  </w:tcBorders>
                  <w:noWrap w:val="0"/>
                  <w:vAlign w:val="center"/>
                </w:tcPr>
                <w:p>
                  <w:pPr>
                    <w:jc w:val="center"/>
                    <w:rPr>
                      <w:rFonts w:hint="eastAsia"/>
                      <w:szCs w:val="21"/>
                    </w:rPr>
                  </w:pPr>
                  <w:r>
                    <w:rPr>
                      <w:rFonts w:hint="eastAsia"/>
                      <w:szCs w:val="21"/>
                    </w:rPr>
                    <w:t>无变化</w:t>
                  </w:r>
                </w:p>
              </w:tc>
              <w:tc>
                <w:tcPr>
                  <w:tcW w:w="2107" w:type="dxa"/>
                  <w:tcBorders>
                    <w:tl2br w:val="nil"/>
                    <w:tr2bl w:val="nil"/>
                  </w:tcBorders>
                  <w:noWrap w:val="0"/>
                  <w:vAlign w:val="center"/>
                </w:tcPr>
                <w:p>
                  <w:pPr>
                    <w:jc w:val="center"/>
                    <w:rPr>
                      <w:rFonts w:hint="eastAsia" w:eastAsia="宋体"/>
                      <w:szCs w:val="21"/>
                      <w:lang w:eastAsia="zh-CN"/>
                    </w:rPr>
                  </w:pPr>
                  <w:r>
                    <w:rPr>
                      <w:rFonts w:hint="eastAsia"/>
                      <w:szCs w:val="21"/>
                      <w:lang w:eastAsia="zh-CN"/>
                    </w:rPr>
                    <w:t>无变化</w:t>
                  </w:r>
                </w:p>
              </w:tc>
              <w:tc>
                <w:tcPr>
                  <w:tcW w:w="1859" w:type="dxa"/>
                  <w:tcBorders>
                    <w:tl2br w:val="nil"/>
                    <w:tr2bl w:val="nil"/>
                  </w:tcBorders>
                  <w:noWrap w:val="0"/>
                  <w:vAlign w:val="center"/>
                </w:tcPr>
                <w:p>
                  <w:pPr>
                    <w:jc w:val="center"/>
                    <w:rPr>
                      <w:rFonts w:hint="eastAsia"/>
                      <w:szCs w:val="21"/>
                    </w:rPr>
                  </w:pPr>
                  <w:r>
                    <w:rPr>
                      <w:rFonts w:hint="eastAsia"/>
                      <w:szCs w:val="21"/>
                      <w:lang w:eastAsia="zh-CN"/>
                    </w:rPr>
                    <w:t>无变化</w:t>
                  </w:r>
                </w:p>
              </w:tc>
              <w:tc>
                <w:tcPr>
                  <w:tcW w:w="1207" w:type="dxa"/>
                  <w:tcBorders>
                    <w:tl2br w:val="nil"/>
                    <w:tr2bl w:val="nil"/>
                  </w:tcBorders>
                  <w:noWrap w:val="0"/>
                  <w:vAlign w:val="center"/>
                </w:tcPr>
                <w:p>
                  <w:pPr>
                    <w:jc w:val="center"/>
                    <w:rPr>
                      <w:rFonts w:hint="eastAsia"/>
                      <w:szCs w:val="21"/>
                    </w:rPr>
                  </w:pPr>
                  <w:r>
                    <w:rPr>
                      <w:rFonts w:hint="eastAsia"/>
                      <w:szCs w:val="21"/>
                      <w:lang w:eastAsia="zh-CN"/>
                    </w:rPr>
                    <w:t>无变化</w:t>
                  </w:r>
                </w:p>
              </w:tc>
            </w:tr>
          </w:tbl>
          <w:p>
            <w:pPr>
              <w:pStyle w:val="72"/>
              <w:spacing w:line="360" w:lineRule="auto"/>
              <w:ind w:firstLine="482"/>
              <w:rPr>
                <w:rFonts w:hint="eastAsia"/>
                <w:b/>
                <w:bCs/>
              </w:rPr>
            </w:pPr>
            <w:r>
              <w:rPr>
                <w:rFonts w:hint="eastAsia"/>
                <w:b/>
                <w:bCs/>
                <w:lang w:val="en-US" w:eastAsia="zh-CN"/>
              </w:rPr>
              <w:t>五</w:t>
            </w:r>
            <w:r>
              <w:rPr>
                <w:rFonts w:hint="eastAsia"/>
                <w:b/>
                <w:bCs/>
              </w:rPr>
              <w:t>、主要设备</w:t>
            </w:r>
          </w:p>
          <w:p>
            <w:pPr>
              <w:pStyle w:val="72"/>
              <w:ind w:firstLine="480"/>
              <w:rPr>
                <w:rFonts w:hint="eastAsia"/>
              </w:rPr>
            </w:pPr>
            <w:r>
              <w:rPr>
                <w:rFonts w:hint="eastAsia"/>
              </w:rPr>
              <w:t>本项目为非生产性项目，营运期不生产产品，营运期所用设备主要用于检查及治疗的服务用仪器，根据现场调查及业主提供资料，项目主要设备清单见下表：</w:t>
            </w:r>
          </w:p>
          <w:p>
            <w:pPr>
              <w:pStyle w:val="165"/>
              <w:rPr>
                <w:rFonts w:hint="eastAsia"/>
                <w:b/>
                <w:bCs/>
              </w:rPr>
            </w:pPr>
            <w:r>
              <w:rPr>
                <w:rFonts w:hint="eastAsia"/>
                <w:b/>
                <w:bCs/>
              </w:rPr>
              <w:t>表2-</w:t>
            </w:r>
            <w:r>
              <w:rPr>
                <w:rFonts w:hint="eastAsia"/>
                <w:b/>
                <w:bCs/>
                <w:lang w:val="en-US" w:eastAsia="zh-CN"/>
              </w:rPr>
              <w:t>7</w:t>
            </w:r>
            <w:r>
              <w:rPr>
                <w:rFonts w:hint="eastAsia"/>
                <w:b/>
                <w:bCs/>
              </w:rPr>
              <w:t xml:space="preserve">  项目主要设备一览表</w:t>
            </w:r>
          </w:p>
          <w:tbl>
            <w:tblPr>
              <w:tblStyle w:val="41"/>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1"/>
              <w:gridCol w:w="2229"/>
              <w:gridCol w:w="713"/>
              <w:gridCol w:w="648"/>
              <w:gridCol w:w="1783"/>
              <w:gridCol w:w="187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noWrap w:val="0"/>
                  <w:vAlign w:val="center"/>
                </w:tcPr>
                <w:p>
                  <w:pPr>
                    <w:widowControl/>
                    <w:jc w:val="center"/>
                    <w:textAlignment w:val="center"/>
                    <w:rPr>
                      <w:szCs w:val="21"/>
                    </w:rPr>
                  </w:pPr>
                  <w:r>
                    <w:rPr>
                      <w:color w:val="000000"/>
                      <w:kern w:val="0"/>
                      <w:szCs w:val="21"/>
                      <w:lang w:bidi="ar"/>
                    </w:rPr>
                    <w:t>序号</w:t>
                  </w:r>
                </w:p>
              </w:tc>
              <w:tc>
                <w:tcPr>
                  <w:tcW w:w="2229" w:type="dxa"/>
                  <w:noWrap w:val="0"/>
                  <w:vAlign w:val="center"/>
                </w:tcPr>
                <w:p>
                  <w:pPr>
                    <w:widowControl/>
                    <w:jc w:val="center"/>
                    <w:textAlignment w:val="center"/>
                    <w:rPr>
                      <w:szCs w:val="21"/>
                    </w:rPr>
                  </w:pPr>
                  <w:r>
                    <w:rPr>
                      <w:color w:val="000000"/>
                      <w:kern w:val="0"/>
                      <w:szCs w:val="21"/>
                      <w:lang w:bidi="ar"/>
                    </w:rPr>
                    <w:t>设备名称</w:t>
                  </w:r>
                </w:p>
              </w:tc>
              <w:tc>
                <w:tcPr>
                  <w:tcW w:w="713" w:type="dxa"/>
                  <w:noWrap w:val="0"/>
                  <w:vAlign w:val="center"/>
                </w:tcPr>
                <w:p>
                  <w:pPr>
                    <w:widowControl/>
                    <w:jc w:val="center"/>
                    <w:textAlignment w:val="center"/>
                    <w:rPr>
                      <w:szCs w:val="21"/>
                    </w:rPr>
                  </w:pPr>
                  <w:r>
                    <w:rPr>
                      <w:color w:val="000000"/>
                      <w:kern w:val="0"/>
                      <w:szCs w:val="21"/>
                      <w:lang w:bidi="ar"/>
                    </w:rPr>
                    <w:t>单位</w:t>
                  </w:r>
                </w:p>
              </w:tc>
              <w:tc>
                <w:tcPr>
                  <w:tcW w:w="648" w:type="dxa"/>
                  <w:noWrap w:val="0"/>
                  <w:vAlign w:val="center"/>
                </w:tcPr>
                <w:p>
                  <w:pPr>
                    <w:widowControl/>
                    <w:jc w:val="center"/>
                    <w:textAlignment w:val="center"/>
                    <w:rPr>
                      <w:szCs w:val="21"/>
                    </w:rPr>
                  </w:pPr>
                  <w:r>
                    <w:rPr>
                      <w:color w:val="000000"/>
                      <w:kern w:val="0"/>
                      <w:szCs w:val="21"/>
                      <w:lang w:bidi="ar"/>
                    </w:rPr>
                    <w:t>数量</w:t>
                  </w:r>
                </w:p>
              </w:tc>
              <w:tc>
                <w:tcPr>
                  <w:tcW w:w="1783" w:type="dxa"/>
                  <w:noWrap w:val="0"/>
                  <w:vAlign w:val="center"/>
                </w:tcPr>
                <w:p>
                  <w:pPr>
                    <w:widowControl/>
                    <w:jc w:val="center"/>
                    <w:textAlignment w:val="center"/>
                    <w:rPr>
                      <w:szCs w:val="21"/>
                    </w:rPr>
                  </w:pPr>
                  <w:r>
                    <w:rPr>
                      <w:color w:val="000000"/>
                      <w:kern w:val="0"/>
                      <w:szCs w:val="21"/>
                      <w:lang w:bidi="ar"/>
                    </w:rPr>
                    <w:t>使用位置</w:t>
                  </w:r>
                </w:p>
              </w:tc>
              <w:tc>
                <w:tcPr>
                  <w:tcW w:w="1878" w:type="dxa"/>
                  <w:noWrap w:val="0"/>
                  <w:vAlign w:val="center"/>
                </w:tcPr>
                <w:p>
                  <w:pPr>
                    <w:widowControl/>
                    <w:jc w:val="center"/>
                    <w:textAlignment w:val="center"/>
                    <w:rPr>
                      <w:szCs w:val="21"/>
                    </w:rPr>
                  </w:pPr>
                  <w:r>
                    <w:rPr>
                      <w:color w:val="000000"/>
                      <w:kern w:val="0"/>
                      <w:szCs w:val="21"/>
                      <w:lang w:bidi="ar"/>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91" w:type="dxa"/>
                  <w:noWrap w:val="0"/>
                  <w:vAlign w:val="center"/>
                </w:tcPr>
                <w:p>
                  <w:pPr>
                    <w:widowControl/>
                    <w:jc w:val="center"/>
                    <w:textAlignment w:val="center"/>
                    <w:rPr>
                      <w:szCs w:val="21"/>
                    </w:rPr>
                  </w:pPr>
                  <w:r>
                    <w:rPr>
                      <w:color w:val="000000"/>
                      <w:kern w:val="0"/>
                      <w:szCs w:val="21"/>
                      <w:lang w:bidi="ar"/>
                    </w:rPr>
                    <w:t>1</w:t>
                  </w:r>
                </w:p>
              </w:tc>
              <w:tc>
                <w:tcPr>
                  <w:tcW w:w="2229" w:type="dxa"/>
                  <w:noWrap w:val="0"/>
                  <w:vAlign w:val="center"/>
                </w:tcPr>
                <w:p>
                  <w:pPr>
                    <w:widowControl/>
                    <w:jc w:val="center"/>
                    <w:textAlignment w:val="center"/>
                    <w:rPr>
                      <w:szCs w:val="21"/>
                    </w:rPr>
                  </w:pPr>
                  <w:r>
                    <w:rPr>
                      <w:color w:val="000000"/>
                      <w:kern w:val="0"/>
                      <w:szCs w:val="21"/>
                      <w:lang w:bidi="ar"/>
                    </w:rPr>
                    <w:t>全自动生化分析仪</w:t>
                  </w:r>
                </w:p>
              </w:tc>
              <w:tc>
                <w:tcPr>
                  <w:tcW w:w="713" w:type="dxa"/>
                  <w:noWrap w:val="0"/>
                  <w:vAlign w:val="center"/>
                </w:tcPr>
                <w:p>
                  <w:pPr>
                    <w:widowControl/>
                    <w:jc w:val="center"/>
                    <w:textAlignment w:val="center"/>
                    <w:rPr>
                      <w:szCs w:val="21"/>
                    </w:rPr>
                  </w:pPr>
                  <w:r>
                    <w:rPr>
                      <w:color w:val="000000"/>
                      <w:kern w:val="0"/>
                      <w:szCs w:val="21"/>
                      <w:lang w:bidi="ar"/>
                    </w:rPr>
                    <w:t>台</w:t>
                  </w:r>
                </w:p>
              </w:tc>
              <w:tc>
                <w:tcPr>
                  <w:tcW w:w="648" w:type="dxa"/>
                  <w:noWrap w:val="0"/>
                  <w:vAlign w:val="center"/>
                </w:tcPr>
                <w:p>
                  <w:pPr>
                    <w:widowControl/>
                    <w:jc w:val="center"/>
                    <w:textAlignment w:val="center"/>
                    <w:rPr>
                      <w:szCs w:val="21"/>
                    </w:rPr>
                  </w:pPr>
                  <w:r>
                    <w:rPr>
                      <w:color w:val="000000"/>
                      <w:kern w:val="0"/>
                      <w:szCs w:val="21"/>
                      <w:lang w:bidi="ar"/>
                    </w:rPr>
                    <w:t>1</w:t>
                  </w:r>
                </w:p>
              </w:tc>
              <w:tc>
                <w:tcPr>
                  <w:tcW w:w="1783" w:type="dxa"/>
                  <w:noWrap w:val="0"/>
                  <w:vAlign w:val="center"/>
                </w:tcPr>
                <w:p>
                  <w:pPr>
                    <w:widowControl/>
                    <w:jc w:val="center"/>
                    <w:textAlignment w:val="center"/>
                    <w:rPr>
                      <w:szCs w:val="21"/>
                    </w:rPr>
                  </w:pPr>
                  <w:r>
                    <w:rPr>
                      <w:color w:val="000000"/>
                      <w:kern w:val="0"/>
                      <w:szCs w:val="21"/>
                      <w:lang w:bidi="ar"/>
                    </w:rPr>
                    <w:t>检验科</w:t>
                  </w:r>
                </w:p>
              </w:tc>
              <w:tc>
                <w:tcPr>
                  <w:tcW w:w="1878" w:type="dxa"/>
                  <w:noWrap w:val="0"/>
                  <w:vAlign w:val="center"/>
                </w:tcPr>
                <w:p>
                  <w:pPr>
                    <w:widowControl/>
                    <w:jc w:val="center"/>
                    <w:textAlignment w:val="center"/>
                    <w:rPr>
                      <w:b/>
                      <w:bCs/>
                      <w:szCs w:val="21"/>
                    </w:rPr>
                  </w:pPr>
                  <w:r>
                    <w:rPr>
                      <w:color w:val="000000"/>
                      <w:kern w:val="0"/>
                      <w:szCs w:val="21"/>
                      <w:lang w:bidi="ar"/>
                    </w:rPr>
                    <w:t>已有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noWrap w:val="0"/>
                  <w:vAlign w:val="center"/>
                </w:tcPr>
                <w:p>
                  <w:pPr>
                    <w:widowControl/>
                    <w:jc w:val="center"/>
                    <w:textAlignment w:val="center"/>
                    <w:rPr>
                      <w:szCs w:val="21"/>
                    </w:rPr>
                  </w:pPr>
                  <w:r>
                    <w:rPr>
                      <w:color w:val="000000"/>
                      <w:kern w:val="0"/>
                      <w:szCs w:val="21"/>
                      <w:lang w:bidi="ar"/>
                    </w:rPr>
                    <w:t>2</w:t>
                  </w:r>
                </w:p>
              </w:tc>
              <w:tc>
                <w:tcPr>
                  <w:tcW w:w="2229" w:type="dxa"/>
                  <w:noWrap w:val="0"/>
                  <w:vAlign w:val="center"/>
                </w:tcPr>
                <w:p>
                  <w:pPr>
                    <w:widowControl/>
                    <w:jc w:val="center"/>
                    <w:textAlignment w:val="center"/>
                    <w:rPr>
                      <w:szCs w:val="21"/>
                    </w:rPr>
                  </w:pPr>
                  <w:r>
                    <w:rPr>
                      <w:color w:val="000000"/>
                      <w:kern w:val="0"/>
                      <w:szCs w:val="21"/>
                      <w:lang w:bidi="ar"/>
                    </w:rPr>
                    <w:t>离子电解质分析仪</w:t>
                  </w:r>
                </w:p>
              </w:tc>
              <w:tc>
                <w:tcPr>
                  <w:tcW w:w="713" w:type="dxa"/>
                  <w:noWrap w:val="0"/>
                  <w:vAlign w:val="center"/>
                </w:tcPr>
                <w:p>
                  <w:pPr>
                    <w:widowControl/>
                    <w:jc w:val="center"/>
                    <w:textAlignment w:val="center"/>
                    <w:rPr>
                      <w:szCs w:val="21"/>
                    </w:rPr>
                  </w:pPr>
                  <w:r>
                    <w:rPr>
                      <w:color w:val="000000"/>
                      <w:kern w:val="0"/>
                      <w:szCs w:val="21"/>
                      <w:lang w:bidi="ar"/>
                    </w:rPr>
                    <w:t>台</w:t>
                  </w:r>
                </w:p>
              </w:tc>
              <w:tc>
                <w:tcPr>
                  <w:tcW w:w="648" w:type="dxa"/>
                  <w:noWrap w:val="0"/>
                  <w:vAlign w:val="center"/>
                </w:tcPr>
                <w:p>
                  <w:pPr>
                    <w:widowControl/>
                    <w:jc w:val="center"/>
                    <w:textAlignment w:val="center"/>
                    <w:rPr>
                      <w:szCs w:val="21"/>
                    </w:rPr>
                  </w:pPr>
                  <w:r>
                    <w:rPr>
                      <w:color w:val="000000"/>
                      <w:kern w:val="0"/>
                      <w:szCs w:val="21"/>
                      <w:lang w:bidi="ar"/>
                    </w:rPr>
                    <w:t>1</w:t>
                  </w:r>
                </w:p>
              </w:tc>
              <w:tc>
                <w:tcPr>
                  <w:tcW w:w="1783" w:type="dxa"/>
                  <w:noWrap w:val="0"/>
                  <w:vAlign w:val="center"/>
                </w:tcPr>
                <w:p>
                  <w:pPr>
                    <w:widowControl/>
                    <w:jc w:val="center"/>
                    <w:textAlignment w:val="center"/>
                    <w:rPr>
                      <w:szCs w:val="21"/>
                    </w:rPr>
                  </w:pPr>
                  <w:r>
                    <w:rPr>
                      <w:color w:val="000000"/>
                      <w:kern w:val="0"/>
                      <w:szCs w:val="21"/>
                      <w:lang w:bidi="ar"/>
                    </w:rPr>
                    <w:t>检验科</w:t>
                  </w:r>
                </w:p>
              </w:tc>
              <w:tc>
                <w:tcPr>
                  <w:tcW w:w="1878" w:type="dxa"/>
                  <w:noWrap w:val="0"/>
                  <w:vAlign w:val="center"/>
                </w:tcPr>
                <w:p>
                  <w:pPr>
                    <w:widowControl/>
                    <w:jc w:val="center"/>
                    <w:textAlignment w:val="center"/>
                    <w:rPr>
                      <w:b/>
                      <w:bCs/>
                      <w:szCs w:val="21"/>
                    </w:rPr>
                  </w:pPr>
                  <w:r>
                    <w:rPr>
                      <w:color w:val="000000"/>
                      <w:kern w:val="0"/>
                      <w:szCs w:val="21"/>
                      <w:lang w:bidi="ar"/>
                    </w:rPr>
                    <w:t>已有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noWrap w:val="0"/>
                  <w:vAlign w:val="center"/>
                </w:tcPr>
                <w:p>
                  <w:pPr>
                    <w:widowControl/>
                    <w:jc w:val="center"/>
                    <w:textAlignment w:val="center"/>
                    <w:rPr>
                      <w:szCs w:val="21"/>
                    </w:rPr>
                  </w:pPr>
                  <w:r>
                    <w:rPr>
                      <w:color w:val="000000"/>
                      <w:kern w:val="0"/>
                      <w:szCs w:val="21"/>
                      <w:lang w:bidi="ar"/>
                    </w:rPr>
                    <w:t>3</w:t>
                  </w:r>
                </w:p>
              </w:tc>
              <w:tc>
                <w:tcPr>
                  <w:tcW w:w="2229" w:type="dxa"/>
                  <w:noWrap w:val="0"/>
                  <w:vAlign w:val="center"/>
                </w:tcPr>
                <w:p>
                  <w:pPr>
                    <w:widowControl/>
                    <w:jc w:val="center"/>
                    <w:textAlignment w:val="center"/>
                    <w:rPr>
                      <w:szCs w:val="21"/>
                    </w:rPr>
                  </w:pPr>
                  <w:r>
                    <w:rPr>
                      <w:color w:val="000000"/>
                      <w:kern w:val="0"/>
                      <w:szCs w:val="21"/>
                      <w:lang w:bidi="ar"/>
                    </w:rPr>
                    <w:t>荧光免疫定量分析仪</w:t>
                  </w:r>
                </w:p>
              </w:tc>
              <w:tc>
                <w:tcPr>
                  <w:tcW w:w="713" w:type="dxa"/>
                  <w:noWrap w:val="0"/>
                  <w:vAlign w:val="center"/>
                </w:tcPr>
                <w:p>
                  <w:pPr>
                    <w:widowControl/>
                    <w:jc w:val="center"/>
                    <w:textAlignment w:val="center"/>
                    <w:rPr>
                      <w:szCs w:val="21"/>
                    </w:rPr>
                  </w:pPr>
                  <w:r>
                    <w:rPr>
                      <w:color w:val="000000"/>
                      <w:kern w:val="0"/>
                      <w:szCs w:val="21"/>
                      <w:lang w:bidi="ar"/>
                    </w:rPr>
                    <w:t>台</w:t>
                  </w:r>
                </w:p>
              </w:tc>
              <w:tc>
                <w:tcPr>
                  <w:tcW w:w="648" w:type="dxa"/>
                  <w:noWrap w:val="0"/>
                  <w:vAlign w:val="center"/>
                </w:tcPr>
                <w:p>
                  <w:pPr>
                    <w:widowControl/>
                    <w:jc w:val="center"/>
                    <w:textAlignment w:val="center"/>
                    <w:rPr>
                      <w:szCs w:val="21"/>
                    </w:rPr>
                  </w:pPr>
                  <w:r>
                    <w:rPr>
                      <w:color w:val="000000"/>
                      <w:kern w:val="0"/>
                      <w:szCs w:val="21"/>
                      <w:lang w:bidi="ar"/>
                    </w:rPr>
                    <w:t>1</w:t>
                  </w:r>
                </w:p>
              </w:tc>
              <w:tc>
                <w:tcPr>
                  <w:tcW w:w="1783" w:type="dxa"/>
                  <w:noWrap w:val="0"/>
                  <w:vAlign w:val="center"/>
                </w:tcPr>
                <w:p>
                  <w:pPr>
                    <w:widowControl/>
                    <w:jc w:val="center"/>
                    <w:textAlignment w:val="center"/>
                    <w:rPr>
                      <w:szCs w:val="21"/>
                    </w:rPr>
                  </w:pPr>
                  <w:r>
                    <w:rPr>
                      <w:color w:val="000000"/>
                      <w:kern w:val="0"/>
                      <w:szCs w:val="21"/>
                      <w:lang w:bidi="ar"/>
                    </w:rPr>
                    <w:t>检验科</w:t>
                  </w:r>
                </w:p>
              </w:tc>
              <w:tc>
                <w:tcPr>
                  <w:tcW w:w="1878" w:type="dxa"/>
                  <w:noWrap w:val="0"/>
                  <w:vAlign w:val="center"/>
                </w:tcPr>
                <w:p>
                  <w:pPr>
                    <w:widowControl/>
                    <w:jc w:val="center"/>
                    <w:textAlignment w:val="center"/>
                    <w:rPr>
                      <w:b/>
                      <w:bCs/>
                      <w:szCs w:val="21"/>
                    </w:rPr>
                  </w:pPr>
                  <w:r>
                    <w:rPr>
                      <w:color w:val="000000"/>
                      <w:kern w:val="0"/>
                      <w:szCs w:val="21"/>
                      <w:lang w:bidi="ar"/>
                    </w:rPr>
                    <w:t>已有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noWrap w:val="0"/>
                  <w:vAlign w:val="center"/>
                </w:tcPr>
                <w:p>
                  <w:pPr>
                    <w:widowControl/>
                    <w:jc w:val="center"/>
                    <w:textAlignment w:val="center"/>
                    <w:rPr>
                      <w:szCs w:val="21"/>
                    </w:rPr>
                  </w:pPr>
                  <w:r>
                    <w:rPr>
                      <w:color w:val="000000"/>
                      <w:kern w:val="0"/>
                      <w:szCs w:val="21"/>
                      <w:lang w:bidi="ar"/>
                    </w:rPr>
                    <w:t>4</w:t>
                  </w:r>
                </w:p>
              </w:tc>
              <w:tc>
                <w:tcPr>
                  <w:tcW w:w="2229" w:type="dxa"/>
                  <w:noWrap w:val="0"/>
                  <w:vAlign w:val="center"/>
                </w:tcPr>
                <w:p>
                  <w:pPr>
                    <w:widowControl/>
                    <w:jc w:val="center"/>
                    <w:textAlignment w:val="center"/>
                    <w:rPr>
                      <w:szCs w:val="21"/>
                    </w:rPr>
                  </w:pPr>
                  <w:r>
                    <w:rPr>
                      <w:color w:val="000000"/>
                      <w:kern w:val="0"/>
                      <w:szCs w:val="21"/>
                      <w:lang w:bidi="ar"/>
                    </w:rPr>
                    <w:t>尿液分析仪</w:t>
                  </w:r>
                </w:p>
              </w:tc>
              <w:tc>
                <w:tcPr>
                  <w:tcW w:w="713" w:type="dxa"/>
                  <w:noWrap w:val="0"/>
                  <w:vAlign w:val="center"/>
                </w:tcPr>
                <w:p>
                  <w:pPr>
                    <w:widowControl/>
                    <w:jc w:val="center"/>
                    <w:textAlignment w:val="center"/>
                    <w:rPr>
                      <w:szCs w:val="21"/>
                    </w:rPr>
                  </w:pPr>
                  <w:r>
                    <w:rPr>
                      <w:color w:val="000000"/>
                      <w:kern w:val="0"/>
                      <w:szCs w:val="21"/>
                      <w:lang w:bidi="ar"/>
                    </w:rPr>
                    <w:t>台</w:t>
                  </w:r>
                </w:p>
              </w:tc>
              <w:tc>
                <w:tcPr>
                  <w:tcW w:w="648" w:type="dxa"/>
                  <w:noWrap w:val="0"/>
                  <w:vAlign w:val="center"/>
                </w:tcPr>
                <w:p>
                  <w:pPr>
                    <w:widowControl/>
                    <w:jc w:val="center"/>
                    <w:textAlignment w:val="center"/>
                    <w:rPr>
                      <w:szCs w:val="21"/>
                    </w:rPr>
                  </w:pPr>
                  <w:r>
                    <w:rPr>
                      <w:color w:val="000000"/>
                      <w:kern w:val="0"/>
                      <w:szCs w:val="21"/>
                      <w:lang w:bidi="ar"/>
                    </w:rPr>
                    <w:t>1</w:t>
                  </w:r>
                </w:p>
              </w:tc>
              <w:tc>
                <w:tcPr>
                  <w:tcW w:w="1783" w:type="dxa"/>
                  <w:noWrap w:val="0"/>
                  <w:vAlign w:val="center"/>
                </w:tcPr>
                <w:p>
                  <w:pPr>
                    <w:widowControl/>
                    <w:jc w:val="center"/>
                    <w:textAlignment w:val="center"/>
                    <w:rPr>
                      <w:szCs w:val="21"/>
                    </w:rPr>
                  </w:pPr>
                  <w:r>
                    <w:rPr>
                      <w:color w:val="000000"/>
                      <w:kern w:val="0"/>
                      <w:szCs w:val="21"/>
                      <w:lang w:bidi="ar"/>
                    </w:rPr>
                    <w:t>检验科</w:t>
                  </w:r>
                </w:p>
              </w:tc>
              <w:tc>
                <w:tcPr>
                  <w:tcW w:w="1878" w:type="dxa"/>
                  <w:noWrap w:val="0"/>
                  <w:vAlign w:val="center"/>
                </w:tcPr>
                <w:p>
                  <w:pPr>
                    <w:widowControl/>
                    <w:jc w:val="center"/>
                    <w:textAlignment w:val="center"/>
                    <w:rPr>
                      <w:b/>
                      <w:bCs/>
                      <w:szCs w:val="21"/>
                    </w:rPr>
                  </w:pPr>
                  <w:r>
                    <w:rPr>
                      <w:color w:val="000000"/>
                      <w:kern w:val="0"/>
                      <w:szCs w:val="21"/>
                      <w:lang w:bidi="ar"/>
                    </w:rPr>
                    <w:t>已有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noWrap w:val="0"/>
                  <w:vAlign w:val="center"/>
                </w:tcPr>
                <w:p>
                  <w:pPr>
                    <w:widowControl/>
                    <w:jc w:val="center"/>
                    <w:textAlignment w:val="center"/>
                    <w:rPr>
                      <w:szCs w:val="21"/>
                    </w:rPr>
                  </w:pPr>
                  <w:r>
                    <w:rPr>
                      <w:color w:val="000000"/>
                      <w:kern w:val="0"/>
                      <w:szCs w:val="21"/>
                      <w:lang w:bidi="ar"/>
                    </w:rPr>
                    <w:t>5</w:t>
                  </w:r>
                </w:p>
              </w:tc>
              <w:tc>
                <w:tcPr>
                  <w:tcW w:w="2229" w:type="dxa"/>
                  <w:noWrap w:val="0"/>
                  <w:vAlign w:val="center"/>
                </w:tcPr>
                <w:p>
                  <w:pPr>
                    <w:widowControl/>
                    <w:jc w:val="center"/>
                    <w:textAlignment w:val="center"/>
                    <w:rPr>
                      <w:szCs w:val="21"/>
                    </w:rPr>
                  </w:pPr>
                  <w:r>
                    <w:rPr>
                      <w:color w:val="000000"/>
                      <w:kern w:val="0"/>
                      <w:szCs w:val="21"/>
                      <w:lang w:bidi="ar"/>
                    </w:rPr>
                    <w:t>帝迈血球分析仪</w:t>
                  </w:r>
                </w:p>
              </w:tc>
              <w:tc>
                <w:tcPr>
                  <w:tcW w:w="713" w:type="dxa"/>
                  <w:noWrap w:val="0"/>
                  <w:vAlign w:val="center"/>
                </w:tcPr>
                <w:p>
                  <w:pPr>
                    <w:widowControl/>
                    <w:jc w:val="center"/>
                    <w:textAlignment w:val="center"/>
                    <w:rPr>
                      <w:szCs w:val="21"/>
                    </w:rPr>
                  </w:pPr>
                  <w:r>
                    <w:rPr>
                      <w:color w:val="000000"/>
                      <w:kern w:val="0"/>
                      <w:szCs w:val="21"/>
                      <w:lang w:bidi="ar"/>
                    </w:rPr>
                    <w:t>台</w:t>
                  </w:r>
                </w:p>
              </w:tc>
              <w:tc>
                <w:tcPr>
                  <w:tcW w:w="648" w:type="dxa"/>
                  <w:noWrap w:val="0"/>
                  <w:vAlign w:val="center"/>
                </w:tcPr>
                <w:p>
                  <w:pPr>
                    <w:widowControl/>
                    <w:jc w:val="center"/>
                    <w:textAlignment w:val="center"/>
                    <w:rPr>
                      <w:szCs w:val="21"/>
                    </w:rPr>
                  </w:pPr>
                  <w:r>
                    <w:rPr>
                      <w:color w:val="000000"/>
                      <w:kern w:val="0"/>
                      <w:szCs w:val="21"/>
                      <w:lang w:bidi="ar"/>
                    </w:rPr>
                    <w:t>1</w:t>
                  </w:r>
                </w:p>
              </w:tc>
              <w:tc>
                <w:tcPr>
                  <w:tcW w:w="1783" w:type="dxa"/>
                  <w:noWrap w:val="0"/>
                  <w:vAlign w:val="center"/>
                </w:tcPr>
                <w:p>
                  <w:pPr>
                    <w:widowControl/>
                    <w:jc w:val="center"/>
                    <w:textAlignment w:val="center"/>
                    <w:rPr>
                      <w:szCs w:val="21"/>
                    </w:rPr>
                  </w:pPr>
                  <w:r>
                    <w:rPr>
                      <w:color w:val="000000"/>
                      <w:kern w:val="0"/>
                      <w:szCs w:val="21"/>
                      <w:lang w:bidi="ar"/>
                    </w:rPr>
                    <w:t>检验科</w:t>
                  </w:r>
                </w:p>
              </w:tc>
              <w:tc>
                <w:tcPr>
                  <w:tcW w:w="1878" w:type="dxa"/>
                  <w:noWrap w:val="0"/>
                  <w:vAlign w:val="center"/>
                </w:tcPr>
                <w:p>
                  <w:pPr>
                    <w:widowControl/>
                    <w:jc w:val="center"/>
                    <w:textAlignment w:val="center"/>
                    <w:rPr>
                      <w:b/>
                      <w:bCs/>
                      <w:szCs w:val="21"/>
                    </w:rPr>
                  </w:pPr>
                  <w:r>
                    <w:rPr>
                      <w:color w:val="000000"/>
                      <w:kern w:val="0"/>
                      <w:szCs w:val="21"/>
                      <w:lang w:bidi="ar"/>
                    </w:rPr>
                    <w:t>已有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noWrap w:val="0"/>
                  <w:vAlign w:val="center"/>
                </w:tcPr>
                <w:p>
                  <w:pPr>
                    <w:widowControl/>
                    <w:jc w:val="center"/>
                    <w:textAlignment w:val="center"/>
                    <w:rPr>
                      <w:szCs w:val="21"/>
                    </w:rPr>
                  </w:pPr>
                  <w:r>
                    <w:rPr>
                      <w:color w:val="000000"/>
                      <w:kern w:val="0"/>
                      <w:szCs w:val="21"/>
                      <w:lang w:bidi="ar"/>
                    </w:rPr>
                    <w:t>6</w:t>
                  </w:r>
                </w:p>
              </w:tc>
              <w:tc>
                <w:tcPr>
                  <w:tcW w:w="2229" w:type="dxa"/>
                  <w:noWrap w:val="0"/>
                  <w:vAlign w:val="center"/>
                </w:tcPr>
                <w:p>
                  <w:pPr>
                    <w:widowControl/>
                    <w:jc w:val="center"/>
                    <w:textAlignment w:val="center"/>
                    <w:rPr>
                      <w:szCs w:val="21"/>
                    </w:rPr>
                  </w:pPr>
                  <w:r>
                    <w:rPr>
                      <w:color w:val="000000"/>
                      <w:kern w:val="0"/>
                      <w:szCs w:val="21"/>
                      <w:lang w:bidi="ar"/>
                    </w:rPr>
                    <w:t>医用离心机</w:t>
                  </w:r>
                </w:p>
              </w:tc>
              <w:tc>
                <w:tcPr>
                  <w:tcW w:w="713" w:type="dxa"/>
                  <w:noWrap w:val="0"/>
                  <w:vAlign w:val="center"/>
                </w:tcPr>
                <w:p>
                  <w:pPr>
                    <w:widowControl/>
                    <w:jc w:val="center"/>
                    <w:textAlignment w:val="center"/>
                    <w:rPr>
                      <w:szCs w:val="21"/>
                    </w:rPr>
                  </w:pPr>
                  <w:r>
                    <w:rPr>
                      <w:color w:val="000000"/>
                      <w:kern w:val="0"/>
                      <w:szCs w:val="21"/>
                      <w:lang w:bidi="ar"/>
                    </w:rPr>
                    <w:t>台</w:t>
                  </w:r>
                </w:p>
              </w:tc>
              <w:tc>
                <w:tcPr>
                  <w:tcW w:w="648" w:type="dxa"/>
                  <w:noWrap w:val="0"/>
                  <w:vAlign w:val="center"/>
                </w:tcPr>
                <w:p>
                  <w:pPr>
                    <w:widowControl/>
                    <w:jc w:val="center"/>
                    <w:textAlignment w:val="center"/>
                    <w:rPr>
                      <w:szCs w:val="21"/>
                    </w:rPr>
                  </w:pPr>
                  <w:r>
                    <w:rPr>
                      <w:color w:val="000000"/>
                      <w:kern w:val="0"/>
                      <w:szCs w:val="21"/>
                      <w:lang w:bidi="ar"/>
                    </w:rPr>
                    <w:t>1</w:t>
                  </w:r>
                </w:p>
              </w:tc>
              <w:tc>
                <w:tcPr>
                  <w:tcW w:w="1783" w:type="dxa"/>
                  <w:noWrap w:val="0"/>
                  <w:vAlign w:val="center"/>
                </w:tcPr>
                <w:p>
                  <w:pPr>
                    <w:widowControl/>
                    <w:jc w:val="center"/>
                    <w:textAlignment w:val="center"/>
                    <w:rPr>
                      <w:szCs w:val="21"/>
                    </w:rPr>
                  </w:pPr>
                  <w:r>
                    <w:rPr>
                      <w:color w:val="000000"/>
                      <w:kern w:val="0"/>
                      <w:szCs w:val="21"/>
                      <w:lang w:bidi="ar"/>
                    </w:rPr>
                    <w:t>检验科</w:t>
                  </w:r>
                </w:p>
              </w:tc>
              <w:tc>
                <w:tcPr>
                  <w:tcW w:w="1878" w:type="dxa"/>
                  <w:noWrap w:val="0"/>
                  <w:vAlign w:val="center"/>
                </w:tcPr>
                <w:p>
                  <w:pPr>
                    <w:widowControl/>
                    <w:jc w:val="center"/>
                    <w:textAlignment w:val="center"/>
                    <w:rPr>
                      <w:b/>
                      <w:bCs/>
                      <w:szCs w:val="21"/>
                    </w:rPr>
                  </w:pPr>
                  <w:r>
                    <w:rPr>
                      <w:color w:val="000000"/>
                      <w:kern w:val="0"/>
                      <w:szCs w:val="21"/>
                      <w:lang w:bidi="ar"/>
                    </w:rPr>
                    <w:t>已有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noWrap w:val="0"/>
                  <w:vAlign w:val="center"/>
                </w:tcPr>
                <w:p>
                  <w:pPr>
                    <w:widowControl/>
                    <w:jc w:val="center"/>
                    <w:textAlignment w:val="center"/>
                    <w:rPr>
                      <w:szCs w:val="21"/>
                    </w:rPr>
                  </w:pPr>
                  <w:r>
                    <w:rPr>
                      <w:color w:val="000000"/>
                      <w:kern w:val="0"/>
                      <w:szCs w:val="21"/>
                      <w:lang w:bidi="ar"/>
                    </w:rPr>
                    <w:t>7</w:t>
                  </w:r>
                </w:p>
              </w:tc>
              <w:tc>
                <w:tcPr>
                  <w:tcW w:w="2229" w:type="dxa"/>
                  <w:noWrap w:val="0"/>
                  <w:vAlign w:val="center"/>
                </w:tcPr>
                <w:p>
                  <w:pPr>
                    <w:widowControl/>
                    <w:jc w:val="center"/>
                    <w:textAlignment w:val="center"/>
                    <w:rPr>
                      <w:szCs w:val="21"/>
                    </w:rPr>
                  </w:pPr>
                  <w:r>
                    <w:rPr>
                      <w:color w:val="000000"/>
                      <w:kern w:val="0"/>
                      <w:szCs w:val="21"/>
                      <w:lang w:bidi="ar"/>
                    </w:rPr>
                    <w:t>心电图机</w:t>
                  </w:r>
                </w:p>
              </w:tc>
              <w:tc>
                <w:tcPr>
                  <w:tcW w:w="713" w:type="dxa"/>
                  <w:noWrap w:val="0"/>
                  <w:vAlign w:val="center"/>
                </w:tcPr>
                <w:p>
                  <w:pPr>
                    <w:widowControl/>
                    <w:jc w:val="center"/>
                    <w:textAlignment w:val="center"/>
                    <w:rPr>
                      <w:szCs w:val="21"/>
                    </w:rPr>
                  </w:pPr>
                  <w:r>
                    <w:rPr>
                      <w:color w:val="000000"/>
                      <w:kern w:val="0"/>
                      <w:szCs w:val="21"/>
                      <w:lang w:bidi="ar"/>
                    </w:rPr>
                    <w:t>台</w:t>
                  </w:r>
                </w:p>
              </w:tc>
              <w:tc>
                <w:tcPr>
                  <w:tcW w:w="648" w:type="dxa"/>
                  <w:noWrap w:val="0"/>
                  <w:vAlign w:val="center"/>
                </w:tcPr>
                <w:p>
                  <w:pPr>
                    <w:widowControl/>
                    <w:jc w:val="center"/>
                    <w:textAlignment w:val="center"/>
                    <w:rPr>
                      <w:szCs w:val="21"/>
                    </w:rPr>
                  </w:pPr>
                  <w:r>
                    <w:rPr>
                      <w:color w:val="000000"/>
                      <w:kern w:val="0"/>
                      <w:szCs w:val="21"/>
                      <w:lang w:bidi="ar"/>
                    </w:rPr>
                    <w:t>1</w:t>
                  </w:r>
                </w:p>
              </w:tc>
              <w:tc>
                <w:tcPr>
                  <w:tcW w:w="1783" w:type="dxa"/>
                  <w:noWrap w:val="0"/>
                  <w:vAlign w:val="center"/>
                </w:tcPr>
                <w:p>
                  <w:pPr>
                    <w:widowControl/>
                    <w:jc w:val="center"/>
                    <w:textAlignment w:val="center"/>
                    <w:rPr>
                      <w:szCs w:val="21"/>
                    </w:rPr>
                  </w:pPr>
                  <w:r>
                    <w:rPr>
                      <w:color w:val="000000"/>
                      <w:kern w:val="0"/>
                      <w:szCs w:val="21"/>
                      <w:lang w:bidi="ar"/>
                    </w:rPr>
                    <w:t>B超室</w:t>
                  </w:r>
                </w:p>
              </w:tc>
              <w:tc>
                <w:tcPr>
                  <w:tcW w:w="1878" w:type="dxa"/>
                  <w:noWrap w:val="0"/>
                  <w:vAlign w:val="center"/>
                </w:tcPr>
                <w:p>
                  <w:pPr>
                    <w:widowControl/>
                    <w:jc w:val="center"/>
                    <w:textAlignment w:val="center"/>
                    <w:rPr>
                      <w:b/>
                      <w:bCs/>
                      <w:szCs w:val="21"/>
                    </w:rPr>
                  </w:pPr>
                  <w:r>
                    <w:rPr>
                      <w:color w:val="000000"/>
                      <w:kern w:val="0"/>
                      <w:szCs w:val="21"/>
                      <w:lang w:bidi="ar"/>
                    </w:rPr>
                    <w:t>已有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noWrap w:val="0"/>
                  <w:vAlign w:val="center"/>
                </w:tcPr>
                <w:p>
                  <w:pPr>
                    <w:widowControl/>
                    <w:jc w:val="center"/>
                    <w:textAlignment w:val="center"/>
                    <w:rPr>
                      <w:szCs w:val="21"/>
                    </w:rPr>
                  </w:pPr>
                  <w:r>
                    <w:rPr>
                      <w:color w:val="000000"/>
                      <w:kern w:val="0"/>
                      <w:szCs w:val="21"/>
                      <w:lang w:bidi="ar"/>
                    </w:rPr>
                    <w:t>8</w:t>
                  </w:r>
                </w:p>
              </w:tc>
              <w:tc>
                <w:tcPr>
                  <w:tcW w:w="2229" w:type="dxa"/>
                  <w:noWrap w:val="0"/>
                  <w:vAlign w:val="center"/>
                </w:tcPr>
                <w:p>
                  <w:pPr>
                    <w:widowControl/>
                    <w:jc w:val="center"/>
                    <w:textAlignment w:val="center"/>
                    <w:rPr>
                      <w:szCs w:val="21"/>
                    </w:rPr>
                  </w:pPr>
                  <w:r>
                    <w:rPr>
                      <w:color w:val="000000"/>
                      <w:kern w:val="0"/>
                      <w:szCs w:val="21"/>
                      <w:lang w:bidi="ar"/>
                    </w:rPr>
                    <w:t>脑血流图仪</w:t>
                  </w:r>
                </w:p>
              </w:tc>
              <w:tc>
                <w:tcPr>
                  <w:tcW w:w="713" w:type="dxa"/>
                  <w:noWrap w:val="0"/>
                  <w:vAlign w:val="center"/>
                </w:tcPr>
                <w:p>
                  <w:pPr>
                    <w:widowControl/>
                    <w:jc w:val="center"/>
                    <w:textAlignment w:val="center"/>
                    <w:rPr>
                      <w:szCs w:val="21"/>
                    </w:rPr>
                  </w:pPr>
                  <w:r>
                    <w:rPr>
                      <w:color w:val="000000"/>
                      <w:kern w:val="0"/>
                      <w:szCs w:val="21"/>
                      <w:lang w:bidi="ar"/>
                    </w:rPr>
                    <w:t>台</w:t>
                  </w:r>
                </w:p>
              </w:tc>
              <w:tc>
                <w:tcPr>
                  <w:tcW w:w="648" w:type="dxa"/>
                  <w:noWrap w:val="0"/>
                  <w:vAlign w:val="center"/>
                </w:tcPr>
                <w:p>
                  <w:pPr>
                    <w:widowControl/>
                    <w:jc w:val="center"/>
                    <w:textAlignment w:val="center"/>
                    <w:rPr>
                      <w:szCs w:val="21"/>
                    </w:rPr>
                  </w:pPr>
                  <w:r>
                    <w:rPr>
                      <w:color w:val="000000"/>
                      <w:kern w:val="0"/>
                      <w:szCs w:val="21"/>
                      <w:lang w:bidi="ar"/>
                    </w:rPr>
                    <w:t>1</w:t>
                  </w:r>
                </w:p>
              </w:tc>
              <w:tc>
                <w:tcPr>
                  <w:tcW w:w="1783" w:type="dxa"/>
                  <w:noWrap w:val="0"/>
                  <w:vAlign w:val="center"/>
                </w:tcPr>
                <w:p>
                  <w:pPr>
                    <w:widowControl/>
                    <w:jc w:val="center"/>
                    <w:textAlignment w:val="center"/>
                    <w:rPr>
                      <w:szCs w:val="21"/>
                    </w:rPr>
                  </w:pPr>
                  <w:r>
                    <w:rPr>
                      <w:color w:val="000000"/>
                      <w:kern w:val="0"/>
                      <w:szCs w:val="21"/>
                      <w:lang w:bidi="ar"/>
                    </w:rPr>
                    <w:t>B超室</w:t>
                  </w:r>
                </w:p>
              </w:tc>
              <w:tc>
                <w:tcPr>
                  <w:tcW w:w="1878" w:type="dxa"/>
                  <w:noWrap w:val="0"/>
                  <w:vAlign w:val="center"/>
                </w:tcPr>
                <w:p>
                  <w:pPr>
                    <w:widowControl/>
                    <w:jc w:val="center"/>
                    <w:textAlignment w:val="center"/>
                    <w:rPr>
                      <w:b/>
                      <w:bCs/>
                      <w:szCs w:val="21"/>
                    </w:rPr>
                  </w:pPr>
                  <w:r>
                    <w:rPr>
                      <w:color w:val="000000"/>
                      <w:kern w:val="0"/>
                      <w:szCs w:val="21"/>
                      <w:lang w:bidi="ar"/>
                    </w:rPr>
                    <w:t>已有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noWrap w:val="0"/>
                  <w:vAlign w:val="center"/>
                </w:tcPr>
                <w:p>
                  <w:pPr>
                    <w:widowControl/>
                    <w:jc w:val="center"/>
                    <w:textAlignment w:val="center"/>
                    <w:rPr>
                      <w:szCs w:val="21"/>
                    </w:rPr>
                  </w:pPr>
                  <w:r>
                    <w:rPr>
                      <w:color w:val="000000"/>
                      <w:kern w:val="0"/>
                      <w:szCs w:val="21"/>
                      <w:lang w:bidi="ar"/>
                    </w:rPr>
                    <w:t>9</w:t>
                  </w:r>
                </w:p>
              </w:tc>
              <w:tc>
                <w:tcPr>
                  <w:tcW w:w="2229" w:type="dxa"/>
                  <w:noWrap w:val="0"/>
                  <w:vAlign w:val="center"/>
                </w:tcPr>
                <w:p>
                  <w:pPr>
                    <w:widowControl/>
                    <w:jc w:val="center"/>
                    <w:textAlignment w:val="center"/>
                    <w:rPr>
                      <w:szCs w:val="21"/>
                    </w:rPr>
                  </w:pPr>
                  <w:r>
                    <w:rPr>
                      <w:color w:val="000000"/>
                      <w:kern w:val="0"/>
                      <w:szCs w:val="21"/>
                      <w:lang w:bidi="ar"/>
                    </w:rPr>
                    <w:t>经颅磁刺激治疗仪</w:t>
                  </w:r>
                </w:p>
              </w:tc>
              <w:tc>
                <w:tcPr>
                  <w:tcW w:w="713" w:type="dxa"/>
                  <w:noWrap w:val="0"/>
                  <w:vAlign w:val="center"/>
                </w:tcPr>
                <w:p>
                  <w:pPr>
                    <w:widowControl/>
                    <w:jc w:val="center"/>
                    <w:textAlignment w:val="center"/>
                    <w:rPr>
                      <w:szCs w:val="21"/>
                    </w:rPr>
                  </w:pPr>
                  <w:r>
                    <w:rPr>
                      <w:color w:val="000000"/>
                      <w:kern w:val="0"/>
                      <w:szCs w:val="21"/>
                      <w:lang w:bidi="ar"/>
                    </w:rPr>
                    <w:t>台</w:t>
                  </w:r>
                </w:p>
              </w:tc>
              <w:tc>
                <w:tcPr>
                  <w:tcW w:w="648" w:type="dxa"/>
                  <w:noWrap w:val="0"/>
                  <w:vAlign w:val="center"/>
                </w:tcPr>
                <w:p>
                  <w:pPr>
                    <w:widowControl/>
                    <w:jc w:val="center"/>
                    <w:textAlignment w:val="center"/>
                    <w:rPr>
                      <w:szCs w:val="21"/>
                    </w:rPr>
                  </w:pPr>
                  <w:r>
                    <w:rPr>
                      <w:color w:val="000000"/>
                      <w:kern w:val="0"/>
                      <w:szCs w:val="21"/>
                      <w:lang w:bidi="ar"/>
                    </w:rPr>
                    <w:t>1</w:t>
                  </w:r>
                </w:p>
              </w:tc>
              <w:tc>
                <w:tcPr>
                  <w:tcW w:w="1783" w:type="dxa"/>
                  <w:noWrap w:val="0"/>
                  <w:vAlign w:val="center"/>
                </w:tcPr>
                <w:p>
                  <w:pPr>
                    <w:widowControl/>
                    <w:jc w:val="center"/>
                    <w:textAlignment w:val="center"/>
                    <w:rPr>
                      <w:szCs w:val="21"/>
                    </w:rPr>
                  </w:pPr>
                  <w:r>
                    <w:rPr>
                      <w:color w:val="000000"/>
                      <w:kern w:val="0"/>
                      <w:szCs w:val="21"/>
                      <w:lang w:bidi="ar"/>
                    </w:rPr>
                    <w:t>B超室</w:t>
                  </w:r>
                </w:p>
              </w:tc>
              <w:tc>
                <w:tcPr>
                  <w:tcW w:w="1878" w:type="dxa"/>
                  <w:noWrap w:val="0"/>
                  <w:vAlign w:val="center"/>
                </w:tcPr>
                <w:p>
                  <w:pPr>
                    <w:widowControl/>
                    <w:jc w:val="center"/>
                    <w:textAlignment w:val="center"/>
                    <w:rPr>
                      <w:b/>
                      <w:bCs/>
                      <w:szCs w:val="21"/>
                    </w:rPr>
                  </w:pPr>
                  <w:r>
                    <w:rPr>
                      <w:color w:val="000000"/>
                      <w:kern w:val="0"/>
                      <w:szCs w:val="21"/>
                      <w:lang w:bidi="ar"/>
                    </w:rPr>
                    <w:t>已有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noWrap w:val="0"/>
                  <w:vAlign w:val="center"/>
                </w:tcPr>
                <w:p>
                  <w:pPr>
                    <w:widowControl/>
                    <w:jc w:val="center"/>
                    <w:textAlignment w:val="center"/>
                    <w:rPr>
                      <w:szCs w:val="21"/>
                    </w:rPr>
                  </w:pPr>
                  <w:r>
                    <w:rPr>
                      <w:color w:val="000000"/>
                      <w:kern w:val="0"/>
                      <w:szCs w:val="21"/>
                      <w:lang w:bidi="ar"/>
                    </w:rPr>
                    <w:t>10</w:t>
                  </w:r>
                </w:p>
              </w:tc>
              <w:tc>
                <w:tcPr>
                  <w:tcW w:w="2229" w:type="dxa"/>
                  <w:noWrap w:val="0"/>
                  <w:vAlign w:val="center"/>
                </w:tcPr>
                <w:p>
                  <w:pPr>
                    <w:widowControl/>
                    <w:jc w:val="center"/>
                    <w:textAlignment w:val="center"/>
                    <w:rPr>
                      <w:szCs w:val="21"/>
                    </w:rPr>
                  </w:pPr>
                  <w:r>
                    <w:rPr>
                      <w:color w:val="000000"/>
                      <w:kern w:val="0"/>
                      <w:szCs w:val="21"/>
                      <w:lang w:bidi="ar"/>
                    </w:rPr>
                    <w:t>脑地形图仪</w:t>
                  </w:r>
                </w:p>
              </w:tc>
              <w:tc>
                <w:tcPr>
                  <w:tcW w:w="713" w:type="dxa"/>
                  <w:noWrap w:val="0"/>
                  <w:vAlign w:val="center"/>
                </w:tcPr>
                <w:p>
                  <w:pPr>
                    <w:widowControl/>
                    <w:jc w:val="center"/>
                    <w:textAlignment w:val="center"/>
                    <w:rPr>
                      <w:szCs w:val="21"/>
                    </w:rPr>
                  </w:pPr>
                  <w:r>
                    <w:rPr>
                      <w:color w:val="000000"/>
                      <w:kern w:val="0"/>
                      <w:szCs w:val="21"/>
                      <w:lang w:bidi="ar"/>
                    </w:rPr>
                    <w:t>台</w:t>
                  </w:r>
                </w:p>
              </w:tc>
              <w:tc>
                <w:tcPr>
                  <w:tcW w:w="648" w:type="dxa"/>
                  <w:noWrap w:val="0"/>
                  <w:vAlign w:val="center"/>
                </w:tcPr>
                <w:p>
                  <w:pPr>
                    <w:widowControl/>
                    <w:jc w:val="center"/>
                    <w:textAlignment w:val="center"/>
                    <w:rPr>
                      <w:szCs w:val="21"/>
                    </w:rPr>
                  </w:pPr>
                  <w:r>
                    <w:rPr>
                      <w:color w:val="000000"/>
                      <w:kern w:val="0"/>
                      <w:szCs w:val="21"/>
                      <w:lang w:bidi="ar"/>
                    </w:rPr>
                    <w:t>1</w:t>
                  </w:r>
                </w:p>
              </w:tc>
              <w:tc>
                <w:tcPr>
                  <w:tcW w:w="1783" w:type="dxa"/>
                  <w:noWrap w:val="0"/>
                  <w:vAlign w:val="center"/>
                </w:tcPr>
                <w:p>
                  <w:pPr>
                    <w:widowControl/>
                    <w:jc w:val="center"/>
                    <w:textAlignment w:val="center"/>
                    <w:rPr>
                      <w:szCs w:val="21"/>
                    </w:rPr>
                  </w:pPr>
                  <w:r>
                    <w:rPr>
                      <w:color w:val="000000"/>
                      <w:kern w:val="0"/>
                      <w:szCs w:val="21"/>
                      <w:lang w:bidi="ar"/>
                    </w:rPr>
                    <w:t>B超室</w:t>
                  </w:r>
                </w:p>
              </w:tc>
              <w:tc>
                <w:tcPr>
                  <w:tcW w:w="1878" w:type="dxa"/>
                  <w:noWrap w:val="0"/>
                  <w:vAlign w:val="center"/>
                </w:tcPr>
                <w:p>
                  <w:pPr>
                    <w:widowControl/>
                    <w:jc w:val="center"/>
                    <w:textAlignment w:val="center"/>
                    <w:rPr>
                      <w:b/>
                      <w:bCs/>
                      <w:szCs w:val="21"/>
                    </w:rPr>
                  </w:pPr>
                  <w:r>
                    <w:rPr>
                      <w:color w:val="000000"/>
                      <w:kern w:val="0"/>
                      <w:szCs w:val="21"/>
                      <w:lang w:bidi="ar"/>
                    </w:rPr>
                    <w:t>已有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noWrap w:val="0"/>
                  <w:vAlign w:val="center"/>
                </w:tcPr>
                <w:p>
                  <w:pPr>
                    <w:widowControl/>
                    <w:jc w:val="center"/>
                    <w:textAlignment w:val="center"/>
                    <w:rPr>
                      <w:szCs w:val="21"/>
                    </w:rPr>
                  </w:pPr>
                  <w:r>
                    <w:rPr>
                      <w:color w:val="000000"/>
                      <w:kern w:val="0"/>
                      <w:szCs w:val="21"/>
                      <w:lang w:bidi="ar"/>
                    </w:rPr>
                    <w:t>11</w:t>
                  </w:r>
                </w:p>
              </w:tc>
              <w:tc>
                <w:tcPr>
                  <w:tcW w:w="2229" w:type="dxa"/>
                  <w:noWrap w:val="0"/>
                  <w:vAlign w:val="center"/>
                </w:tcPr>
                <w:p>
                  <w:pPr>
                    <w:widowControl/>
                    <w:jc w:val="center"/>
                    <w:textAlignment w:val="center"/>
                    <w:rPr>
                      <w:szCs w:val="21"/>
                    </w:rPr>
                  </w:pPr>
                  <w:r>
                    <w:rPr>
                      <w:color w:val="000000"/>
                      <w:kern w:val="0"/>
                      <w:szCs w:val="21"/>
                      <w:lang w:bidi="ar"/>
                    </w:rPr>
                    <w:t>心电监护仪</w:t>
                  </w:r>
                </w:p>
              </w:tc>
              <w:tc>
                <w:tcPr>
                  <w:tcW w:w="713" w:type="dxa"/>
                  <w:noWrap w:val="0"/>
                  <w:vAlign w:val="center"/>
                </w:tcPr>
                <w:p>
                  <w:pPr>
                    <w:widowControl/>
                    <w:jc w:val="center"/>
                    <w:textAlignment w:val="center"/>
                    <w:rPr>
                      <w:szCs w:val="21"/>
                    </w:rPr>
                  </w:pPr>
                  <w:r>
                    <w:rPr>
                      <w:color w:val="000000"/>
                      <w:kern w:val="0"/>
                      <w:szCs w:val="21"/>
                      <w:lang w:bidi="ar"/>
                    </w:rPr>
                    <w:t>台</w:t>
                  </w:r>
                </w:p>
              </w:tc>
              <w:tc>
                <w:tcPr>
                  <w:tcW w:w="648" w:type="dxa"/>
                  <w:noWrap w:val="0"/>
                  <w:vAlign w:val="center"/>
                </w:tcPr>
                <w:p>
                  <w:pPr>
                    <w:widowControl/>
                    <w:jc w:val="center"/>
                    <w:textAlignment w:val="center"/>
                    <w:rPr>
                      <w:szCs w:val="21"/>
                    </w:rPr>
                  </w:pPr>
                  <w:r>
                    <w:rPr>
                      <w:color w:val="000000"/>
                      <w:kern w:val="0"/>
                      <w:szCs w:val="21"/>
                      <w:lang w:bidi="ar"/>
                    </w:rPr>
                    <w:t>2</w:t>
                  </w:r>
                </w:p>
              </w:tc>
              <w:tc>
                <w:tcPr>
                  <w:tcW w:w="1783" w:type="dxa"/>
                  <w:noWrap w:val="0"/>
                  <w:vAlign w:val="center"/>
                </w:tcPr>
                <w:p>
                  <w:pPr>
                    <w:widowControl/>
                    <w:jc w:val="center"/>
                    <w:textAlignment w:val="center"/>
                    <w:rPr>
                      <w:szCs w:val="21"/>
                    </w:rPr>
                  </w:pPr>
                  <w:r>
                    <w:rPr>
                      <w:color w:val="000000"/>
                      <w:kern w:val="0"/>
                      <w:szCs w:val="21"/>
                      <w:lang w:bidi="ar"/>
                    </w:rPr>
                    <w:t>治疗室、病房</w:t>
                  </w:r>
                </w:p>
              </w:tc>
              <w:tc>
                <w:tcPr>
                  <w:tcW w:w="1878" w:type="dxa"/>
                  <w:noWrap w:val="0"/>
                  <w:vAlign w:val="center"/>
                </w:tcPr>
                <w:p>
                  <w:pPr>
                    <w:widowControl/>
                    <w:jc w:val="center"/>
                    <w:textAlignment w:val="center"/>
                    <w:rPr>
                      <w:b/>
                      <w:bCs/>
                      <w:szCs w:val="21"/>
                    </w:rPr>
                  </w:pPr>
                  <w:r>
                    <w:rPr>
                      <w:color w:val="000000"/>
                      <w:kern w:val="0"/>
                      <w:szCs w:val="21"/>
                      <w:lang w:bidi="ar"/>
                    </w:rPr>
                    <w:t>已有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noWrap w:val="0"/>
                  <w:vAlign w:val="center"/>
                </w:tcPr>
                <w:p>
                  <w:pPr>
                    <w:widowControl/>
                    <w:jc w:val="center"/>
                    <w:textAlignment w:val="center"/>
                    <w:rPr>
                      <w:szCs w:val="21"/>
                    </w:rPr>
                  </w:pPr>
                  <w:r>
                    <w:rPr>
                      <w:color w:val="000000"/>
                      <w:kern w:val="0"/>
                      <w:szCs w:val="21"/>
                      <w:lang w:bidi="ar"/>
                    </w:rPr>
                    <w:t>12</w:t>
                  </w:r>
                </w:p>
              </w:tc>
              <w:tc>
                <w:tcPr>
                  <w:tcW w:w="2229" w:type="dxa"/>
                  <w:noWrap w:val="0"/>
                  <w:vAlign w:val="center"/>
                </w:tcPr>
                <w:p>
                  <w:pPr>
                    <w:widowControl/>
                    <w:jc w:val="center"/>
                    <w:textAlignment w:val="center"/>
                    <w:rPr>
                      <w:szCs w:val="21"/>
                    </w:rPr>
                  </w:pPr>
                  <w:r>
                    <w:rPr>
                      <w:color w:val="000000"/>
                      <w:kern w:val="0"/>
                      <w:szCs w:val="21"/>
                      <w:lang w:bidi="ar"/>
                    </w:rPr>
                    <w:t>吸痰机</w:t>
                  </w:r>
                </w:p>
              </w:tc>
              <w:tc>
                <w:tcPr>
                  <w:tcW w:w="713" w:type="dxa"/>
                  <w:noWrap w:val="0"/>
                  <w:vAlign w:val="center"/>
                </w:tcPr>
                <w:p>
                  <w:pPr>
                    <w:widowControl/>
                    <w:jc w:val="center"/>
                    <w:textAlignment w:val="center"/>
                    <w:rPr>
                      <w:szCs w:val="21"/>
                    </w:rPr>
                  </w:pPr>
                  <w:r>
                    <w:rPr>
                      <w:color w:val="000000"/>
                      <w:kern w:val="0"/>
                      <w:szCs w:val="21"/>
                      <w:lang w:bidi="ar"/>
                    </w:rPr>
                    <w:t>台</w:t>
                  </w:r>
                </w:p>
              </w:tc>
              <w:tc>
                <w:tcPr>
                  <w:tcW w:w="648" w:type="dxa"/>
                  <w:noWrap w:val="0"/>
                  <w:vAlign w:val="center"/>
                </w:tcPr>
                <w:p>
                  <w:pPr>
                    <w:widowControl/>
                    <w:jc w:val="center"/>
                    <w:textAlignment w:val="center"/>
                    <w:rPr>
                      <w:szCs w:val="21"/>
                    </w:rPr>
                  </w:pPr>
                  <w:r>
                    <w:rPr>
                      <w:color w:val="000000"/>
                      <w:kern w:val="0"/>
                      <w:szCs w:val="21"/>
                      <w:lang w:bidi="ar"/>
                    </w:rPr>
                    <w:t>2</w:t>
                  </w:r>
                </w:p>
              </w:tc>
              <w:tc>
                <w:tcPr>
                  <w:tcW w:w="1783" w:type="dxa"/>
                  <w:noWrap w:val="0"/>
                  <w:vAlign w:val="center"/>
                </w:tcPr>
                <w:p>
                  <w:pPr>
                    <w:widowControl/>
                    <w:jc w:val="center"/>
                    <w:textAlignment w:val="center"/>
                    <w:rPr>
                      <w:szCs w:val="21"/>
                    </w:rPr>
                  </w:pPr>
                  <w:r>
                    <w:rPr>
                      <w:color w:val="000000"/>
                      <w:kern w:val="0"/>
                      <w:szCs w:val="21"/>
                      <w:lang w:bidi="ar"/>
                    </w:rPr>
                    <w:t>治疗室、病房</w:t>
                  </w:r>
                </w:p>
              </w:tc>
              <w:tc>
                <w:tcPr>
                  <w:tcW w:w="1878" w:type="dxa"/>
                  <w:noWrap w:val="0"/>
                  <w:vAlign w:val="center"/>
                </w:tcPr>
                <w:p>
                  <w:pPr>
                    <w:widowControl/>
                    <w:jc w:val="center"/>
                    <w:textAlignment w:val="center"/>
                    <w:rPr>
                      <w:szCs w:val="21"/>
                    </w:rPr>
                  </w:pPr>
                  <w:r>
                    <w:rPr>
                      <w:color w:val="000000"/>
                      <w:kern w:val="0"/>
                      <w:szCs w:val="21"/>
                      <w:lang w:bidi="ar"/>
                    </w:rPr>
                    <w:t>已有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noWrap w:val="0"/>
                  <w:vAlign w:val="center"/>
                </w:tcPr>
                <w:p>
                  <w:pPr>
                    <w:widowControl/>
                    <w:jc w:val="center"/>
                    <w:textAlignment w:val="center"/>
                    <w:rPr>
                      <w:szCs w:val="21"/>
                    </w:rPr>
                  </w:pPr>
                  <w:r>
                    <w:rPr>
                      <w:color w:val="000000"/>
                      <w:kern w:val="0"/>
                      <w:szCs w:val="21"/>
                      <w:lang w:bidi="ar"/>
                    </w:rPr>
                    <w:t>13</w:t>
                  </w:r>
                </w:p>
              </w:tc>
              <w:tc>
                <w:tcPr>
                  <w:tcW w:w="2229" w:type="dxa"/>
                  <w:noWrap w:val="0"/>
                  <w:vAlign w:val="center"/>
                </w:tcPr>
                <w:p>
                  <w:pPr>
                    <w:widowControl/>
                    <w:jc w:val="center"/>
                    <w:textAlignment w:val="center"/>
                    <w:rPr>
                      <w:szCs w:val="21"/>
                    </w:rPr>
                  </w:pPr>
                  <w:r>
                    <w:rPr>
                      <w:color w:val="000000"/>
                      <w:kern w:val="0"/>
                      <w:szCs w:val="21"/>
                      <w:lang w:bidi="ar"/>
                    </w:rPr>
                    <w:t>空调</w:t>
                  </w:r>
                </w:p>
              </w:tc>
              <w:tc>
                <w:tcPr>
                  <w:tcW w:w="713" w:type="dxa"/>
                  <w:noWrap w:val="0"/>
                  <w:vAlign w:val="center"/>
                </w:tcPr>
                <w:p>
                  <w:pPr>
                    <w:widowControl/>
                    <w:jc w:val="center"/>
                    <w:textAlignment w:val="center"/>
                    <w:rPr>
                      <w:szCs w:val="21"/>
                    </w:rPr>
                  </w:pPr>
                  <w:r>
                    <w:rPr>
                      <w:color w:val="000000"/>
                      <w:kern w:val="0"/>
                      <w:szCs w:val="21"/>
                      <w:lang w:bidi="ar"/>
                    </w:rPr>
                    <w:t>台</w:t>
                  </w:r>
                </w:p>
              </w:tc>
              <w:tc>
                <w:tcPr>
                  <w:tcW w:w="648" w:type="dxa"/>
                  <w:noWrap w:val="0"/>
                  <w:vAlign w:val="center"/>
                </w:tcPr>
                <w:p>
                  <w:pPr>
                    <w:widowControl/>
                    <w:jc w:val="center"/>
                    <w:textAlignment w:val="center"/>
                    <w:rPr>
                      <w:szCs w:val="21"/>
                    </w:rPr>
                  </w:pPr>
                  <w:r>
                    <w:rPr>
                      <w:color w:val="000000"/>
                      <w:kern w:val="0"/>
                      <w:szCs w:val="21"/>
                      <w:lang w:bidi="ar"/>
                    </w:rPr>
                    <w:t>25</w:t>
                  </w:r>
                </w:p>
              </w:tc>
              <w:tc>
                <w:tcPr>
                  <w:tcW w:w="1783" w:type="dxa"/>
                  <w:noWrap w:val="0"/>
                  <w:vAlign w:val="center"/>
                </w:tcPr>
                <w:p>
                  <w:pPr>
                    <w:widowControl/>
                    <w:jc w:val="center"/>
                    <w:textAlignment w:val="center"/>
                    <w:rPr>
                      <w:szCs w:val="21"/>
                    </w:rPr>
                  </w:pPr>
                  <w:r>
                    <w:rPr>
                      <w:color w:val="000000"/>
                      <w:kern w:val="0"/>
                      <w:szCs w:val="21"/>
                      <w:lang w:bidi="ar"/>
                    </w:rPr>
                    <w:t>医院</w:t>
                  </w:r>
                </w:p>
              </w:tc>
              <w:tc>
                <w:tcPr>
                  <w:tcW w:w="1878" w:type="dxa"/>
                  <w:noWrap w:val="0"/>
                  <w:vAlign w:val="center"/>
                </w:tcPr>
                <w:p>
                  <w:pPr>
                    <w:widowControl/>
                    <w:jc w:val="center"/>
                    <w:textAlignment w:val="center"/>
                    <w:rPr>
                      <w:b/>
                      <w:bCs/>
                      <w:szCs w:val="21"/>
                    </w:rPr>
                  </w:pPr>
                  <w:r>
                    <w:rPr>
                      <w:color w:val="000000"/>
                      <w:kern w:val="0"/>
                      <w:szCs w:val="21"/>
                      <w:lang w:bidi="ar"/>
                    </w:rPr>
                    <w:t>已有，间歇使用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noWrap w:val="0"/>
                  <w:vAlign w:val="center"/>
                </w:tcPr>
                <w:p>
                  <w:pPr>
                    <w:widowControl/>
                    <w:jc w:val="center"/>
                    <w:textAlignment w:val="center"/>
                    <w:rPr>
                      <w:szCs w:val="21"/>
                    </w:rPr>
                  </w:pPr>
                  <w:r>
                    <w:rPr>
                      <w:color w:val="000000"/>
                      <w:kern w:val="0"/>
                      <w:szCs w:val="21"/>
                      <w:lang w:bidi="ar"/>
                    </w:rPr>
                    <w:t>14</w:t>
                  </w:r>
                </w:p>
              </w:tc>
              <w:tc>
                <w:tcPr>
                  <w:tcW w:w="2229" w:type="dxa"/>
                  <w:noWrap w:val="0"/>
                  <w:vAlign w:val="center"/>
                </w:tcPr>
                <w:p>
                  <w:pPr>
                    <w:widowControl/>
                    <w:jc w:val="center"/>
                    <w:textAlignment w:val="center"/>
                    <w:rPr>
                      <w:szCs w:val="21"/>
                    </w:rPr>
                  </w:pPr>
                  <w:r>
                    <w:rPr>
                      <w:color w:val="000000"/>
                      <w:kern w:val="0"/>
                      <w:szCs w:val="21"/>
                      <w:lang w:bidi="ar"/>
                    </w:rPr>
                    <w:t>污水泵</w:t>
                  </w:r>
                </w:p>
              </w:tc>
              <w:tc>
                <w:tcPr>
                  <w:tcW w:w="713" w:type="dxa"/>
                  <w:noWrap w:val="0"/>
                  <w:vAlign w:val="center"/>
                </w:tcPr>
                <w:p>
                  <w:pPr>
                    <w:widowControl/>
                    <w:jc w:val="center"/>
                    <w:textAlignment w:val="center"/>
                    <w:rPr>
                      <w:szCs w:val="21"/>
                    </w:rPr>
                  </w:pPr>
                  <w:r>
                    <w:rPr>
                      <w:color w:val="000000"/>
                      <w:kern w:val="0"/>
                      <w:szCs w:val="21"/>
                      <w:lang w:bidi="ar"/>
                    </w:rPr>
                    <w:t>台</w:t>
                  </w:r>
                </w:p>
              </w:tc>
              <w:tc>
                <w:tcPr>
                  <w:tcW w:w="648" w:type="dxa"/>
                  <w:noWrap w:val="0"/>
                  <w:vAlign w:val="center"/>
                </w:tcPr>
                <w:p>
                  <w:pPr>
                    <w:widowControl/>
                    <w:jc w:val="center"/>
                    <w:textAlignment w:val="center"/>
                    <w:rPr>
                      <w:szCs w:val="21"/>
                    </w:rPr>
                  </w:pPr>
                  <w:r>
                    <w:rPr>
                      <w:color w:val="000000"/>
                      <w:kern w:val="0"/>
                      <w:szCs w:val="21"/>
                      <w:lang w:bidi="ar"/>
                    </w:rPr>
                    <w:t>1</w:t>
                  </w:r>
                </w:p>
              </w:tc>
              <w:tc>
                <w:tcPr>
                  <w:tcW w:w="1783" w:type="dxa"/>
                  <w:noWrap w:val="0"/>
                  <w:vAlign w:val="center"/>
                </w:tcPr>
                <w:p>
                  <w:pPr>
                    <w:widowControl/>
                    <w:jc w:val="center"/>
                    <w:textAlignment w:val="center"/>
                    <w:rPr>
                      <w:szCs w:val="21"/>
                    </w:rPr>
                  </w:pPr>
                  <w:r>
                    <w:rPr>
                      <w:rFonts w:hint="eastAsia"/>
                      <w:color w:val="000000"/>
                      <w:kern w:val="0"/>
                      <w:szCs w:val="21"/>
                      <w:lang w:bidi="ar"/>
                    </w:rPr>
                    <w:t>污水处理站</w:t>
                  </w:r>
                  <w:r>
                    <w:rPr>
                      <w:color w:val="000000"/>
                      <w:kern w:val="0"/>
                      <w:szCs w:val="21"/>
                      <w:lang w:bidi="ar"/>
                    </w:rPr>
                    <w:t>处</w:t>
                  </w:r>
                </w:p>
              </w:tc>
              <w:tc>
                <w:tcPr>
                  <w:tcW w:w="1878" w:type="dxa"/>
                  <w:noWrap w:val="0"/>
                  <w:vAlign w:val="center"/>
                </w:tcPr>
                <w:p>
                  <w:pPr>
                    <w:widowControl/>
                    <w:jc w:val="center"/>
                    <w:textAlignment w:val="center"/>
                    <w:rPr>
                      <w:b/>
                      <w:bCs/>
                      <w:szCs w:val="21"/>
                    </w:rPr>
                  </w:pPr>
                  <w:r>
                    <w:rPr>
                      <w:color w:val="000000"/>
                      <w:kern w:val="0"/>
                      <w:szCs w:val="21"/>
                      <w:lang w:bidi="ar"/>
                    </w:rPr>
                    <w:t>已有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noWrap w:val="0"/>
                  <w:vAlign w:val="center"/>
                </w:tcPr>
                <w:p>
                  <w:pPr>
                    <w:widowControl/>
                    <w:jc w:val="center"/>
                    <w:textAlignment w:val="center"/>
                    <w:rPr>
                      <w:szCs w:val="21"/>
                    </w:rPr>
                  </w:pPr>
                  <w:r>
                    <w:rPr>
                      <w:color w:val="000000"/>
                      <w:kern w:val="0"/>
                      <w:szCs w:val="21"/>
                      <w:lang w:bidi="ar"/>
                    </w:rPr>
                    <w:t>15</w:t>
                  </w:r>
                </w:p>
              </w:tc>
              <w:tc>
                <w:tcPr>
                  <w:tcW w:w="2229" w:type="dxa"/>
                  <w:noWrap w:val="0"/>
                  <w:vAlign w:val="center"/>
                </w:tcPr>
                <w:p>
                  <w:pPr>
                    <w:widowControl/>
                    <w:jc w:val="center"/>
                    <w:textAlignment w:val="center"/>
                    <w:rPr>
                      <w:szCs w:val="21"/>
                    </w:rPr>
                  </w:pPr>
                  <w:r>
                    <w:rPr>
                      <w:color w:val="000000"/>
                      <w:kern w:val="0"/>
                      <w:szCs w:val="21"/>
                      <w:lang w:bidi="ar"/>
                    </w:rPr>
                    <w:t>发电机</w:t>
                  </w:r>
                </w:p>
              </w:tc>
              <w:tc>
                <w:tcPr>
                  <w:tcW w:w="713" w:type="dxa"/>
                  <w:noWrap w:val="0"/>
                  <w:vAlign w:val="center"/>
                </w:tcPr>
                <w:p>
                  <w:pPr>
                    <w:widowControl/>
                    <w:jc w:val="center"/>
                    <w:textAlignment w:val="center"/>
                    <w:rPr>
                      <w:szCs w:val="21"/>
                    </w:rPr>
                  </w:pPr>
                  <w:r>
                    <w:rPr>
                      <w:color w:val="000000"/>
                      <w:kern w:val="0"/>
                      <w:szCs w:val="21"/>
                      <w:lang w:bidi="ar"/>
                    </w:rPr>
                    <w:t>台</w:t>
                  </w:r>
                </w:p>
              </w:tc>
              <w:tc>
                <w:tcPr>
                  <w:tcW w:w="648" w:type="dxa"/>
                  <w:noWrap w:val="0"/>
                  <w:vAlign w:val="center"/>
                </w:tcPr>
                <w:p>
                  <w:pPr>
                    <w:widowControl/>
                    <w:jc w:val="center"/>
                    <w:textAlignment w:val="center"/>
                    <w:rPr>
                      <w:szCs w:val="21"/>
                    </w:rPr>
                  </w:pPr>
                  <w:r>
                    <w:rPr>
                      <w:color w:val="000000"/>
                      <w:kern w:val="0"/>
                      <w:szCs w:val="21"/>
                      <w:lang w:bidi="ar"/>
                    </w:rPr>
                    <w:t>1</w:t>
                  </w:r>
                </w:p>
              </w:tc>
              <w:tc>
                <w:tcPr>
                  <w:tcW w:w="1783" w:type="dxa"/>
                  <w:noWrap w:val="0"/>
                  <w:vAlign w:val="center"/>
                </w:tcPr>
                <w:p>
                  <w:pPr>
                    <w:widowControl/>
                    <w:jc w:val="center"/>
                    <w:textAlignment w:val="center"/>
                    <w:rPr>
                      <w:szCs w:val="21"/>
                    </w:rPr>
                  </w:pPr>
                  <w:r>
                    <w:rPr>
                      <w:color w:val="000000"/>
                      <w:kern w:val="0"/>
                      <w:szCs w:val="21"/>
                      <w:lang w:bidi="ar"/>
                    </w:rPr>
                    <w:t>门诊</w:t>
                  </w:r>
                </w:p>
              </w:tc>
              <w:tc>
                <w:tcPr>
                  <w:tcW w:w="1878" w:type="dxa"/>
                  <w:noWrap w:val="0"/>
                  <w:vAlign w:val="center"/>
                </w:tcPr>
                <w:p>
                  <w:pPr>
                    <w:widowControl/>
                    <w:jc w:val="center"/>
                    <w:textAlignment w:val="center"/>
                    <w:rPr>
                      <w:b/>
                      <w:bCs/>
                      <w:szCs w:val="21"/>
                    </w:rPr>
                  </w:pPr>
                  <w:r>
                    <w:rPr>
                      <w:color w:val="000000"/>
                      <w:kern w:val="0"/>
                      <w:szCs w:val="21"/>
                      <w:lang w:bidi="ar"/>
                    </w:rPr>
                    <w:t>已有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noWrap w:val="0"/>
                  <w:vAlign w:val="center"/>
                </w:tcPr>
                <w:p>
                  <w:pPr>
                    <w:widowControl/>
                    <w:jc w:val="center"/>
                    <w:textAlignment w:val="center"/>
                    <w:rPr>
                      <w:szCs w:val="21"/>
                    </w:rPr>
                  </w:pPr>
                  <w:r>
                    <w:rPr>
                      <w:color w:val="000000"/>
                      <w:kern w:val="0"/>
                      <w:szCs w:val="21"/>
                      <w:lang w:bidi="ar"/>
                    </w:rPr>
                    <w:t>16</w:t>
                  </w:r>
                </w:p>
              </w:tc>
              <w:tc>
                <w:tcPr>
                  <w:tcW w:w="2229" w:type="dxa"/>
                  <w:noWrap w:val="0"/>
                  <w:vAlign w:val="center"/>
                </w:tcPr>
                <w:p>
                  <w:pPr>
                    <w:widowControl/>
                    <w:jc w:val="center"/>
                    <w:textAlignment w:val="center"/>
                    <w:rPr>
                      <w:szCs w:val="21"/>
                    </w:rPr>
                  </w:pPr>
                  <w:r>
                    <w:rPr>
                      <w:rFonts w:hint="eastAsia"/>
                      <w:color w:val="000000"/>
                      <w:kern w:val="0"/>
                      <w:szCs w:val="21"/>
                      <w:lang w:bidi="ar"/>
                    </w:rPr>
                    <w:t>污水处理站</w:t>
                  </w:r>
                  <w:r>
                    <w:rPr>
                      <w:color w:val="000000"/>
                      <w:kern w:val="0"/>
                      <w:szCs w:val="21"/>
                      <w:lang w:bidi="ar"/>
                    </w:rPr>
                    <w:t>设备</w:t>
                  </w:r>
                </w:p>
              </w:tc>
              <w:tc>
                <w:tcPr>
                  <w:tcW w:w="713" w:type="dxa"/>
                  <w:noWrap w:val="0"/>
                  <w:vAlign w:val="center"/>
                </w:tcPr>
                <w:p>
                  <w:pPr>
                    <w:widowControl/>
                    <w:jc w:val="center"/>
                    <w:textAlignment w:val="center"/>
                    <w:rPr>
                      <w:szCs w:val="21"/>
                    </w:rPr>
                  </w:pPr>
                  <w:r>
                    <w:rPr>
                      <w:color w:val="000000"/>
                      <w:kern w:val="0"/>
                      <w:szCs w:val="21"/>
                      <w:lang w:bidi="ar"/>
                    </w:rPr>
                    <w:t>套</w:t>
                  </w:r>
                </w:p>
              </w:tc>
              <w:tc>
                <w:tcPr>
                  <w:tcW w:w="648" w:type="dxa"/>
                  <w:noWrap w:val="0"/>
                  <w:vAlign w:val="center"/>
                </w:tcPr>
                <w:p>
                  <w:pPr>
                    <w:widowControl/>
                    <w:jc w:val="center"/>
                    <w:textAlignment w:val="center"/>
                    <w:rPr>
                      <w:szCs w:val="21"/>
                    </w:rPr>
                  </w:pPr>
                  <w:r>
                    <w:rPr>
                      <w:color w:val="000000"/>
                      <w:kern w:val="0"/>
                      <w:szCs w:val="21"/>
                      <w:lang w:bidi="ar"/>
                    </w:rPr>
                    <w:t>1</w:t>
                  </w:r>
                </w:p>
              </w:tc>
              <w:tc>
                <w:tcPr>
                  <w:tcW w:w="1783" w:type="dxa"/>
                  <w:noWrap w:val="0"/>
                  <w:vAlign w:val="center"/>
                </w:tcPr>
                <w:p>
                  <w:pPr>
                    <w:widowControl/>
                    <w:jc w:val="center"/>
                    <w:textAlignment w:val="center"/>
                    <w:rPr>
                      <w:szCs w:val="21"/>
                    </w:rPr>
                  </w:pPr>
                  <w:r>
                    <w:rPr>
                      <w:color w:val="000000"/>
                      <w:kern w:val="0"/>
                      <w:szCs w:val="21"/>
                      <w:lang w:bidi="ar"/>
                    </w:rPr>
                    <w:t>洗衣房</w:t>
                  </w:r>
                </w:p>
              </w:tc>
              <w:tc>
                <w:tcPr>
                  <w:tcW w:w="1878" w:type="dxa"/>
                  <w:noWrap w:val="0"/>
                  <w:vAlign w:val="center"/>
                </w:tcPr>
                <w:p>
                  <w:pPr>
                    <w:widowControl/>
                    <w:jc w:val="center"/>
                    <w:textAlignment w:val="center"/>
                    <w:rPr>
                      <w:szCs w:val="21"/>
                    </w:rPr>
                  </w:pPr>
                  <w:r>
                    <w:rPr>
                      <w:color w:val="000000"/>
                      <w:kern w:val="0"/>
                      <w:szCs w:val="21"/>
                      <w:lang w:bidi="ar"/>
                    </w:rPr>
                    <w:t>已有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noWrap w:val="0"/>
                  <w:vAlign w:val="center"/>
                </w:tcPr>
                <w:p>
                  <w:pPr>
                    <w:widowControl/>
                    <w:jc w:val="center"/>
                    <w:textAlignment w:val="center"/>
                    <w:rPr>
                      <w:color w:val="000000"/>
                      <w:kern w:val="0"/>
                      <w:szCs w:val="21"/>
                      <w:lang w:bidi="ar"/>
                    </w:rPr>
                  </w:pPr>
                  <w:r>
                    <w:rPr>
                      <w:color w:val="000000"/>
                      <w:kern w:val="0"/>
                      <w:szCs w:val="21"/>
                      <w:lang w:bidi="ar"/>
                    </w:rPr>
                    <w:t>17</w:t>
                  </w:r>
                </w:p>
              </w:tc>
              <w:tc>
                <w:tcPr>
                  <w:tcW w:w="2229" w:type="dxa"/>
                  <w:noWrap w:val="0"/>
                  <w:vAlign w:val="center"/>
                </w:tcPr>
                <w:p>
                  <w:pPr>
                    <w:widowControl/>
                    <w:jc w:val="center"/>
                    <w:textAlignment w:val="center"/>
                    <w:rPr>
                      <w:rFonts w:hint="eastAsia" w:eastAsia="宋体"/>
                      <w:color w:val="000000"/>
                      <w:kern w:val="0"/>
                      <w:szCs w:val="21"/>
                      <w:lang w:eastAsia="zh-CN" w:bidi="ar"/>
                    </w:rPr>
                  </w:pPr>
                  <w:r>
                    <w:rPr>
                      <w:rFonts w:hint="eastAsia"/>
                      <w:color w:val="000000"/>
                      <w:kern w:val="0"/>
                      <w:szCs w:val="21"/>
                      <w:lang w:eastAsia="zh-CN" w:bidi="ar"/>
                    </w:rPr>
                    <w:t>洗衣机</w:t>
                  </w:r>
                </w:p>
              </w:tc>
              <w:tc>
                <w:tcPr>
                  <w:tcW w:w="713" w:type="dxa"/>
                  <w:noWrap w:val="0"/>
                  <w:vAlign w:val="center"/>
                </w:tcPr>
                <w:p>
                  <w:pPr>
                    <w:widowControl/>
                    <w:jc w:val="center"/>
                    <w:textAlignment w:val="center"/>
                    <w:rPr>
                      <w:color w:val="000000"/>
                      <w:kern w:val="0"/>
                      <w:szCs w:val="21"/>
                      <w:lang w:bidi="ar"/>
                    </w:rPr>
                  </w:pPr>
                  <w:r>
                    <w:rPr>
                      <w:color w:val="000000"/>
                      <w:kern w:val="0"/>
                      <w:szCs w:val="21"/>
                      <w:lang w:bidi="ar"/>
                    </w:rPr>
                    <w:t>台</w:t>
                  </w:r>
                </w:p>
              </w:tc>
              <w:tc>
                <w:tcPr>
                  <w:tcW w:w="648" w:type="dxa"/>
                  <w:noWrap w:val="0"/>
                  <w:vAlign w:val="center"/>
                </w:tcPr>
                <w:p>
                  <w:pPr>
                    <w:widowControl/>
                    <w:jc w:val="center"/>
                    <w:textAlignment w:val="center"/>
                    <w:rPr>
                      <w:rFonts w:hint="eastAsia" w:eastAsia="宋体"/>
                      <w:color w:val="000000"/>
                      <w:kern w:val="0"/>
                      <w:szCs w:val="21"/>
                      <w:lang w:val="en-US" w:eastAsia="zh-CN" w:bidi="ar"/>
                    </w:rPr>
                  </w:pPr>
                  <w:r>
                    <w:rPr>
                      <w:rFonts w:hint="eastAsia"/>
                      <w:color w:val="000000"/>
                      <w:kern w:val="0"/>
                      <w:szCs w:val="21"/>
                      <w:lang w:val="en-US" w:eastAsia="zh-CN" w:bidi="ar"/>
                    </w:rPr>
                    <w:t>2</w:t>
                  </w:r>
                </w:p>
              </w:tc>
              <w:tc>
                <w:tcPr>
                  <w:tcW w:w="1783" w:type="dxa"/>
                  <w:noWrap w:val="0"/>
                  <w:vAlign w:val="center"/>
                </w:tcPr>
                <w:p>
                  <w:pPr>
                    <w:widowControl/>
                    <w:jc w:val="center"/>
                    <w:textAlignment w:val="center"/>
                    <w:rPr>
                      <w:kern w:val="2"/>
                      <w:sz w:val="21"/>
                      <w:szCs w:val="21"/>
                      <w:lang w:val="en-US" w:eastAsia="zh-CN" w:bidi="ar-SA"/>
                    </w:rPr>
                  </w:pPr>
                  <w:r>
                    <w:rPr>
                      <w:color w:val="000000"/>
                      <w:kern w:val="0"/>
                      <w:szCs w:val="21"/>
                      <w:lang w:bidi="ar"/>
                    </w:rPr>
                    <w:t>洗衣房</w:t>
                  </w:r>
                </w:p>
              </w:tc>
              <w:tc>
                <w:tcPr>
                  <w:tcW w:w="1878" w:type="dxa"/>
                  <w:noWrap w:val="0"/>
                  <w:vAlign w:val="center"/>
                </w:tcPr>
                <w:p>
                  <w:pPr>
                    <w:widowControl/>
                    <w:jc w:val="center"/>
                    <w:textAlignment w:val="center"/>
                    <w:rPr>
                      <w:kern w:val="2"/>
                      <w:sz w:val="21"/>
                      <w:szCs w:val="21"/>
                      <w:lang w:val="en-US" w:eastAsia="zh-CN" w:bidi="ar-SA"/>
                    </w:rPr>
                  </w:pPr>
                  <w:r>
                    <w:rPr>
                      <w:color w:val="000000"/>
                      <w:kern w:val="0"/>
                      <w:szCs w:val="21"/>
                      <w:lang w:bidi="ar"/>
                    </w:rPr>
                    <w:t>已有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noWrap w:val="0"/>
                  <w:vAlign w:val="center"/>
                </w:tcPr>
                <w:p>
                  <w:pPr>
                    <w:widowControl/>
                    <w:jc w:val="center"/>
                    <w:textAlignment w:val="center"/>
                    <w:rPr>
                      <w:rFonts w:hint="default" w:eastAsia="宋体"/>
                      <w:szCs w:val="21"/>
                      <w:lang w:val="en-US" w:eastAsia="zh-CN"/>
                    </w:rPr>
                  </w:pPr>
                  <w:r>
                    <w:rPr>
                      <w:rFonts w:hint="eastAsia"/>
                      <w:szCs w:val="21"/>
                      <w:lang w:val="en-US" w:eastAsia="zh-CN"/>
                    </w:rPr>
                    <w:t>18</w:t>
                  </w:r>
                </w:p>
              </w:tc>
              <w:tc>
                <w:tcPr>
                  <w:tcW w:w="2229" w:type="dxa"/>
                  <w:noWrap w:val="0"/>
                  <w:vAlign w:val="center"/>
                </w:tcPr>
                <w:p>
                  <w:pPr>
                    <w:widowControl/>
                    <w:jc w:val="center"/>
                    <w:textAlignment w:val="center"/>
                    <w:rPr>
                      <w:szCs w:val="21"/>
                    </w:rPr>
                  </w:pPr>
                  <w:r>
                    <w:rPr>
                      <w:color w:val="000000"/>
                      <w:kern w:val="0"/>
                      <w:szCs w:val="21"/>
                      <w:lang w:bidi="ar"/>
                    </w:rPr>
                    <w:t>冷风机</w:t>
                  </w:r>
                </w:p>
              </w:tc>
              <w:tc>
                <w:tcPr>
                  <w:tcW w:w="713" w:type="dxa"/>
                  <w:noWrap w:val="0"/>
                  <w:vAlign w:val="center"/>
                </w:tcPr>
                <w:p>
                  <w:pPr>
                    <w:widowControl/>
                    <w:jc w:val="center"/>
                    <w:textAlignment w:val="center"/>
                    <w:rPr>
                      <w:szCs w:val="21"/>
                    </w:rPr>
                  </w:pPr>
                  <w:r>
                    <w:rPr>
                      <w:color w:val="000000"/>
                      <w:kern w:val="0"/>
                      <w:szCs w:val="21"/>
                      <w:lang w:bidi="ar"/>
                    </w:rPr>
                    <w:t>台</w:t>
                  </w:r>
                </w:p>
              </w:tc>
              <w:tc>
                <w:tcPr>
                  <w:tcW w:w="648" w:type="dxa"/>
                  <w:noWrap w:val="0"/>
                  <w:vAlign w:val="center"/>
                </w:tcPr>
                <w:p>
                  <w:pPr>
                    <w:widowControl/>
                    <w:jc w:val="center"/>
                    <w:textAlignment w:val="center"/>
                    <w:rPr>
                      <w:szCs w:val="21"/>
                    </w:rPr>
                  </w:pPr>
                  <w:r>
                    <w:rPr>
                      <w:color w:val="000000"/>
                      <w:kern w:val="0"/>
                      <w:szCs w:val="21"/>
                      <w:lang w:bidi="ar"/>
                    </w:rPr>
                    <w:t>6</w:t>
                  </w:r>
                </w:p>
              </w:tc>
              <w:tc>
                <w:tcPr>
                  <w:tcW w:w="1783" w:type="dxa"/>
                  <w:noWrap w:val="0"/>
                  <w:vAlign w:val="center"/>
                </w:tcPr>
                <w:p>
                  <w:pPr>
                    <w:widowControl/>
                    <w:jc w:val="center"/>
                    <w:textAlignment w:val="center"/>
                    <w:rPr>
                      <w:szCs w:val="21"/>
                    </w:rPr>
                  </w:pPr>
                  <w:r>
                    <w:rPr>
                      <w:color w:val="000000"/>
                      <w:kern w:val="0"/>
                      <w:szCs w:val="21"/>
                      <w:lang w:bidi="ar"/>
                    </w:rPr>
                    <w:t>病区</w:t>
                  </w:r>
                </w:p>
              </w:tc>
              <w:tc>
                <w:tcPr>
                  <w:tcW w:w="1878" w:type="dxa"/>
                  <w:noWrap w:val="0"/>
                  <w:vAlign w:val="center"/>
                </w:tcPr>
                <w:p>
                  <w:pPr>
                    <w:widowControl/>
                    <w:jc w:val="center"/>
                    <w:textAlignment w:val="center"/>
                    <w:rPr>
                      <w:b/>
                      <w:bCs/>
                      <w:szCs w:val="21"/>
                    </w:rPr>
                  </w:pPr>
                  <w:r>
                    <w:rPr>
                      <w:color w:val="000000"/>
                      <w:kern w:val="0"/>
                      <w:szCs w:val="21"/>
                      <w:lang w:bidi="ar"/>
                    </w:rPr>
                    <w:t>已有，间歇使用</w:t>
                  </w:r>
                </w:p>
              </w:tc>
            </w:tr>
          </w:tbl>
          <w:p>
            <w:pPr>
              <w:autoSpaceDE w:val="0"/>
              <w:autoSpaceDN w:val="0"/>
              <w:adjustRightInd w:val="0"/>
              <w:spacing w:line="360" w:lineRule="auto"/>
              <w:ind w:firstLine="480" w:firstLineChars="200"/>
              <w:rPr>
                <w:rFonts w:hint="eastAsia" w:eastAsia="宋体"/>
                <w:b w:val="0"/>
                <w:bCs/>
                <w:kern w:val="0"/>
                <w:sz w:val="24"/>
                <w:lang w:eastAsia="zh-CN"/>
              </w:rPr>
            </w:pPr>
            <w:r>
              <w:rPr>
                <w:rFonts w:hint="eastAsia"/>
                <w:b w:val="0"/>
                <w:bCs/>
                <w:kern w:val="0"/>
                <w:sz w:val="24"/>
                <w:lang w:eastAsia="zh-CN"/>
              </w:rPr>
              <w:t>本项目扩建后只增加住院病床与住院病人数量，不新增门诊病人，院区已有设备满足本次扩建需求，不新增医疗设备。</w:t>
            </w:r>
          </w:p>
          <w:p>
            <w:pPr>
              <w:autoSpaceDE w:val="0"/>
              <w:autoSpaceDN w:val="0"/>
              <w:adjustRightInd w:val="0"/>
              <w:spacing w:line="360" w:lineRule="auto"/>
              <w:ind w:firstLine="482" w:firstLineChars="200"/>
              <w:rPr>
                <w:rFonts w:hint="eastAsia" w:hAnsi="宋体"/>
                <w:b/>
                <w:kern w:val="0"/>
                <w:sz w:val="24"/>
              </w:rPr>
            </w:pPr>
            <w:r>
              <w:rPr>
                <w:rFonts w:hint="eastAsia" w:hAnsi="宋体"/>
                <w:b/>
                <w:kern w:val="0"/>
                <w:sz w:val="24"/>
                <w:lang w:eastAsia="zh-CN"/>
              </w:rPr>
              <w:t>六</w:t>
            </w:r>
            <w:r>
              <w:rPr>
                <w:rFonts w:hAnsi="宋体"/>
                <w:b/>
                <w:kern w:val="0"/>
                <w:sz w:val="24"/>
              </w:rPr>
              <w:t>、</w:t>
            </w:r>
            <w:r>
              <w:rPr>
                <w:rFonts w:hint="eastAsia" w:hAnsi="宋体"/>
                <w:b/>
                <w:kern w:val="0"/>
                <w:sz w:val="24"/>
              </w:rPr>
              <w:t>主要原辅材料及能源消耗</w:t>
            </w:r>
          </w:p>
          <w:p>
            <w:pPr>
              <w:autoSpaceDE w:val="0"/>
              <w:autoSpaceDN w:val="0"/>
              <w:adjustRightInd w:val="0"/>
              <w:spacing w:line="360" w:lineRule="auto"/>
              <w:ind w:firstLine="480" w:firstLineChars="200"/>
              <w:rPr>
                <w:rFonts w:hint="eastAsia" w:hAnsi="宋体"/>
                <w:bCs/>
                <w:kern w:val="0"/>
                <w:sz w:val="24"/>
              </w:rPr>
            </w:pPr>
            <w:r>
              <w:rPr>
                <w:rFonts w:hint="eastAsia" w:hAnsi="宋体"/>
                <w:bCs/>
                <w:kern w:val="0"/>
                <w:sz w:val="24"/>
              </w:rPr>
              <w:t>项目营运期使用的原辅料为药品、棉纱、口罩、纸制品等，能源消耗主要为电、水、气。项目主要原辅材料及能耗情况见下表：</w:t>
            </w:r>
          </w:p>
          <w:p>
            <w:pPr>
              <w:spacing w:line="300" w:lineRule="exact"/>
              <w:jc w:val="center"/>
              <w:rPr>
                <w:rFonts w:hint="eastAsia"/>
                <w:b/>
                <w:szCs w:val="21"/>
              </w:rPr>
            </w:pPr>
            <w:r>
              <w:rPr>
                <w:b/>
                <w:szCs w:val="21"/>
              </w:rPr>
              <w:t>表2</w:t>
            </w:r>
            <w:r>
              <w:rPr>
                <w:rFonts w:hint="eastAsia"/>
                <w:b/>
                <w:szCs w:val="21"/>
              </w:rPr>
              <w:t>-</w:t>
            </w:r>
            <w:r>
              <w:rPr>
                <w:rFonts w:hint="eastAsia"/>
                <w:b/>
                <w:szCs w:val="21"/>
                <w:lang w:val="en-US" w:eastAsia="zh-CN"/>
              </w:rPr>
              <w:t>8</w:t>
            </w:r>
            <w:r>
              <w:rPr>
                <w:b/>
                <w:szCs w:val="21"/>
              </w:rPr>
              <w:t xml:space="preserve">  </w:t>
            </w:r>
            <w:r>
              <w:rPr>
                <w:rFonts w:hint="eastAsia"/>
                <w:b/>
                <w:szCs w:val="21"/>
              </w:rPr>
              <w:t>主要原辅材料及能耗情况表</w:t>
            </w:r>
          </w:p>
          <w:tbl>
            <w:tblPr>
              <w:tblStyle w:val="41"/>
              <w:tblW w:w="807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6"/>
              <w:gridCol w:w="1128"/>
              <w:gridCol w:w="713"/>
              <w:gridCol w:w="1006"/>
              <w:gridCol w:w="1100"/>
              <w:gridCol w:w="1167"/>
              <w:gridCol w:w="1633"/>
              <w:gridCol w:w="88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446" w:type="dxa"/>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类别</w:t>
                  </w:r>
                </w:p>
              </w:tc>
              <w:tc>
                <w:tcPr>
                  <w:tcW w:w="1128" w:type="dxa"/>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名称</w:t>
                  </w:r>
                </w:p>
              </w:tc>
              <w:tc>
                <w:tcPr>
                  <w:tcW w:w="713" w:type="dxa"/>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单位</w:t>
                  </w:r>
                </w:p>
              </w:tc>
              <w:tc>
                <w:tcPr>
                  <w:tcW w:w="1006" w:type="dxa"/>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数量</w:t>
                  </w:r>
                </w:p>
              </w:tc>
              <w:tc>
                <w:tcPr>
                  <w:tcW w:w="1100" w:type="dxa"/>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来源</w:t>
                  </w:r>
                </w:p>
              </w:tc>
              <w:tc>
                <w:tcPr>
                  <w:tcW w:w="1167" w:type="dxa"/>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主要成份</w:t>
                  </w:r>
                </w:p>
              </w:tc>
              <w:tc>
                <w:tcPr>
                  <w:tcW w:w="1633" w:type="dxa"/>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储存方式</w:t>
                  </w:r>
                </w:p>
              </w:tc>
              <w:tc>
                <w:tcPr>
                  <w:tcW w:w="884" w:type="dxa"/>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46" w:type="dxa"/>
                  <w:vMerge w:val="restart"/>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
                    <w:t>原料</w:t>
                  </w:r>
                </w:p>
              </w:tc>
              <w:tc>
                <w:tcPr>
                  <w:tcW w:w="1128" w:type="dxa"/>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口罩</w:t>
                  </w:r>
                </w:p>
              </w:tc>
              <w:tc>
                <w:tcPr>
                  <w:tcW w:w="713" w:type="dxa"/>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
                    <w:t>个/a</w:t>
                  </w:r>
                </w:p>
              </w:tc>
              <w:tc>
                <w:tcPr>
                  <w:tcW w:w="1006" w:type="dxa"/>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
                    <w:t>2000</w:t>
                  </w:r>
                </w:p>
              </w:tc>
              <w:tc>
                <w:tcPr>
                  <w:tcW w:w="1100" w:type="dxa"/>
                  <w:vMerge w:val="restart"/>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
                    <w:t>外购</w:t>
                  </w:r>
                </w:p>
              </w:tc>
              <w:tc>
                <w:tcPr>
                  <w:tcW w:w="1167" w:type="dxa"/>
                  <w:vMerge w:val="restart"/>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w:t>
                  </w:r>
                </w:p>
              </w:tc>
              <w:tc>
                <w:tcPr>
                  <w:tcW w:w="1633" w:type="dxa"/>
                  <w:vMerge w:val="restart"/>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储存于库房，通风、干燥</w:t>
                  </w:r>
                </w:p>
              </w:tc>
              <w:tc>
                <w:tcPr>
                  <w:tcW w:w="884" w:type="dxa"/>
                  <w:vMerge w:val="restart"/>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46" w:type="dxa"/>
                  <w:vMerge w:val="continue"/>
                  <w:noWrap w:val="0"/>
                  <w:vAlign w:val="center"/>
                </w:tcPr>
                <w:p>
                  <w:pPr>
                    <w:jc w:val="center"/>
                    <w:rPr>
                      <w:rFonts w:hint="default"/>
                      <w:szCs w:val="21"/>
                    </w:rPr>
                  </w:pPr>
                </w:p>
              </w:tc>
              <w:tc>
                <w:tcPr>
                  <w:tcW w:w="1128" w:type="dxa"/>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纱布</w:t>
                  </w:r>
                </w:p>
              </w:tc>
              <w:tc>
                <w:tcPr>
                  <w:tcW w:w="713" w:type="dxa"/>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
                    <w:t>盒/a</w:t>
                  </w:r>
                </w:p>
              </w:tc>
              <w:tc>
                <w:tcPr>
                  <w:tcW w:w="1006" w:type="dxa"/>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
                    <w:t>10</w:t>
                  </w:r>
                </w:p>
              </w:tc>
              <w:tc>
                <w:tcPr>
                  <w:tcW w:w="1100" w:type="dxa"/>
                  <w:vMerge w:val="continue"/>
                  <w:noWrap w:val="0"/>
                  <w:vAlign w:val="center"/>
                </w:tcPr>
                <w:p>
                  <w:pPr>
                    <w:jc w:val="center"/>
                    <w:rPr>
                      <w:rFonts w:hint="default"/>
                      <w:szCs w:val="21"/>
                      <w:rPrChange w:id="0" w:author="过客" w:date="2023-04-16T21:21:00Z">
                        <w:rPr>
                          <w:rFonts w:hint="eastAsia"/>
                          <w:szCs w:val="21"/>
                        </w:rPr>
                      </w:rPrChange>
                    </w:rPr>
                  </w:pPr>
                </w:p>
              </w:tc>
              <w:tc>
                <w:tcPr>
                  <w:tcW w:w="1167" w:type="dxa"/>
                  <w:vMerge w:val="continue"/>
                  <w:noWrap w:val="0"/>
                  <w:vAlign w:val="center"/>
                </w:tcPr>
                <w:p>
                  <w:pPr>
                    <w:jc w:val="center"/>
                    <w:rPr>
                      <w:rFonts w:hint="default"/>
                      <w:szCs w:val="21"/>
                      <w:rPrChange w:id="1" w:author="过客" w:date="2023-04-16T21:21:00Z">
                        <w:rPr>
                          <w:rFonts w:hint="eastAsia"/>
                          <w:szCs w:val="21"/>
                        </w:rPr>
                      </w:rPrChange>
                    </w:rPr>
                  </w:pPr>
                </w:p>
              </w:tc>
              <w:tc>
                <w:tcPr>
                  <w:tcW w:w="1633" w:type="dxa"/>
                  <w:vMerge w:val="continue"/>
                  <w:noWrap w:val="0"/>
                  <w:vAlign w:val="center"/>
                </w:tcPr>
                <w:p>
                  <w:pPr>
                    <w:jc w:val="center"/>
                    <w:rPr>
                      <w:rFonts w:hint="default"/>
                      <w:szCs w:val="21"/>
                      <w:rPrChange w:id="2" w:author="过客" w:date="2023-04-16T21:21:00Z">
                        <w:rPr>
                          <w:rFonts w:hint="eastAsia"/>
                          <w:szCs w:val="21"/>
                        </w:rPr>
                      </w:rPrChange>
                    </w:rPr>
                  </w:pPr>
                </w:p>
              </w:tc>
              <w:tc>
                <w:tcPr>
                  <w:tcW w:w="884" w:type="dxa"/>
                  <w:vMerge w:val="continue"/>
                  <w:noWrap w:val="0"/>
                  <w:vAlign w:val="center"/>
                </w:tcPr>
                <w:p>
                  <w:pPr>
                    <w:jc w:val="center"/>
                    <w:rPr>
                      <w:rFonts w:hint="default"/>
                      <w:szCs w:val="21"/>
                      <w:rPrChange w:id="3" w:author="过客" w:date="2023-04-16T21:21:00Z">
                        <w:rPr>
                          <w:rFonts w:hint="eastAsia"/>
                          <w:szCs w:val="21"/>
                        </w:rPr>
                      </w:rPrChang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46" w:type="dxa"/>
                  <w:vMerge w:val="continue"/>
                  <w:noWrap w:val="0"/>
                  <w:vAlign w:val="center"/>
                </w:tcPr>
                <w:p>
                  <w:pPr>
                    <w:jc w:val="center"/>
                    <w:rPr>
                      <w:rFonts w:hint="default"/>
                      <w:szCs w:val="21"/>
                      <w:rPrChange w:id="4" w:author="过客" w:date="2023-04-16T21:21:00Z">
                        <w:rPr>
                          <w:rFonts w:hint="eastAsia"/>
                          <w:szCs w:val="21"/>
                        </w:rPr>
                      </w:rPrChange>
                    </w:rPr>
                  </w:pPr>
                </w:p>
              </w:tc>
              <w:tc>
                <w:tcPr>
                  <w:tcW w:w="1128" w:type="dxa"/>
                  <w:noWrap w:val="0"/>
                  <w:vAlign w:val="center"/>
                </w:tcPr>
                <w:p>
                  <w:pPr>
                    <w:widowControl/>
                    <w:jc w:val="center"/>
                    <w:textAlignment w:val="center"/>
                    <w:rPr>
                      <w:rFonts w:hint="default"/>
                      <w:szCs w:val="21"/>
                      <w:rPrChange w:id="5" w:author="过客" w:date="2023-04-16T21:21:00Z">
                        <w:rPr>
                          <w:rFonts w:hint="eastAsia"/>
                          <w:szCs w:val="21"/>
                        </w:rPr>
                      </w:rPrChange>
                    </w:rPr>
                  </w:pPr>
                  <w:r>
                    <w:rPr>
                      <w:rFonts w:hint="default" w:ascii="Times New Roman" w:hAnsi="Times New Roman" w:cs="Times New Roman"/>
                      <w:color w:val="000000"/>
                      <w:kern w:val="0"/>
                      <w:szCs w:val="21"/>
                      <w:lang w:bidi="ar"/>
                      <w:rPrChange w:id="6" w:author="过客" w:date="2023-04-16T21:21:00Z">
                        <w:rPr>
                          <w:rFonts w:hint="eastAsia" w:ascii="宋体" w:hAnsi="宋体" w:cs="宋体"/>
                          <w:color w:val="000000"/>
                          <w:kern w:val="0"/>
                          <w:szCs w:val="21"/>
                          <w:lang w:bidi="ar"/>
                        </w:rPr>
                      </w:rPrChange>
                    </w:rPr>
                    <w:t>塑胶手套</w:t>
                  </w:r>
                </w:p>
              </w:tc>
              <w:tc>
                <w:tcPr>
                  <w:tcW w:w="713" w:type="dxa"/>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Change w:id="7" w:author="过客" w:date="2023-04-16T21:21:00Z">
                        <w:rPr>
                          <w:rFonts w:hint="eastAsia" w:ascii="宋体" w:hAnsi="宋体" w:cs="宋体"/>
                          <w:color w:val="000000"/>
                          <w:kern w:val="0"/>
                          <w:szCs w:val="21"/>
                          <w:lang w:bidi="ar"/>
                        </w:rPr>
                      </w:rPrChange>
                    </w:rPr>
                    <w:t>个/a</w:t>
                  </w:r>
                </w:p>
              </w:tc>
              <w:tc>
                <w:tcPr>
                  <w:tcW w:w="1006" w:type="dxa"/>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
                    <w:t>1000</w:t>
                  </w:r>
                </w:p>
              </w:tc>
              <w:tc>
                <w:tcPr>
                  <w:tcW w:w="1100" w:type="dxa"/>
                  <w:vMerge w:val="continue"/>
                  <w:noWrap w:val="0"/>
                  <w:vAlign w:val="center"/>
                </w:tcPr>
                <w:p>
                  <w:pPr>
                    <w:jc w:val="center"/>
                    <w:rPr>
                      <w:rFonts w:hint="default"/>
                      <w:szCs w:val="21"/>
                      <w:rPrChange w:id="8" w:author="过客" w:date="2023-04-16T21:21:00Z">
                        <w:rPr>
                          <w:rFonts w:hint="eastAsia"/>
                          <w:szCs w:val="21"/>
                        </w:rPr>
                      </w:rPrChange>
                    </w:rPr>
                  </w:pPr>
                </w:p>
              </w:tc>
              <w:tc>
                <w:tcPr>
                  <w:tcW w:w="1167" w:type="dxa"/>
                  <w:vMerge w:val="continue"/>
                  <w:noWrap w:val="0"/>
                  <w:vAlign w:val="center"/>
                </w:tcPr>
                <w:p>
                  <w:pPr>
                    <w:jc w:val="center"/>
                    <w:rPr>
                      <w:rFonts w:hint="default"/>
                      <w:szCs w:val="21"/>
                      <w:rPrChange w:id="9" w:author="过客" w:date="2023-04-16T21:21:00Z">
                        <w:rPr>
                          <w:rFonts w:hint="eastAsia"/>
                          <w:szCs w:val="21"/>
                        </w:rPr>
                      </w:rPrChange>
                    </w:rPr>
                  </w:pPr>
                </w:p>
              </w:tc>
              <w:tc>
                <w:tcPr>
                  <w:tcW w:w="1633" w:type="dxa"/>
                  <w:vMerge w:val="continue"/>
                  <w:noWrap w:val="0"/>
                  <w:vAlign w:val="center"/>
                </w:tcPr>
                <w:p>
                  <w:pPr>
                    <w:jc w:val="center"/>
                    <w:rPr>
                      <w:rFonts w:hint="default"/>
                      <w:szCs w:val="21"/>
                      <w:rPrChange w:id="10" w:author="过客" w:date="2023-04-16T21:21:00Z">
                        <w:rPr>
                          <w:rFonts w:hint="eastAsia"/>
                          <w:szCs w:val="21"/>
                        </w:rPr>
                      </w:rPrChange>
                    </w:rPr>
                  </w:pPr>
                </w:p>
              </w:tc>
              <w:tc>
                <w:tcPr>
                  <w:tcW w:w="884" w:type="dxa"/>
                  <w:vMerge w:val="continue"/>
                  <w:noWrap w:val="0"/>
                  <w:vAlign w:val="center"/>
                </w:tcPr>
                <w:p>
                  <w:pPr>
                    <w:jc w:val="center"/>
                    <w:rPr>
                      <w:rFonts w:hint="default"/>
                      <w:szCs w:val="21"/>
                      <w:rPrChange w:id="11" w:author="过客" w:date="2023-04-16T21:21:00Z">
                        <w:rPr>
                          <w:rFonts w:hint="eastAsia"/>
                          <w:szCs w:val="21"/>
                        </w:rPr>
                      </w:rPrChang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446" w:type="dxa"/>
                  <w:vMerge w:val="continue"/>
                  <w:noWrap w:val="0"/>
                  <w:vAlign w:val="center"/>
                </w:tcPr>
                <w:p>
                  <w:pPr>
                    <w:jc w:val="center"/>
                    <w:rPr>
                      <w:rFonts w:hint="default"/>
                      <w:szCs w:val="21"/>
                      <w:rPrChange w:id="12" w:author="过客" w:date="2023-04-16T21:21:00Z">
                        <w:rPr>
                          <w:rFonts w:hint="eastAsia"/>
                          <w:szCs w:val="21"/>
                        </w:rPr>
                      </w:rPrChange>
                    </w:rPr>
                  </w:pPr>
                </w:p>
              </w:tc>
              <w:tc>
                <w:tcPr>
                  <w:tcW w:w="1128" w:type="dxa"/>
                  <w:noWrap w:val="0"/>
                  <w:vAlign w:val="center"/>
                </w:tcPr>
                <w:p>
                  <w:pPr>
                    <w:widowControl/>
                    <w:jc w:val="center"/>
                    <w:textAlignment w:val="center"/>
                    <w:rPr>
                      <w:rFonts w:hint="default"/>
                      <w:szCs w:val="21"/>
                      <w:rPrChange w:id="13" w:author="过客" w:date="2023-04-16T21:21:00Z">
                        <w:rPr>
                          <w:rFonts w:hint="eastAsia"/>
                          <w:szCs w:val="21"/>
                        </w:rPr>
                      </w:rPrChange>
                    </w:rPr>
                  </w:pPr>
                  <w:r>
                    <w:rPr>
                      <w:rFonts w:hint="default" w:ascii="Times New Roman" w:hAnsi="Times New Roman" w:cs="Times New Roman"/>
                      <w:color w:val="000000"/>
                      <w:kern w:val="0"/>
                      <w:szCs w:val="21"/>
                      <w:lang w:bidi="ar"/>
                      <w:rPrChange w:id="14" w:author="过客" w:date="2023-04-16T21:21:00Z">
                        <w:rPr>
                          <w:rFonts w:hint="eastAsia" w:ascii="宋体" w:hAnsi="宋体" w:cs="宋体"/>
                          <w:color w:val="000000"/>
                          <w:kern w:val="0"/>
                          <w:szCs w:val="21"/>
                          <w:lang w:bidi="ar"/>
                        </w:rPr>
                      </w:rPrChange>
                    </w:rPr>
                    <w:t>药品</w:t>
                  </w:r>
                </w:p>
              </w:tc>
              <w:tc>
                <w:tcPr>
                  <w:tcW w:w="713" w:type="dxa"/>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Change w:id="15" w:author="过客" w:date="2023-04-16T21:21:00Z">
                        <w:rPr>
                          <w:rFonts w:hint="eastAsia" w:ascii="宋体" w:hAnsi="宋体" w:cs="宋体"/>
                          <w:color w:val="000000"/>
                          <w:kern w:val="0"/>
                          <w:szCs w:val="21"/>
                          <w:lang w:bidi="ar"/>
                        </w:rPr>
                      </w:rPrChange>
                    </w:rPr>
                    <w:t>/</w:t>
                  </w:r>
                </w:p>
              </w:tc>
              <w:tc>
                <w:tcPr>
                  <w:tcW w:w="1006" w:type="dxa"/>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
                    <w:t>/</w:t>
                  </w:r>
                </w:p>
              </w:tc>
              <w:tc>
                <w:tcPr>
                  <w:tcW w:w="1100" w:type="dxa"/>
                  <w:vMerge w:val="continue"/>
                  <w:noWrap w:val="0"/>
                  <w:vAlign w:val="center"/>
                </w:tcPr>
                <w:p>
                  <w:pPr>
                    <w:jc w:val="center"/>
                    <w:rPr>
                      <w:rFonts w:hint="default"/>
                      <w:szCs w:val="21"/>
                    </w:rPr>
                  </w:pPr>
                </w:p>
              </w:tc>
              <w:tc>
                <w:tcPr>
                  <w:tcW w:w="1167" w:type="dxa"/>
                  <w:tcBorders>
                    <w:bottom w:val="single" w:color="000000" w:sz="4" w:space="0"/>
                  </w:tcBorders>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乙醇、各类药品等</w:t>
                  </w:r>
                </w:p>
              </w:tc>
              <w:tc>
                <w:tcPr>
                  <w:tcW w:w="1633" w:type="dxa"/>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储存于药房，通风、干燥</w:t>
                  </w:r>
                </w:p>
              </w:tc>
              <w:tc>
                <w:tcPr>
                  <w:tcW w:w="884" w:type="dxa"/>
                  <w:vMerge w:val="continue"/>
                  <w:noWrap w:val="0"/>
                  <w:vAlign w:val="center"/>
                </w:tcPr>
                <w:p>
                  <w:pPr>
                    <w:jc w:val="center"/>
                    <w:rPr>
                      <w:rFonts w:hint="default"/>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46" w:type="dxa"/>
                  <w:vMerge w:val="continue"/>
                  <w:noWrap w:val="0"/>
                  <w:vAlign w:val="center"/>
                </w:tcPr>
                <w:p>
                  <w:pPr>
                    <w:jc w:val="center"/>
                    <w:rPr>
                      <w:rFonts w:hint="default"/>
                      <w:szCs w:val="21"/>
                      <w:rPrChange w:id="16" w:author="过客" w:date="2023-04-16T21:21:00Z">
                        <w:rPr>
                          <w:rFonts w:hint="eastAsia"/>
                          <w:szCs w:val="21"/>
                        </w:rPr>
                      </w:rPrChange>
                    </w:rPr>
                  </w:pPr>
                </w:p>
              </w:tc>
              <w:tc>
                <w:tcPr>
                  <w:tcW w:w="1128" w:type="dxa"/>
                  <w:tcBorders>
                    <w:bottom w:val="single" w:color="000000" w:sz="4" w:space="0"/>
                  </w:tcBorders>
                  <w:noWrap w:val="0"/>
                  <w:vAlign w:val="center"/>
                </w:tcPr>
                <w:p>
                  <w:pPr>
                    <w:widowControl/>
                    <w:jc w:val="center"/>
                    <w:textAlignment w:val="center"/>
                    <w:rPr>
                      <w:rFonts w:hint="default"/>
                      <w:szCs w:val="21"/>
                      <w:rPrChange w:id="17" w:author="过客" w:date="2023-04-16T21:21:00Z">
                        <w:rPr>
                          <w:rFonts w:hint="eastAsia"/>
                          <w:szCs w:val="21"/>
                        </w:rPr>
                      </w:rPrChange>
                    </w:rPr>
                  </w:pPr>
                  <w:r>
                    <w:rPr>
                      <w:rFonts w:hint="default" w:ascii="Times New Roman" w:hAnsi="Times New Roman" w:cs="Times New Roman"/>
                      <w:color w:val="000000"/>
                      <w:kern w:val="0"/>
                      <w:szCs w:val="21"/>
                      <w:lang w:bidi="ar"/>
                      <w:rPrChange w:id="18" w:author="过客" w:date="2023-04-16T21:21:00Z">
                        <w:rPr>
                          <w:rFonts w:hint="eastAsia" w:ascii="宋体" w:hAnsi="宋体" w:cs="宋体"/>
                          <w:color w:val="000000"/>
                          <w:kern w:val="0"/>
                          <w:szCs w:val="21"/>
                          <w:lang w:bidi="ar"/>
                        </w:rPr>
                      </w:rPrChange>
                    </w:rPr>
                    <w:t>纸制品</w:t>
                  </w:r>
                </w:p>
              </w:tc>
              <w:tc>
                <w:tcPr>
                  <w:tcW w:w="713" w:type="dxa"/>
                  <w:tcBorders>
                    <w:bottom w:val="single" w:color="000000" w:sz="4" w:space="0"/>
                  </w:tcBorders>
                  <w:noWrap w:val="0"/>
                  <w:vAlign w:val="center"/>
                </w:tcPr>
                <w:p>
                  <w:pPr>
                    <w:widowControl/>
                    <w:jc w:val="center"/>
                    <w:textAlignment w:val="center"/>
                    <w:rPr>
                      <w:rFonts w:hint="default"/>
                      <w:szCs w:val="21"/>
                      <w:rPrChange w:id="19" w:author="过客" w:date="2023-04-16T21:21:00Z">
                        <w:rPr>
                          <w:rFonts w:hint="eastAsia"/>
                          <w:szCs w:val="21"/>
                        </w:rPr>
                      </w:rPrChange>
                    </w:rPr>
                  </w:pPr>
                  <w:r>
                    <w:rPr>
                      <w:rFonts w:hint="default" w:ascii="Times New Roman" w:hAnsi="Times New Roman" w:cs="Times New Roman"/>
                      <w:color w:val="000000"/>
                      <w:kern w:val="0"/>
                      <w:szCs w:val="21"/>
                      <w:lang w:bidi="ar"/>
                      <w:rPrChange w:id="20" w:author="过客" w:date="2023-04-16T21:21:00Z">
                        <w:rPr>
                          <w:rFonts w:hint="eastAsia" w:ascii="宋体" w:hAnsi="宋体" w:cs="宋体"/>
                          <w:color w:val="000000"/>
                          <w:kern w:val="0"/>
                          <w:szCs w:val="21"/>
                          <w:lang w:bidi="ar"/>
                        </w:rPr>
                      </w:rPrChange>
                    </w:rPr>
                    <w:t>Kg/a</w:t>
                  </w:r>
                </w:p>
              </w:tc>
              <w:tc>
                <w:tcPr>
                  <w:tcW w:w="1006" w:type="dxa"/>
                  <w:tcBorders>
                    <w:bottom w:val="single" w:color="000000" w:sz="4" w:space="0"/>
                  </w:tcBorders>
                  <w:noWrap w:val="0"/>
                  <w:vAlign w:val="center"/>
                </w:tcPr>
                <w:p>
                  <w:pPr>
                    <w:widowControl/>
                    <w:jc w:val="center"/>
                    <w:textAlignment w:val="center"/>
                    <w:rPr>
                      <w:rFonts w:hint="default"/>
                      <w:szCs w:val="21"/>
                      <w:rPrChange w:id="21" w:author="过客" w:date="2023-04-16T21:21:00Z">
                        <w:rPr>
                          <w:rFonts w:hint="eastAsia"/>
                          <w:szCs w:val="21"/>
                        </w:rPr>
                      </w:rPrChange>
                    </w:rPr>
                  </w:pPr>
                  <w:r>
                    <w:rPr>
                      <w:rFonts w:hint="default" w:ascii="Times New Roman" w:hAnsi="Times New Roman" w:cs="Times New Roman"/>
                      <w:color w:val="000000"/>
                      <w:kern w:val="0"/>
                      <w:szCs w:val="21"/>
                      <w:lang w:bidi="ar"/>
                      <w:rPrChange w:id="22" w:author="过客" w:date="2023-04-16T21:21:00Z">
                        <w:rPr>
                          <w:rFonts w:hint="eastAsia" w:ascii="宋体" w:hAnsi="宋体" w:cs="宋体"/>
                          <w:color w:val="000000"/>
                          <w:kern w:val="0"/>
                          <w:szCs w:val="21"/>
                          <w:lang w:bidi="ar"/>
                        </w:rPr>
                      </w:rPrChange>
                    </w:rPr>
                    <w:t>800</w:t>
                  </w:r>
                </w:p>
              </w:tc>
              <w:tc>
                <w:tcPr>
                  <w:tcW w:w="1100" w:type="dxa"/>
                  <w:vMerge w:val="continue"/>
                  <w:noWrap w:val="0"/>
                  <w:vAlign w:val="center"/>
                </w:tcPr>
                <w:p>
                  <w:pPr>
                    <w:jc w:val="center"/>
                    <w:rPr>
                      <w:rFonts w:hint="default"/>
                      <w:szCs w:val="21"/>
                      <w:rPrChange w:id="23" w:author="过客" w:date="2023-04-16T21:21:00Z">
                        <w:rPr>
                          <w:rFonts w:hint="eastAsia"/>
                          <w:szCs w:val="21"/>
                        </w:rPr>
                      </w:rPrChange>
                    </w:rPr>
                  </w:pPr>
                </w:p>
              </w:tc>
              <w:tc>
                <w:tcPr>
                  <w:tcW w:w="1167" w:type="dxa"/>
                  <w:tcBorders>
                    <w:top w:val="single" w:color="000000" w:sz="4" w:space="0"/>
                    <w:bottom w:val="single" w:color="000000" w:sz="4" w:space="0"/>
                  </w:tcBorders>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Change w:id="24" w:author="过客" w:date="2023-04-16T21:21:00Z">
                        <w:rPr>
                          <w:rFonts w:hint="eastAsia" w:ascii="宋体" w:hAnsi="宋体" w:cs="宋体"/>
                          <w:color w:val="000000"/>
                          <w:kern w:val="0"/>
                          <w:szCs w:val="21"/>
                          <w:lang w:bidi="ar"/>
                        </w:rPr>
                      </w:rPrChange>
                    </w:rPr>
                    <w:t>/</w:t>
                  </w:r>
                </w:p>
              </w:tc>
              <w:tc>
                <w:tcPr>
                  <w:tcW w:w="1633" w:type="dxa"/>
                  <w:noWrap w:val="0"/>
                  <w:vAlign w:val="center"/>
                </w:tcPr>
                <w:p>
                  <w:pPr>
                    <w:jc w:val="center"/>
                    <w:rPr>
                      <w:rFonts w:hint="default"/>
                      <w:szCs w:val="21"/>
                      <w:rPrChange w:id="25" w:author="过客" w:date="2023-04-16T21:21:00Z">
                        <w:rPr>
                          <w:rFonts w:hint="eastAsia"/>
                          <w:szCs w:val="21"/>
                        </w:rPr>
                      </w:rPrChange>
                    </w:rPr>
                  </w:pPr>
                </w:p>
              </w:tc>
              <w:tc>
                <w:tcPr>
                  <w:tcW w:w="884" w:type="dxa"/>
                  <w:vMerge w:val="continue"/>
                  <w:noWrap w:val="0"/>
                  <w:vAlign w:val="center"/>
                </w:tcPr>
                <w:p>
                  <w:pPr>
                    <w:jc w:val="center"/>
                    <w:rPr>
                      <w:rFonts w:hint="default"/>
                      <w:szCs w:val="21"/>
                      <w:rPrChange w:id="26" w:author="过客" w:date="2023-04-16T21:21:00Z">
                        <w:rPr>
                          <w:rFonts w:hint="eastAsia"/>
                          <w:szCs w:val="21"/>
                        </w:rPr>
                      </w:rPrChang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446" w:type="dxa"/>
                  <w:vMerge w:val="restart"/>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辅料</w:t>
                  </w:r>
                </w:p>
              </w:tc>
              <w:tc>
                <w:tcPr>
                  <w:tcW w:w="1128" w:type="dxa"/>
                  <w:tcBorders>
                    <w:top w:val="single" w:color="000000" w:sz="4" w:space="0"/>
                  </w:tcBorders>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医用氧气</w:t>
                  </w:r>
                </w:p>
              </w:tc>
              <w:tc>
                <w:tcPr>
                  <w:tcW w:w="713" w:type="dxa"/>
                  <w:tcBorders>
                    <w:top w:val="single" w:color="000000" w:sz="4" w:space="0"/>
                  </w:tcBorders>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
                    <w:t>瓶/a</w:t>
                  </w:r>
                </w:p>
              </w:tc>
              <w:tc>
                <w:tcPr>
                  <w:tcW w:w="1006" w:type="dxa"/>
                  <w:tcBorders>
                    <w:top w:val="single" w:color="000000" w:sz="4" w:space="0"/>
                  </w:tcBorders>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
                    <w:t>50</w:t>
                  </w:r>
                </w:p>
              </w:tc>
              <w:tc>
                <w:tcPr>
                  <w:tcW w:w="1100" w:type="dxa"/>
                  <w:vMerge w:val="restart"/>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外购</w:t>
                  </w:r>
                </w:p>
              </w:tc>
              <w:tc>
                <w:tcPr>
                  <w:tcW w:w="1167" w:type="dxa"/>
                  <w:tcBorders>
                    <w:top w:val="single" w:color="000000" w:sz="4" w:space="0"/>
                    <w:bottom w:val="single" w:color="000000" w:sz="4" w:space="0"/>
                  </w:tcBorders>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O</w:t>
                  </w:r>
                  <w:r>
                    <w:rPr>
                      <w:rFonts w:hint="default" w:ascii="Times New Roman" w:hAnsi="Times New Roman" w:cs="Times New Roman"/>
                      <w:color w:val="000000"/>
                      <w:kern w:val="0"/>
                      <w:szCs w:val="21"/>
                      <w:vertAlign w:val="subscript"/>
                      <w:lang w:bidi="ar"/>
                    </w:rPr>
                    <w:t>2</w:t>
                  </w:r>
                </w:p>
              </w:tc>
              <w:tc>
                <w:tcPr>
                  <w:tcW w:w="1633" w:type="dxa"/>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50L钢瓶、25L钢瓶，放于抢救室</w:t>
                  </w:r>
                </w:p>
              </w:tc>
              <w:tc>
                <w:tcPr>
                  <w:tcW w:w="884" w:type="dxa"/>
                  <w:vMerge w:val="restart"/>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46" w:type="dxa"/>
                  <w:vMerge w:val="continue"/>
                  <w:noWrap w:val="0"/>
                  <w:vAlign w:val="center"/>
                </w:tcPr>
                <w:p>
                  <w:pPr>
                    <w:jc w:val="center"/>
                    <w:rPr>
                      <w:rFonts w:hint="default"/>
                      <w:szCs w:val="21"/>
                    </w:rPr>
                  </w:pPr>
                </w:p>
              </w:tc>
              <w:tc>
                <w:tcPr>
                  <w:tcW w:w="1128" w:type="dxa"/>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
                    <w:t>二氧化氯</w:t>
                  </w:r>
                </w:p>
              </w:tc>
              <w:tc>
                <w:tcPr>
                  <w:tcW w:w="713" w:type="dxa"/>
                  <w:noWrap w:val="0"/>
                  <w:vAlign w:val="center"/>
                </w:tcPr>
                <w:p>
                  <w:pPr>
                    <w:widowControl/>
                    <w:jc w:val="center"/>
                    <w:textAlignment w:val="center"/>
                    <w:rPr>
                      <w:rFonts w:hint="eastAsia"/>
                      <w:szCs w:val="21"/>
                    </w:rPr>
                  </w:pPr>
                  <w:r>
                    <w:rPr>
                      <w:rFonts w:hint="default" w:ascii="Times New Roman" w:hAnsi="Times New Roman" w:cs="Times New Roman"/>
                      <w:color w:val="000000"/>
                      <w:kern w:val="0"/>
                      <w:szCs w:val="21"/>
                      <w:lang w:bidi="ar"/>
                    </w:rPr>
                    <w:t>袋/a</w:t>
                  </w:r>
                </w:p>
              </w:tc>
              <w:tc>
                <w:tcPr>
                  <w:tcW w:w="1006" w:type="dxa"/>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
                    <w:t>200</w:t>
                  </w:r>
                </w:p>
              </w:tc>
              <w:tc>
                <w:tcPr>
                  <w:tcW w:w="1100" w:type="dxa"/>
                  <w:vMerge w:val="continue"/>
                  <w:noWrap w:val="0"/>
                  <w:vAlign w:val="center"/>
                </w:tcPr>
                <w:p>
                  <w:pPr>
                    <w:jc w:val="center"/>
                    <w:rPr>
                      <w:rFonts w:hint="eastAsia"/>
                      <w:szCs w:val="21"/>
                    </w:rPr>
                  </w:pPr>
                </w:p>
              </w:tc>
              <w:tc>
                <w:tcPr>
                  <w:tcW w:w="1167" w:type="dxa"/>
                  <w:tcBorders>
                    <w:top w:val="single" w:color="000000" w:sz="4" w:space="0"/>
                  </w:tcBorders>
                  <w:noWrap w:val="0"/>
                  <w:vAlign w:val="center"/>
                </w:tcPr>
                <w:p>
                  <w:pPr>
                    <w:widowControl/>
                    <w:jc w:val="center"/>
                    <w:textAlignment w:val="center"/>
                    <w:rPr>
                      <w:rFonts w:hint="eastAsia"/>
                      <w:szCs w:val="21"/>
                    </w:rPr>
                  </w:pPr>
                  <w:r>
                    <w:rPr>
                      <w:rFonts w:hint="default" w:ascii="Times New Roman" w:hAnsi="Times New Roman" w:cs="Times New Roman"/>
                      <w:color w:val="000000"/>
                      <w:kern w:val="0"/>
                      <w:szCs w:val="21"/>
                      <w:lang w:bidi="ar"/>
                    </w:rPr>
                    <w:t>CH</w:t>
                  </w:r>
                  <w:r>
                    <w:rPr>
                      <w:rFonts w:hint="default" w:ascii="Times New Roman" w:hAnsi="Times New Roman" w:cs="Times New Roman"/>
                      <w:color w:val="000000"/>
                      <w:kern w:val="0"/>
                      <w:szCs w:val="21"/>
                      <w:vertAlign w:val="subscript"/>
                      <w:lang w:bidi="ar"/>
                    </w:rPr>
                    <w:t>2</w:t>
                  </w:r>
                  <w:r>
                    <w:rPr>
                      <w:rFonts w:hint="default" w:ascii="Times New Roman" w:hAnsi="Times New Roman" w:cs="Times New Roman"/>
                      <w:color w:val="000000"/>
                      <w:kern w:val="0"/>
                      <w:szCs w:val="21"/>
                      <w:lang w:bidi="ar"/>
                    </w:rPr>
                    <w:t>COOH</w:t>
                  </w:r>
                </w:p>
              </w:tc>
              <w:tc>
                <w:tcPr>
                  <w:tcW w:w="1633" w:type="dxa"/>
                  <w:noWrap w:val="0"/>
                  <w:vAlign w:val="center"/>
                </w:tcPr>
                <w:p>
                  <w:pPr>
                    <w:widowControl/>
                    <w:jc w:val="center"/>
                    <w:textAlignment w:val="center"/>
                    <w:rPr>
                      <w:rFonts w:hint="eastAsia"/>
                      <w:szCs w:val="21"/>
                    </w:rPr>
                  </w:pPr>
                  <w:r>
                    <w:rPr>
                      <w:rFonts w:hint="default" w:ascii="Times New Roman" w:hAnsi="Times New Roman" w:cs="Times New Roman"/>
                      <w:color w:val="000000"/>
                      <w:kern w:val="0"/>
                      <w:szCs w:val="21"/>
                      <w:lang w:bidi="ar"/>
                    </w:rPr>
                    <w:t>袋装</w:t>
                  </w:r>
                </w:p>
              </w:tc>
              <w:tc>
                <w:tcPr>
                  <w:tcW w:w="884" w:type="dxa"/>
                  <w:vMerge w:val="continue"/>
                  <w:noWrap w:val="0"/>
                  <w:vAlign w:val="center"/>
                </w:tcPr>
                <w:p>
                  <w:pPr>
                    <w:jc w:val="center"/>
                    <w:rPr>
                      <w:rFonts w:hint="default"/>
                      <w:szCs w:val="21"/>
                      <w:rPrChange w:id="27" w:author="过客" w:date="2023-04-16T21:21:00Z">
                        <w:rPr>
                          <w:rFonts w:hint="eastAsia"/>
                          <w:szCs w:val="21"/>
                        </w:rPr>
                      </w:rPrChang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dxa"/>
                  <w:vMerge w:val="continue"/>
                  <w:noWrap w:val="0"/>
                  <w:vAlign w:val="center"/>
                </w:tcPr>
                <w:p>
                  <w:pPr>
                    <w:jc w:val="center"/>
                    <w:rPr>
                      <w:rFonts w:hint="default"/>
                      <w:szCs w:val="21"/>
                      <w:rPrChange w:id="28" w:author="过客" w:date="2023-04-16T21:21:00Z">
                        <w:rPr>
                          <w:rFonts w:hint="eastAsia"/>
                          <w:szCs w:val="21"/>
                        </w:rPr>
                      </w:rPrChange>
                    </w:rPr>
                  </w:pPr>
                </w:p>
              </w:tc>
              <w:tc>
                <w:tcPr>
                  <w:tcW w:w="1128" w:type="dxa"/>
                  <w:tcBorders>
                    <w:bottom w:val="single" w:color="000000" w:sz="2" w:space="0"/>
                  </w:tcBorders>
                  <w:noWrap w:val="0"/>
                  <w:vAlign w:val="center"/>
                </w:tcPr>
                <w:p>
                  <w:pPr>
                    <w:widowControl/>
                    <w:jc w:val="center"/>
                    <w:textAlignment w:val="center"/>
                    <w:rPr>
                      <w:rFonts w:hint="eastAsia"/>
                      <w:szCs w:val="21"/>
                    </w:rPr>
                  </w:pPr>
                  <w:r>
                    <w:rPr>
                      <w:rFonts w:hint="default" w:ascii="Times New Roman" w:hAnsi="Times New Roman" w:cs="Times New Roman"/>
                      <w:color w:val="000000"/>
                      <w:kern w:val="0"/>
                      <w:szCs w:val="21"/>
                      <w:lang w:bidi="ar"/>
                      <w:rPrChange w:id="29" w:author="过客" w:date="2023-04-16T21:21:00Z">
                        <w:rPr>
                          <w:rFonts w:hint="eastAsia" w:ascii="宋体" w:hAnsi="宋体" w:cs="宋体"/>
                          <w:color w:val="000000"/>
                          <w:kern w:val="0"/>
                          <w:szCs w:val="21"/>
                          <w:lang w:bidi="ar"/>
                        </w:rPr>
                      </w:rPrChange>
                    </w:rPr>
                    <w:t>汽油</w:t>
                  </w:r>
                </w:p>
              </w:tc>
              <w:tc>
                <w:tcPr>
                  <w:tcW w:w="713" w:type="dxa"/>
                  <w:tcBorders>
                    <w:bottom w:val="single" w:color="000000" w:sz="2" w:space="0"/>
                  </w:tcBorders>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
                    <w:t>L/a</w:t>
                  </w:r>
                </w:p>
              </w:tc>
              <w:tc>
                <w:tcPr>
                  <w:tcW w:w="1006" w:type="dxa"/>
                  <w:tcBorders>
                    <w:bottom w:val="single" w:color="000000" w:sz="2" w:space="0"/>
                  </w:tcBorders>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
                    <w:t>200</w:t>
                  </w:r>
                </w:p>
              </w:tc>
              <w:tc>
                <w:tcPr>
                  <w:tcW w:w="1100" w:type="dxa"/>
                  <w:vMerge w:val="continue"/>
                  <w:noWrap w:val="0"/>
                  <w:vAlign w:val="center"/>
                </w:tcPr>
                <w:p>
                  <w:pPr>
                    <w:jc w:val="center"/>
                    <w:rPr>
                      <w:rFonts w:hint="eastAsia"/>
                      <w:szCs w:val="21"/>
                    </w:rPr>
                  </w:pPr>
                </w:p>
              </w:tc>
              <w:tc>
                <w:tcPr>
                  <w:tcW w:w="1167" w:type="dxa"/>
                  <w:tcBorders>
                    <w:bottom w:val="single" w:color="000000" w:sz="2" w:space="0"/>
                  </w:tcBorders>
                  <w:noWrap w:val="0"/>
                  <w:vAlign w:val="center"/>
                </w:tcPr>
                <w:p>
                  <w:pPr>
                    <w:widowControl/>
                    <w:jc w:val="center"/>
                    <w:textAlignment w:val="center"/>
                    <w:rPr>
                      <w:rFonts w:hint="eastAsia"/>
                      <w:szCs w:val="21"/>
                    </w:rPr>
                  </w:pPr>
                  <w:r>
                    <w:rPr>
                      <w:rFonts w:hint="default" w:ascii="Times New Roman" w:hAnsi="Times New Roman" w:cs="Times New Roman"/>
                      <w:color w:val="000000"/>
                      <w:kern w:val="0"/>
                      <w:szCs w:val="21"/>
                      <w:lang w:bidi="ar"/>
                    </w:rPr>
                    <w:t>矿物油</w:t>
                  </w:r>
                </w:p>
              </w:tc>
              <w:tc>
                <w:tcPr>
                  <w:tcW w:w="1633" w:type="dxa"/>
                  <w:tcBorders>
                    <w:bottom w:val="single" w:color="000000" w:sz="2" w:space="0"/>
                  </w:tcBorders>
                  <w:noWrap w:val="0"/>
                  <w:vAlign w:val="center"/>
                </w:tcPr>
                <w:p>
                  <w:pPr>
                    <w:widowControl/>
                    <w:jc w:val="center"/>
                    <w:textAlignment w:val="center"/>
                    <w:rPr>
                      <w:rFonts w:hint="eastAsia"/>
                      <w:szCs w:val="21"/>
                    </w:rPr>
                  </w:pPr>
                  <w:r>
                    <w:rPr>
                      <w:rFonts w:hint="default" w:ascii="Times New Roman" w:hAnsi="Times New Roman" w:cs="Times New Roman"/>
                      <w:color w:val="000000"/>
                      <w:kern w:val="0"/>
                      <w:szCs w:val="21"/>
                      <w:lang w:bidi="ar"/>
                    </w:rPr>
                    <w:t>桶装</w:t>
                  </w:r>
                </w:p>
              </w:tc>
              <w:tc>
                <w:tcPr>
                  <w:tcW w:w="884" w:type="dxa"/>
                  <w:tcBorders>
                    <w:bottom w:val="single" w:color="000000" w:sz="2" w:space="0"/>
                  </w:tcBorders>
                  <w:noWrap w:val="0"/>
                  <w:vAlign w:val="center"/>
                </w:tcPr>
                <w:p>
                  <w:pPr>
                    <w:jc w:val="center"/>
                    <w:rPr>
                      <w:rFonts w:hint="eastAsia"/>
                      <w:szCs w:val="21"/>
                    </w:rPr>
                  </w:pPr>
                  <w:r>
                    <w:rPr>
                      <w:rFonts w:hint="eastAsia"/>
                      <w:szCs w:val="21"/>
                      <w:lang w:eastAsia="zh-CN"/>
                    </w:rPr>
                    <w:t>发电机使用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46" w:type="dxa"/>
                  <w:vMerge w:val="restart"/>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能源</w:t>
                  </w:r>
                </w:p>
              </w:tc>
              <w:tc>
                <w:tcPr>
                  <w:tcW w:w="1128" w:type="dxa"/>
                  <w:tcBorders>
                    <w:top w:val="single" w:color="000000" w:sz="2" w:space="0"/>
                    <w:bottom w:val="single" w:color="000000" w:sz="4" w:space="0"/>
                  </w:tcBorders>
                  <w:noWrap w:val="0"/>
                  <w:vAlign w:val="center"/>
                </w:tcPr>
                <w:p>
                  <w:pPr>
                    <w:widowControl/>
                    <w:jc w:val="center"/>
                    <w:textAlignment w:val="center"/>
                    <w:rPr>
                      <w:rFonts w:hint="eastAsia"/>
                      <w:szCs w:val="21"/>
                    </w:rPr>
                  </w:pPr>
                  <w:r>
                    <w:rPr>
                      <w:rFonts w:hint="default" w:ascii="Times New Roman" w:hAnsi="Times New Roman" w:cs="Times New Roman"/>
                      <w:color w:val="000000"/>
                      <w:kern w:val="0"/>
                      <w:szCs w:val="21"/>
                      <w:lang w:bidi="ar"/>
                    </w:rPr>
                    <w:t>电</w:t>
                  </w:r>
                </w:p>
              </w:tc>
              <w:tc>
                <w:tcPr>
                  <w:tcW w:w="713" w:type="dxa"/>
                  <w:tcBorders>
                    <w:top w:val="single" w:color="000000" w:sz="2" w:space="0"/>
                    <w:bottom w:val="single" w:color="000000" w:sz="4" w:space="0"/>
                  </w:tcBorders>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
                    <w:t>度/a</w:t>
                  </w:r>
                </w:p>
              </w:tc>
              <w:tc>
                <w:tcPr>
                  <w:tcW w:w="1006" w:type="dxa"/>
                  <w:tcBorders>
                    <w:top w:val="single" w:color="000000" w:sz="2" w:space="0"/>
                    <w:bottom w:val="single" w:color="000000" w:sz="4" w:space="0"/>
                  </w:tcBorders>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
                    <w:t>48000</w:t>
                  </w:r>
                </w:p>
              </w:tc>
              <w:tc>
                <w:tcPr>
                  <w:tcW w:w="1100" w:type="dxa"/>
                  <w:noWrap w:val="0"/>
                  <w:vAlign w:val="center"/>
                </w:tcPr>
                <w:p>
                  <w:pPr>
                    <w:widowControl/>
                    <w:jc w:val="center"/>
                    <w:textAlignment w:val="center"/>
                    <w:rPr>
                      <w:rFonts w:hint="eastAsia"/>
                      <w:szCs w:val="21"/>
                    </w:rPr>
                  </w:pPr>
                  <w:r>
                    <w:rPr>
                      <w:rFonts w:hint="default" w:ascii="Times New Roman" w:hAnsi="Times New Roman" w:cs="Times New Roman"/>
                      <w:color w:val="000000"/>
                      <w:kern w:val="0"/>
                      <w:szCs w:val="21"/>
                      <w:lang w:bidi="ar"/>
                    </w:rPr>
                    <w:t>市政供电</w:t>
                  </w:r>
                </w:p>
              </w:tc>
              <w:tc>
                <w:tcPr>
                  <w:tcW w:w="1167" w:type="dxa"/>
                  <w:tcBorders>
                    <w:top w:val="single" w:color="000000" w:sz="2" w:space="0"/>
                    <w:bottom w:val="single" w:color="000000" w:sz="4" w:space="0"/>
                  </w:tcBorders>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
                    <w:t>/</w:t>
                  </w:r>
                </w:p>
              </w:tc>
              <w:tc>
                <w:tcPr>
                  <w:tcW w:w="1633" w:type="dxa"/>
                  <w:tcBorders>
                    <w:top w:val="single" w:color="000000" w:sz="2" w:space="0"/>
                    <w:bottom w:val="single" w:color="000000" w:sz="4" w:space="0"/>
                  </w:tcBorders>
                  <w:noWrap w:val="0"/>
                  <w:vAlign w:val="center"/>
                </w:tcPr>
                <w:p>
                  <w:pPr>
                    <w:widowControl/>
                    <w:jc w:val="center"/>
                    <w:textAlignment w:val="center"/>
                    <w:rPr>
                      <w:rFonts w:hint="eastAsia"/>
                      <w:szCs w:val="21"/>
                    </w:rPr>
                  </w:pPr>
                  <w:r>
                    <w:rPr>
                      <w:rFonts w:hint="default" w:ascii="Times New Roman" w:hAnsi="Times New Roman" w:cs="Times New Roman"/>
                      <w:color w:val="000000"/>
                      <w:kern w:val="0"/>
                      <w:szCs w:val="21"/>
                      <w:lang w:bidi="ar"/>
                    </w:rPr>
                    <w:t>/</w:t>
                  </w:r>
                </w:p>
              </w:tc>
              <w:tc>
                <w:tcPr>
                  <w:tcW w:w="884" w:type="dxa"/>
                  <w:vMerge w:val="restart"/>
                  <w:tcBorders>
                    <w:top w:val="single" w:color="000000" w:sz="2" w:space="0"/>
                    <w:bottom w:val="single" w:color="000000" w:sz="4" w:space="0"/>
                  </w:tcBorders>
                  <w:noWrap w:val="0"/>
                  <w:vAlign w:val="center"/>
                </w:tcPr>
                <w:p>
                  <w:pPr>
                    <w:widowControl/>
                    <w:jc w:val="center"/>
                    <w:textAlignment w:val="center"/>
                    <w:rPr>
                      <w:rFonts w:hint="default" w:ascii="Times New Roman" w:hAnsi="Times New Roman" w:cs="Times New Roman"/>
                      <w:kern w:val="0"/>
                      <w:szCs w:val="21"/>
                      <w:lang w:bidi="ar"/>
                    </w:rPr>
                  </w:pPr>
                  <w:r>
                    <w:rPr>
                      <w:rFonts w:hint="default" w:ascii="Times New Roman" w:hAnsi="Times New Roman" w:cs="Times New Roman"/>
                      <w:color w:val="000000"/>
                      <w:kern w:val="0"/>
                      <w:szCs w:val="21"/>
                      <w:lang w:bidi="ar"/>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46" w:type="dxa"/>
                  <w:vMerge w:val="continue"/>
                  <w:noWrap w:val="0"/>
                  <w:vAlign w:val="center"/>
                </w:tcPr>
                <w:p>
                  <w:pPr>
                    <w:jc w:val="center"/>
                    <w:rPr>
                      <w:rFonts w:hint="default"/>
                      <w:szCs w:val="21"/>
                    </w:rPr>
                  </w:pPr>
                </w:p>
              </w:tc>
              <w:tc>
                <w:tcPr>
                  <w:tcW w:w="1128" w:type="dxa"/>
                  <w:tcBorders>
                    <w:top w:val="single" w:color="000000" w:sz="4" w:space="0"/>
                  </w:tcBorders>
                  <w:noWrap w:val="0"/>
                  <w:vAlign w:val="center"/>
                </w:tcPr>
                <w:p>
                  <w:pPr>
                    <w:widowControl/>
                    <w:jc w:val="center"/>
                    <w:textAlignment w:val="center"/>
                    <w:rPr>
                      <w:rFonts w:hint="eastAsia"/>
                      <w:szCs w:val="21"/>
                    </w:rPr>
                  </w:pPr>
                  <w:r>
                    <w:rPr>
                      <w:rFonts w:hint="default" w:ascii="Times New Roman" w:hAnsi="Times New Roman" w:cs="Times New Roman"/>
                      <w:color w:val="000000"/>
                      <w:kern w:val="0"/>
                      <w:szCs w:val="21"/>
                      <w:lang w:bidi="ar"/>
                    </w:rPr>
                    <w:t>水</w:t>
                  </w:r>
                </w:p>
              </w:tc>
              <w:tc>
                <w:tcPr>
                  <w:tcW w:w="713" w:type="dxa"/>
                  <w:tcBorders>
                    <w:top w:val="single" w:color="000000" w:sz="4" w:space="0"/>
                  </w:tcBorders>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
                    <w:t>m³/a</w:t>
                  </w:r>
                </w:p>
              </w:tc>
              <w:tc>
                <w:tcPr>
                  <w:tcW w:w="1006" w:type="dxa"/>
                  <w:tcBorders>
                    <w:top w:val="single" w:color="000000" w:sz="4" w:space="0"/>
                  </w:tcBorders>
                  <w:noWrap w:val="0"/>
                  <w:vAlign w:val="center"/>
                </w:tcPr>
                <w:p>
                  <w:pPr>
                    <w:widowControl/>
                    <w:jc w:val="center"/>
                    <w:textAlignment w:val="center"/>
                    <w:rPr>
                      <w:rFonts w:hint="default" w:eastAsia="宋体"/>
                      <w:color w:val="000000"/>
                      <w:kern w:val="0"/>
                      <w:szCs w:val="21"/>
                      <w:lang w:val="en-US" w:eastAsia="zh-CN" w:bidi="ar"/>
                    </w:rPr>
                  </w:pPr>
                  <w:r>
                    <w:rPr>
                      <w:rFonts w:hint="eastAsia"/>
                      <w:color w:val="000000"/>
                      <w:kern w:val="0"/>
                      <w:szCs w:val="21"/>
                      <w:lang w:val="en-US" w:eastAsia="zh-CN" w:bidi="ar"/>
                    </w:rPr>
                    <w:t>22922.2</w:t>
                  </w:r>
                </w:p>
              </w:tc>
              <w:tc>
                <w:tcPr>
                  <w:tcW w:w="1100" w:type="dxa"/>
                  <w:noWrap w:val="0"/>
                  <w:vAlign w:val="center"/>
                </w:tcPr>
                <w:p>
                  <w:pPr>
                    <w:widowControl/>
                    <w:jc w:val="center"/>
                    <w:textAlignment w:val="center"/>
                    <w:rPr>
                      <w:rFonts w:hint="eastAsia"/>
                      <w:szCs w:val="21"/>
                    </w:rPr>
                  </w:pPr>
                  <w:r>
                    <w:rPr>
                      <w:rFonts w:hint="default" w:ascii="Times New Roman" w:hAnsi="Times New Roman" w:cs="Times New Roman"/>
                      <w:color w:val="000000"/>
                      <w:kern w:val="0"/>
                      <w:szCs w:val="21"/>
                      <w:lang w:bidi="ar"/>
                    </w:rPr>
                    <w:t>市政供水</w:t>
                  </w:r>
                </w:p>
              </w:tc>
              <w:tc>
                <w:tcPr>
                  <w:tcW w:w="1167" w:type="dxa"/>
                  <w:tcBorders>
                    <w:top w:val="single" w:color="000000" w:sz="4" w:space="0"/>
                  </w:tcBorders>
                  <w:noWrap w:val="0"/>
                  <w:vAlign w:val="center"/>
                </w:tcPr>
                <w:p>
                  <w:pPr>
                    <w:widowControl/>
                    <w:jc w:val="center"/>
                    <w:textAlignment w:val="center"/>
                    <w:rPr>
                      <w:rFonts w:hint="eastAsia"/>
                      <w:szCs w:val="21"/>
                    </w:rPr>
                  </w:pPr>
                  <w:r>
                    <w:rPr>
                      <w:rFonts w:hint="default" w:ascii="Times New Roman" w:hAnsi="Times New Roman" w:cs="Times New Roman"/>
                      <w:color w:val="000000"/>
                      <w:kern w:val="0"/>
                      <w:szCs w:val="21"/>
                      <w:lang w:bidi="ar"/>
                    </w:rPr>
                    <w:t>H</w:t>
                  </w:r>
                  <w:r>
                    <w:rPr>
                      <w:rFonts w:hint="default" w:ascii="Times New Roman" w:hAnsi="Times New Roman" w:cs="Times New Roman"/>
                      <w:color w:val="000000"/>
                      <w:kern w:val="0"/>
                      <w:szCs w:val="21"/>
                      <w:vertAlign w:val="subscript"/>
                      <w:lang w:bidi="ar"/>
                    </w:rPr>
                    <w:t>2</w:t>
                  </w:r>
                  <w:r>
                    <w:rPr>
                      <w:rFonts w:hint="default" w:ascii="Times New Roman" w:hAnsi="Times New Roman" w:cs="Times New Roman"/>
                      <w:color w:val="000000"/>
                      <w:kern w:val="0"/>
                      <w:szCs w:val="21"/>
                      <w:lang w:bidi="ar"/>
                    </w:rPr>
                    <w:t>O</w:t>
                  </w:r>
                </w:p>
              </w:tc>
              <w:tc>
                <w:tcPr>
                  <w:tcW w:w="1633" w:type="dxa"/>
                  <w:tcBorders>
                    <w:top w:val="single" w:color="000000" w:sz="4" w:space="0"/>
                  </w:tcBorders>
                  <w:noWrap w:val="0"/>
                  <w:vAlign w:val="center"/>
                </w:tcPr>
                <w:p>
                  <w:pPr>
                    <w:widowControl/>
                    <w:jc w:val="center"/>
                    <w:textAlignment w:val="center"/>
                    <w:rPr>
                      <w:rFonts w:hint="eastAsia"/>
                      <w:szCs w:val="21"/>
                    </w:rPr>
                  </w:pPr>
                  <w:r>
                    <w:rPr>
                      <w:rFonts w:hint="default" w:ascii="Times New Roman" w:hAnsi="Times New Roman" w:cs="Times New Roman"/>
                      <w:color w:val="000000"/>
                      <w:kern w:val="0"/>
                      <w:szCs w:val="21"/>
                      <w:lang w:bidi="ar"/>
                    </w:rPr>
                    <w:t>管道供水</w:t>
                  </w:r>
                </w:p>
              </w:tc>
              <w:tc>
                <w:tcPr>
                  <w:tcW w:w="884" w:type="dxa"/>
                  <w:vMerge w:val="continue"/>
                  <w:tcBorders>
                    <w:top w:val="single" w:color="000000" w:sz="4" w:space="0"/>
                  </w:tcBorders>
                  <w:noWrap w:val="0"/>
                  <w:vAlign w:val="center"/>
                </w:tcPr>
                <w:p>
                  <w:pPr>
                    <w:jc w:val="center"/>
                    <w:rPr>
                      <w:rFonts w:ascii="Times New Roman" w:hAnsi="Times New Roman" w:cs="Times New Roman"/>
                      <w:kern w:val="0"/>
                      <w:szCs w:val="21"/>
                      <w:lang w:bidi="ar"/>
                      <w:rPrChange w:id="30" w:author="过客" w:date="2023-04-16T21:21:00Z">
                        <w:rPr>
                          <w:rFonts w:ascii="宋体" w:hAnsi="宋体" w:cs="宋体"/>
                          <w:kern w:val="0"/>
                          <w:szCs w:val="21"/>
                          <w:lang w:bidi="ar"/>
                        </w:rPr>
                      </w:rPrChang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46" w:type="dxa"/>
                  <w:vMerge w:val="continue"/>
                  <w:noWrap w:val="0"/>
                  <w:vAlign w:val="center"/>
                </w:tcPr>
                <w:p>
                  <w:pPr>
                    <w:jc w:val="center"/>
                    <w:rPr>
                      <w:rFonts w:hint="default"/>
                      <w:szCs w:val="21"/>
                      <w:rPrChange w:id="31" w:author="过客" w:date="2023-04-16T21:21:00Z">
                        <w:rPr>
                          <w:rFonts w:hint="eastAsia"/>
                          <w:szCs w:val="21"/>
                        </w:rPr>
                      </w:rPrChange>
                    </w:rPr>
                  </w:pPr>
                </w:p>
              </w:tc>
              <w:tc>
                <w:tcPr>
                  <w:tcW w:w="1128" w:type="dxa"/>
                  <w:noWrap w:val="0"/>
                  <w:vAlign w:val="center"/>
                </w:tcPr>
                <w:p>
                  <w:pPr>
                    <w:widowControl/>
                    <w:jc w:val="center"/>
                    <w:textAlignment w:val="center"/>
                    <w:rPr>
                      <w:rFonts w:hint="default"/>
                      <w:szCs w:val="21"/>
                      <w:rPrChange w:id="32" w:author="过客" w:date="2023-04-16T21:21:00Z">
                        <w:rPr>
                          <w:rFonts w:hint="eastAsia"/>
                          <w:szCs w:val="21"/>
                        </w:rPr>
                      </w:rPrChange>
                    </w:rPr>
                  </w:pPr>
                  <w:r>
                    <w:rPr>
                      <w:rFonts w:hint="default" w:ascii="Times New Roman" w:hAnsi="Times New Roman" w:cs="Times New Roman"/>
                      <w:color w:val="000000"/>
                      <w:kern w:val="0"/>
                      <w:szCs w:val="21"/>
                      <w:lang w:bidi="ar"/>
                      <w:rPrChange w:id="33" w:author="过客" w:date="2023-04-16T21:21:00Z">
                        <w:rPr>
                          <w:rFonts w:hint="eastAsia" w:ascii="宋体" w:hAnsi="宋体" w:cs="宋体"/>
                          <w:color w:val="000000"/>
                          <w:kern w:val="0"/>
                          <w:szCs w:val="21"/>
                          <w:lang w:bidi="ar"/>
                        </w:rPr>
                      </w:rPrChange>
                    </w:rPr>
                    <w:t>天然气</w:t>
                  </w:r>
                </w:p>
              </w:tc>
              <w:tc>
                <w:tcPr>
                  <w:tcW w:w="713" w:type="dxa"/>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Change w:id="34" w:author="过客" w:date="2023-04-16T21:21:00Z">
                        <w:rPr>
                          <w:rFonts w:hint="eastAsia" w:ascii="宋体" w:hAnsi="宋体" w:cs="宋体"/>
                          <w:color w:val="000000"/>
                          <w:kern w:val="0"/>
                          <w:szCs w:val="21"/>
                          <w:lang w:bidi="ar"/>
                        </w:rPr>
                      </w:rPrChange>
                    </w:rPr>
                    <w:t>m³/a</w:t>
                  </w:r>
                </w:p>
              </w:tc>
              <w:tc>
                <w:tcPr>
                  <w:tcW w:w="1006" w:type="dxa"/>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
                    <w:t>24000</w:t>
                  </w:r>
                </w:p>
              </w:tc>
              <w:tc>
                <w:tcPr>
                  <w:tcW w:w="1100" w:type="dxa"/>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市政供气</w:t>
                  </w:r>
                </w:p>
              </w:tc>
              <w:tc>
                <w:tcPr>
                  <w:tcW w:w="1167" w:type="dxa"/>
                  <w:noWrap w:val="0"/>
                  <w:vAlign w:val="center"/>
                </w:tcPr>
                <w:p>
                  <w:pPr>
                    <w:widowControl/>
                    <w:jc w:val="center"/>
                    <w:textAlignment w:val="center"/>
                    <w:rPr>
                      <w:szCs w:val="21"/>
                    </w:rPr>
                  </w:pPr>
                  <w:r>
                    <w:rPr>
                      <w:rFonts w:hint="default" w:ascii="Times New Roman" w:hAnsi="Times New Roman" w:cs="Times New Roman"/>
                      <w:color w:val="000000"/>
                      <w:kern w:val="0"/>
                      <w:szCs w:val="21"/>
                      <w:lang w:bidi="ar"/>
                    </w:rPr>
                    <w:t>甲烷</w:t>
                  </w:r>
                </w:p>
              </w:tc>
              <w:tc>
                <w:tcPr>
                  <w:tcW w:w="1633" w:type="dxa"/>
                  <w:noWrap w:val="0"/>
                  <w:vAlign w:val="center"/>
                </w:tcPr>
                <w:p>
                  <w:pPr>
                    <w:widowControl/>
                    <w:jc w:val="center"/>
                    <w:textAlignment w:val="center"/>
                    <w:rPr>
                      <w:rFonts w:hint="default"/>
                      <w:szCs w:val="21"/>
                    </w:rPr>
                  </w:pPr>
                  <w:r>
                    <w:rPr>
                      <w:rFonts w:hint="default" w:ascii="Times New Roman" w:hAnsi="Times New Roman" w:cs="Times New Roman"/>
                      <w:color w:val="000000"/>
                      <w:kern w:val="0"/>
                      <w:szCs w:val="21"/>
                      <w:lang w:bidi="ar"/>
                    </w:rPr>
                    <w:t>管道供气</w:t>
                  </w:r>
                </w:p>
              </w:tc>
              <w:tc>
                <w:tcPr>
                  <w:tcW w:w="884" w:type="dxa"/>
                  <w:vMerge w:val="continue"/>
                  <w:noWrap w:val="0"/>
                  <w:vAlign w:val="center"/>
                </w:tcPr>
                <w:p>
                  <w:pPr>
                    <w:jc w:val="center"/>
                    <w:rPr>
                      <w:rFonts w:hint="default"/>
                      <w:szCs w:val="21"/>
                    </w:rPr>
                  </w:pPr>
                </w:p>
              </w:tc>
            </w:tr>
          </w:tbl>
          <w:p>
            <w:pPr>
              <w:adjustRightInd w:val="0"/>
              <w:snapToGrid w:val="0"/>
              <w:spacing w:line="360" w:lineRule="auto"/>
              <w:ind w:firstLine="480" w:firstLineChars="200"/>
              <w:rPr>
                <w:rFonts w:ascii="Times New Roman" w:hAnsi="Times New Roman" w:eastAsia="宋体"/>
                <w:color w:val="000000"/>
                <w:sz w:val="24"/>
              </w:rPr>
            </w:pPr>
            <w:r>
              <w:rPr>
                <w:rFonts w:hint="eastAsia" w:ascii="宋体" w:hAnsi="宋体" w:cs="宋体"/>
                <w:kern w:val="0"/>
                <w:sz w:val="24"/>
                <w:lang w:bidi="ar"/>
              </w:rPr>
              <w:t>项目主要原辅材料理化性质见下表：</w:t>
            </w:r>
          </w:p>
          <w:p>
            <w:pPr>
              <w:spacing w:line="240" w:lineRule="auto"/>
              <w:jc w:val="center"/>
              <w:rPr>
                <w:rFonts w:hint="eastAsia"/>
                <w:b/>
                <w:szCs w:val="21"/>
              </w:rPr>
            </w:pPr>
            <w:r>
              <w:rPr>
                <w:rFonts w:hint="eastAsia" w:ascii="宋体" w:hAnsi="宋体" w:cs="宋体"/>
                <w:b/>
                <w:kern w:val="0"/>
                <w:szCs w:val="21"/>
              </w:rPr>
              <w:t>表</w:t>
            </w:r>
            <w:r>
              <w:rPr>
                <w:rFonts w:hint="eastAsia"/>
                <w:b/>
                <w:szCs w:val="21"/>
              </w:rPr>
              <w:t>2</w:t>
            </w:r>
            <w:r>
              <w:rPr>
                <w:rFonts w:hint="eastAsia"/>
                <w:b/>
                <w:szCs w:val="21"/>
                <w:lang w:val="en-US" w:eastAsia="zh-CN"/>
              </w:rPr>
              <w:t>-9</w:t>
            </w:r>
            <w:r>
              <w:rPr>
                <w:rFonts w:hint="eastAsia"/>
                <w:b/>
                <w:szCs w:val="21"/>
              </w:rPr>
              <w:t xml:space="preserve">  汽油理化性质和危险特性表</w:t>
            </w:r>
          </w:p>
          <w:tbl>
            <w:tblPr>
              <w:tblStyle w:val="41"/>
              <w:tblW w:w="798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95"/>
              <w:gridCol w:w="1995"/>
              <w:gridCol w:w="1995"/>
              <w:gridCol w:w="199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81" w:type="dxa"/>
                  <w:gridSpan w:val="4"/>
                  <w:shd w:val="clear" w:color="auto" w:fill="D7D7D7"/>
                  <w:noWrap w:val="0"/>
                  <w:vAlign w:val="center"/>
                </w:tcPr>
                <w:p>
                  <w:pPr>
                    <w:jc w:val="center"/>
                    <w:rPr>
                      <w:rFonts w:hint="eastAsia"/>
                      <w:szCs w:val="21"/>
                    </w:rPr>
                  </w:pPr>
                  <w:r>
                    <w:rPr>
                      <w:rFonts w:hint="eastAsia"/>
                      <w:szCs w:val="21"/>
                    </w:rPr>
                    <w:t>第一部分 化学品名称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5" w:type="dxa"/>
                  <w:noWrap w:val="0"/>
                  <w:vAlign w:val="center"/>
                </w:tcPr>
                <w:p>
                  <w:pPr>
                    <w:jc w:val="center"/>
                    <w:rPr>
                      <w:rFonts w:hint="eastAsia"/>
                      <w:szCs w:val="21"/>
                    </w:rPr>
                  </w:pPr>
                  <w:r>
                    <w:rPr>
                      <w:rFonts w:hint="eastAsia"/>
                      <w:szCs w:val="21"/>
                    </w:rPr>
                    <w:t>化学品中文名称</w:t>
                  </w:r>
                </w:p>
              </w:tc>
              <w:tc>
                <w:tcPr>
                  <w:tcW w:w="1995" w:type="dxa"/>
                  <w:noWrap w:val="0"/>
                  <w:vAlign w:val="center"/>
                </w:tcPr>
                <w:p>
                  <w:pPr>
                    <w:jc w:val="center"/>
                    <w:rPr>
                      <w:rFonts w:hint="eastAsia"/>
                      <w:szCs w:val="21"/>
                    </w:rPr>
                  </w:pPr>
                  <w:r>
                    <w:rPr>
                      <w:rFonts w:hint="eastAsia"/>
                      <w:szCs w:val="21"/>
                    </w:rPr>
                    <w:t>汽油</w:t>
                  </w:r>
                </w:p>
              </w:tc>
              <w:tc>
                <w:tcPr>
                  <w:tcW w:w="1995" w:type="dxa"/>
                  <w:noWrap w:val="0"/>
                  <w:vAlign w:val="center"/>
                </w:tcPr>
                <w:p>
                  <w:pPr>
                    <w:jc w:val="center"/>
                    <w:rPr>
                      <w:rFonts w:hint="eastAsia"/>
                      <w:szCs w:val="21"/>
                    </w:rPr>
                  </w:pPr>
                  <w:r>
                    <w:rPr>
                      <w:rFonts w:hint="eastAsia"/>
                      <w:szCs w:val="21"/>
                    </w:rPr>
                    <w:t>化学品英文名称</w:t>
                  </w:r>
                </w:p>
              </w:tc>
              <w:tc>
                <w:tcPr>
                  <w:tcW w:w="1996" w:type="dxa"/>
                  <w:noWrap w:val="0"/>
                  <w:vAlign w:val="center"/>
                </w:tcPr>
                <w:p>
                  <w:pPr>
                    <w:jc w:val="center"/>
                    <w:rPr>
                      <w:rFonts w:hint="eastAsia"/>
                      <w:szCs w:val="21"/>
                    </w:rPr>
                  </w:pPr>
                  <w:r>
                    <w:rPr>
                      <w:rFonts w:hint="eastAsia"/>
                      <w:szCs w:val="21"/>
                    </w:rPr>
                    <w:t>Gasoline</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81" w:type="dxa"/>
                  <w:gridSpan w:val="4"/>
                  <w:shd w:val="clear" w:color="auto" w:fill="D7D7D7"/>
                  <w:noWrap w:val="0"/>
                  <w:vAlign w:val="center"/>
                </w:tcPr>
                <w:p>
                  <w:pPr>
                    <w:jc w:val="center"/>
                    <w:rPr>
                      <w:rFonts w:hint="eastAsia"/>
                      <w:szCs w:val="21"/>
                    </w:rPr>
                  </w:pPr>
                  <w:r>
                    <w:rPr>
                      <w:rFonts w:hint="eastAsia"/>
                      <w:szCs w:val="21"/>
                    </w:rPr>
                    <w:t>第二部分 危险性概述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5" w:type="dxa"/>
                  <w:noWrap w:val="0"/>
                  <w:vAlign w:val="center"/>
                </w:tcPr>
                <w:p>
                  <w:pPr>
                    <w:jc w:val="center"/>
                    <w:rPr>
                      <w:rFonts w:hint="eastAsia"/>
                      <w:szCs w:val="21"/>
                    </w:rPr>
                  </w:pPr>
                  <w:r>
                    <w:rPr>
                      <w:rFonts w:hint="eastAsia"/>
                      <w:szCs w:val="21"/>
                    </w:rPr>
                    <w:t>危险性类别</w:t>
                  </w:r>
                </w:p>
              </w:tc>
              <w:tc>
                <w:tcPr>
                  <w:tcW w:w="1995" w:type="dxa"/>
                  <w:noWrap w:val="0"/>
                  <w:vAlign w:val="center"/>
                </w:tcPr>
                <w:p>
                  <w:pPr>
                    <w:jc w:val="center"/>
                    <w:rPr>
                      <w:rFonts w:hint="eastAsia"/>
                      <w:szCs w:val="21"/>
                    </w:rPr>
                  </w:pPr>
                  <w:r>
                    <w:rPr>
                      <w:rFonts w:hint="eastAsia"/>
                      <w:szCs w:val="21"/>
                    </w:rPr>
                    <w:t>易燃液体</w:t>
                  </w:r>
                </w:p>
              </w:tc>
              <w:tc>
                <w:tcPr>
                  <w:tcW w:w="1995" w:type="dxa"/>
                  <w:noWrap w:val="0"/>
                  <w:vAlign w:val="center"/>
                </w:tcPr>
                <w:p>
                  <w:pPr>
                    <w:jc w:val="center"/>
                    <w:rPr>
                      <w:rFonts w:hint="eastAsia"/>
                      <w:szCs w:val="21"/>
                    </w:rPr>
                  </w:pPr>
                  <w:r>
                    <w:rPr>
                      <w:rFonts w:hint="eastAsia"/>
                      <w:szCs w:val="21"/>
                    </w:rPr>
                    <w:t>爆炸危险</w:t>
                  </w:r>
                </w:p>
              </w:tc>
              <w:tc>
                <w:tcPr>
                  <w:tcW w:w="1996" w:type="dxa"/>
                  <w:noWrap w:val="0"/>
                  <w:vAlign w:val="center"/>
                </w:tcPr>
                <w:p>
                  <w:pPr>
                    <w:jc w:val="center"/>
                    <w:rPr>
                      <w:rFonts w:hint="eastAsia"/>
                      <w:szCs w:val="21"/>
                    </w:rPr>
                  </w:pPr>
                  <w:r>
                    <w:rPr>
                      <w:rFonts w:hint="eastAsia"/>
                      <w:szCs w:val="21"/>
                    </w:rPr>
                    <w:t>易燃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5" w:type="dxa"/>
                  <w:noWrap w:val="0"/>
                  <w:vAlign w:val="center"/>
                </w:tcPr>
                <w:p>
                  <w:pPr>
                    <w:jc w:val="center"/>
                    <w:rPr>
                      <w:szCs w:val="21"/>
                    </w:rPr>
                  </w:pPr>
                  <w:r>
                    <w:rPr>
                      <w:rFonts w:hint="default"/>
                      <w:szCs w:val="21"/>
                      <w:rPrChange w:id="35" w:author="过客" w:date="2023-04-16T21:22:00Z">
                        <w:rPr>
                          <w:rFonts w:hint="eastAsia"/>
                          <w:szCs w:val="21"/>
                        </w:rPr>
                      </w:rPrChange>
                    </w:rPr>
                    <w:t>侵入途径</w:t>
                  </w:r>
                </w:p>
              </w:tc>
              <w:tc>
                <w:tcPr>
                  <w:tcW w:w="1995" w:type="dxa"/>
                  <w:noWrap w:val="0"/>
                  <w:vAlign w:val="center"/>
                </w:tcPr>
                <w:p>
                  <w:pPr>
                    <w:widowControl/>
                    <w:jc w:val="center"/>
                    <w:rPr>
                      <w:szCs w:val="21"/>
                    </w:rPr>
                  </w:pPr>
                  <w:r>
                    <w:rPr>
                      <w:rFonts w:hint="default" w:ascii="Times New Roman" w:hAnsi="Times New Roman" w:cs="Times New Roman"/>
                      <w:kern w:val="0"/>
                      <w:szCs w:val="21"/>
                      <w:lang w:bidi="ar"/>
                    </w:rPr>
                    <w:t>吸入、食入、经皮吸收</w:t>
                  </w:r>
                </w:p>
              </w:tc>
              <w:tc>
                <w:tcPr>
                  <w:tcW w:w="1995" w:type="dxa"/>
                  <w:noWrap w:val="0"/>
                  <w:vAlign w:val="center"/>
                </w:tcPr>
                <w:p>
                  <w:pPr>
                    <w:widowControl/>
                    <w:jc w:val="center"/>
                    <w:rPr>
                      <w:szCs w:val="21"/>
                    </w:rPr>
                  </w:pPr>
                  <w:r>
                    <w:rPr>
                      <w:rFonts w:hint="default" w:ascii="Times New Roman" w:hAnsi="Times New Roman" w:cs="Times New Roman"/>
                      <w:kern w:val="0"/>
                      <w:szCs w:val="21"/>
                      <w:lang w:bidi="ar"/>
                    </w:rPr>
                    <w:t>有害燃烧产物</w:t>
                  </w:r>
                </w:p>
              </w:tc>
              <w:tc>
                <w:tcPr>
                  <w:tcW w:w="1996" w:type="dxa"/>
                  <w:noWrap w:val="0"/>
                  <w:vAlign w:val="center"/>
                </w:tcPr>
                <w:p>
                  <w:pPr>
                    <w:jc w:val="center"/>
                    <w:rPr>
                      <w:szCs w:val="21"/>
                    </w:rPr>
                  </w:pPr>
                  <w:r>
                    <w:rPr>
                      <w:rFonts w:hint="default"/>
                      <w:szCs w:val="21"/>
                      <w:rPrChange w:id="36" w:author="过客" w:date="2023-04-16T21:22:00Z">
                        <w:rPr>
                          <w:rFonts w:hint="eastAsia"/>
                          <w:szCs w:val="21"/>
                        </w:rPr>
                      </w:rPrChange>
                    </w:rPr>
                    <w:t>CO、CO</w:t>
                  </w:r>
                  <w:r>
                    <w:rPr>
                      <w:rFonts w:hint="default"/>
                      <w:szCs w:val="21"/>
                      <w:vertAlign w:val="subscript"/>
                      <w:rPrChange w:id="37" w:author="过客" w:date="2023-04-16T21:22:00Z">
                        <w:rPr>
                          <w:rFonts w:hint="eastAsia"/>
                          <w:szCs w:val="21"/>
                          <w:vertAlign w:val="subscript"/>
                        </w:rPr>
                      </w:rPrChange>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5" w:type="dxa"/>
                  <w:noWrap w:val="0"/>
                  <w:vAlign w:val="center"/>
                </w:tcPr>
                <w:p>
                  <w:pPr>
                    <w:jc w:val="center"/>
                    <w:rPr>
                      <w:sz w:val="21"/>
                      <w:szCs w:val="21"/>
                    </w:rPr>
                  </w:pPr>
                  <w:r>
                    <w:rPr>
                      <w:rFonts w:hint="default"/>
                      <w:sz w:val="21"/>
                      <w:szCs w:val="21"/>
                    </w:rPr>
                    <w:t>健康危害</w:t>
                  </w:r>
                </w:p>
              </w:tc>
              <w:tc>
                <w:tcPr>
                  <w:tcW w:w="5986" w:type="dxa"/>
                  <w:gridSpan w:val="3"/>
                  <w:noWrap w:val="0"/>
                  <w:vAlign w:val="center"/>
                </w:tcPr>
                <w:p>
                  <w:pPr>
                    <w:widowControl/>
                    <w:rPr>
                      <w:sz w:val="21"/>
                      <w:szCs w:val="21"/>
                    </w:rPr>
                  </w:pPr>
                  <w:r>
                    <w:rPr>
                      <w:rFonts w:hint="default" w:ascii="Times New Roman" w:hAnsi="Times New Roman" w:cs="Times New Roman"/>
                      <w:kern w:val="0"/>
                      <w:sz w:val="21"/>
                      <w:szCs w:val="21"/>
                      <w:lang w:bidi="ar"/>
                    </w:rPr>
                    <w:t>急性中毒：对中枢神经系统有麻痹作用。轻度中毒症状有头晕、头痛、恶心、呕吐、步态不稳、共济失调。高浓度吸入出现中毒性脑病。极高浓度吸入引起意识突然丧失、反射性呼吸停止。可伴有中毒性周围神经病及化学性肺炎。溅入眼内可致角膜溃疡、穿孔，甚至失明。皮肤接触致急性接触性皮炎，甚至灼伤。吞咽引起急性胃肠炎，重者出现类似急性吸入中毒症状，并可引起肝、肾损害。慢性中毒：神经衰弱综合症、植物神经功能症状类似精神分裂症。皮肤损害。</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5" w:type="dxa"/>
                  <w:noWrap w:val="0"/>
                  <w:vAlign w:val="center"/>
                </w:tcPr>
                <w:p>
                  <w:pPr>
                    <w:jc w:val="center"/>
                    <w:rPr>
                      <w:sz w:val="21"/>
                      <w:szCs w:val="21"/>
                    </w:rPr>
                  </w:pPr>
                  <w:r>
                    <w:rPr>
                      <w:rFonts w:hint="default"/>
                      <w:sz w:val="21"/>
                      <w:szCs w:val="21"/>
                    </w:rPr>
                    <w:t>环境危害</w:t>
                  </w:r>
                </w:p>
              </w:tc>
              <w:tc>
                <w:tcPr>
                  <w:tcW w:w="5986" w:type="dxa"/>
                  <w:gridSpan w:val="3"/>
                  <w:noWrap w:val="0"/>
                  <w:vAlign w:val="center"/>
                </w:tcPr>
                <w:p>
                  <w:pPr>
                    <w:widowControl/>
                    <w:rPr>
                      <w:sz w:val="21"/>
                      <w:szCs w:val="21"/>
                    </w:rPr>
                  </w:pPr>
                  <w:r>
                    <w:rPr>
                      <w:rFonts w:hint="default" w:ascii="Times New Roman" w:hAnsi="Times New Roman" w:cs="Times New Roman"/>
                      <w:kern w:val="0"/>
                      <w:sz w:val="21"/>
                      <w:szCs w:val="21"/>
                      <w:lang w:bidi="ar"/>
                    </w:rPr>
                    <w:t>该物质对环境有危害，建议不要让其进入环境。对水体和大气可造成污染，破坏水生生物呼吸系统，对海藻应给予特别注意。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7981" w:type="dxa"/>
                  <w:gridSpan w:val="4"/>
                  <w:shd w:val="clear" w:color="auto" w:fill="D7D7D7"/>
                  <w:noWrap w:val="0"/>
                  <w:vAlign w:val="center"/>
                </w:tcPr>
                <w:p>
                  <w:pPr>
                    <w:jc w:val="center"/>
                    <w:rPr>
                      <w:sz w:val="21"/>
                      <w:szCs w:val="21"/>
                    </w:rPr>
                  </w:pPr>
                  <w:r>
                    <w:rPr>
                      <w:rFonts w:hint="default"/>
                      <w:sz w:val="21"/>
                      <w:szCs w:val="21"/>
                    </w:rPr>
                    <w:t>第三部分 理化性质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5" w:type="dxa"/>
                  <w:noWrap w:val="0"/>
                  <w:vAlign w:val="center"/>
                </w:tcPr>
                <w:p>
                  <w:pPr>
                    <w:jc w:val="center"/>
                    <w:rPr>
                      <w:sz w:val="21"/>
                      <w:szCs w:val="21"/>
                    </w:rPr>
                  </w:pPr>
                  <w:r>
                    <w:rPr>
                      <w:rFonts w:hint="default"/>
                      <w:sz w:val="21"/>
                      <w:szCs w:val="21"/>
                    </w:rPr>
                    <w:t>外观及形状</w:t>
                  </w:r>
                </w:p>
              </w:tc>
              <w:tc>
                <w:tcPr>
                  <w:tcW w:w="1995" w:type="dxa"/>
                  <w:noWrap w:val="0"/>
                  <w:vAlign w:val="center"/>
                </w:tcPr>
                <w:p>
                  <w:pPr>
                    <w:widowControl/>
                    <w:jc w:val="center"/>
                    <w:rPr>
                      <w:rFonts w:hint="default"/>
                      <w:sz w:val="21"/>
                      <w:szCs w:val="21"/>
                    </w:rPr>
                  </w:pPr>
                  <w:r>
                    <w:rPr>
                      <w:rFonts w:hint="default" w:ascii="Times New Roman" w:hAnsi="Times New Roman" w:cs="Times New Roman"/>
                      <w:kern w:val="0"/>
                      <w:sz w:val="21"/>
                      <w:szCs w:val="21"/>
                      <w:lang w:bidi="ar"/>
                    </w:rPr>
                    <w:t>无色或淡黄色易挥发液体，具有特殊臭味</w:t>
                  </w:r>
                </w:p>
              </w:tc>
              <w:tc>
                <w:tcPr>
                  <w:tcW w:w="1995" w:type="dxa"/>
                  <w:noWrap w:val="0"/>
                  <w:vAlign w:val="center"/>
                </w:tcPr>
                <w:p>
                  <w:pPr>
                    <w:jc w:val="center"/>
                    <w:rPr>
                      <w:sz w:val="21"/>
                      <w:szCs w:val="21"/>
                    </w:rPr>
                  </w:pPr>
                  <w:r>
                    <w:rPr>
                      <w:rFonts w:hint="default"/>
                      <w:sz w:val="21"/>
                      <w:szCs w:val="21"/>
                    </w:rPr>
                    <w:t>主要用途</w:t>
                  </w:r>
                </w:p>
              </w:tc>
              <w:tc>
                <w:tcPr>
                  <w:tcW w:w="1996" w:type="dxa"/>
                  <w:noWrap w:val="0"/>
                  <w:vAlign w:val="center"/>
                </w:tcPr>
                <w:p>
                  <w:pPr>
                    <w:widowControl/>
                    <w:jc w:val="center"/>
                    <w:rPr>
                      <w:sz w:val="21"/>
                      <w:szCs w:val="21"/>
                    </w:rPr>
                  </w:pPr>
                  <w:r>
                    <w:rPr>
                      <w:rFonts w:hint="default" w:ascii="Times New Roman" w:hAnsi="Times New Roman" w:cs="Times New Roman"/>
                      <w:kern w:val="0"/>
                      <w:sz w:val="21"/>
                      <w:szCs w:val="21"/>
                      <w:lang w:bidi="ar"/>
                    </w:rPr>
                    <w:t>用作发电机的燃料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95" w:type="dxa"/>
                  <w:noWrap w:val="0"/>
                  <w:vAlign w:val="center"/>
                </w:tcPr>
                <w:p>
                  <w:pPr>
                    <w:jc w:val="center"/>
                    <w:rPr>
                      <w:sz w:val="21"/>
                      <w:szCs w:val="21"/>
                    </w:rPr>
                  </w:pPr>
                  <w:r>
                    <w:rPr>
                      <w:rFonts w:hint="default"/>
                      <w:sz w:val="21"/>
                      <w:szCs w:val="21"/>
                    </w:rPr>
                    <w:t>闪点（℃）</w:t>
                  </w:r>
                </w:p>
              </w:tc>
              <w:tc>
                <w:tcPr>
                  <w:tcW w:w="1995" w:type="dxa"/>
                  <w:noWrap w:val="0"/>
                  <w:vAlign w:val="center"/>
                </w:tcPr>
                <w:p>
                  <w:pPr>
                    <w:jc w:val="center"/>
                    <w:rPr>
                      <w:sz w:val="21"/>
                      <w:szCs w:val="21"/>
                    </w:rPr>
                  </w:pPr>
                  <w:r>
                    <w:rPr>
                      <w:rFonts w:hint="default"/>
                      <w:sz w:val="21"/>
                      <w:szCs w:val="21"/>
                    </w:rPr>
                    <w:t>-50</w:t>
                  </w:r>
                </w:p>
              </w:tc>
              <w:tc>
                <w:tcPr>
                  <w:tcW w:w="1995" w:type="dxa"/>
                  <w:noWrap w:val="0"/>
                  <w:vAlign w:val="center"/>
                </w:tcPr>
                <w:p>
                  <w:pPr>
                    <w:jc w:val="center"/>
                    <w:rPr>
                      <w:rFonts w:hint="default"/>
                      <w:sz w:val="21"/>
                      <w:szCs w:val="21"/>
                    </w:rPr>
                  </w:pPr>
                  <w:r>
                    <w:rPr>
                      <w:rFonts w:hint="default"/>
                      <w:sz w:val="21"/>
                      <w:szCs w:val="21"/>
                    </w:rPr>
                    <w:t>相对密度（水=1）</w:t>
                  </w:r>
                </w:p>
              </w:tc>
              <w:tc>
                <w:tcPr>
                  <w:tcW w:w="1996" w:type="dxa"/>
                  <w:noWrap w:val="0"/>
                  <w:vAlign w:val="center"/>
                </w:tcPr>
                <w:p>
                  <w:pPr>
                    <w:jc w:val="center"/>
                    <w:rPr>
                      <w:sz w:val="21"/>
                      <w:szCs w:val="21"/>
                    </w:rPr>
                  </w:pPr>
                  <w:r>
                    <w:rPr>
                      <w:rFonts w:hint="default"/>
                      <w:sz w:val="21"/>
                      <w:szCs w:val="21"/>
                    </w:rPr>
                    <w:t>0.70～0.79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5" w:type="dxa"/>
                  <w:noWrap w:val="0"/>
                  <w:vAlign w:val="center"/>
                </w:tcPr>
                <w:p>
                  <w:pPr>
                    <w:jc w:val="center"/>
                    <w:rPr>
                      <w:sz w:val="21"/>
                      <w:szCs w:val="21"/>
                    </w:rPr>
                  </w:pPr>
                  <w:r>
                    <w:rPr>
                      <w:rFonts w:hint="default"/>
                      <w:sz w:val="21"/>
                      <w:szCs w:val="21"/>
                    </w:rPr>
                    <w:t>熔点（℃）</w:t>
                  </w:r>
                </w:p>
              </w:tc>
              <w:tc>
                <w:tcPr>
                  <w:tcW w:w="1995" w:type="dxa"/>
                  <w:noWrap w:val="0"/>
                  <w:vAlign w:val="center"/>
                </w:tcPr>
                <w:p>
                  <w:pPr>
                    <w:jc w:val="center"/>
                    <w:rPr>
                      <w:sz w:val="21"/>
                      <w:szCs w:val="21"/>
                    </w:rPr>
                  </w:pPr>
                  <w:r>
                    <w:rPr>
                      <w:rFonts w:hint="default"/>
                      <w:sz w:val="21"/>
                      <w:szCs w:val="21"/>
                    </w:rPr>
                    <w:t>&lt;-60</w:t>
                  </w:r>
                </w:p>
              </w:tc>
              <w:tc>
                <w:tcPr>
                  <w:tcW w:w="1995" w:type="dxa"/>
                  <w:noWrap w:val="0"/>
                  <w:vAlign w:val="center"/>
                </w:tcPr>
                <w:p>
                  <w:pPr>
                    <w:jc w:val="center"/>
                    <w:rPr>
                      <w:sz w:val="21"/>
                      <w:szCs w:val="21"/>
                    </w:rPr>
                  </w:pPr>
                  <w:r>
                    <w:rPr>
                      <w:rFonts w:hint="default"/>
                      <w:sz w:val="21"/>
                      <w:szCs w:val="21"/>
                    </w:rPr>
                    <w:t>引燃温度（℃）</w:t>
                  </w:r>
                </w:p>
              </w:tc>
              <w:tc>
                <w:tcPr>
                  <w:tcW w:w="1996" w:type="dxa"/>
                  <w:noWrap w:val="0"/>
                  <w:vAlign w:val="center"/>
                </w:tcPr>
                <w:p>
                  <w:pPr>
                    <w:jc w:val="center"/>
                    <w:rPr>
                      <w:sz w:val="21"/>
                      <w:szCs w:val="21"/>
                    </w:rPr>
                  </w:pPr>
                  <w:r>
                    <w:rPr>
                      <w:rFonts w:hint="default"/>
                      <w:sz w:val="21"/>
                      <w:szCs w:val="21"/>
                    </w:rPr>
                    <w:t>415～530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5" w:type="dxa"/>
                  <w:noWrap w:val="0"/>
                  <w:vAlign w:val="center"/>
                </w:tcPr>
                <w:p>
                  <w:pPr>
                    <w:jc w:val="center"/>
                    <w:rPr>
                      <w:sz w:val="21"/>
                      <w:szCs w:val="21"/>
                    </w:rPr>
                  </w:pPr>
                  <w:r>
                    <w:rPr>
                      <w:rFonts w:hint="default"/>
                      <w:sz w:val="21"/>
                      <w:szCs w:val="21"/>
                    </w:rPr>
                    <w:t>沸点（℃）</w:t>
                  </w:r>
                </w:p>
              </w:tc>
              <w:tc>
                <w:tcPr>
                  <w:tcW w:w="1995" w:type="dxa"/>
                  <w:noWrap w:val="0"/>
                  <w:vAlign w:val="center"/>
                </w:tcPr>
                <w:p>
                  <w:pPr>
                    <w:widowControl/>
                    <w:jc w:val="center"/>
                    <w:rPr>
                      <w:sz w:val="21"/>
                      <w:szCs w:val="21"/>
                    </w:rPr>
                  </w:pPr>
                  <w:r>
                    <w:rPr>
                      <w:rFonts w:hint="default"/>
                      <w:kern w:val="0"/>
                      <w:sz w:val="21"/>
                      <w:szCs w:val="21"/>
                      <w:lang w:bidi="ar"/>
                    </w:rPr>
                    <w:t>40～200</w:t>
                  </w:r>
                </w:p>
              </w:tc>
              <w:tc>
                <w:tcPr>
                  <w:tcW w:w="1995" w:type="dxa"/>
                  <w:noWrap w:val="0"/>
                  <w:vAlign w:val="center"/>
                </w:tcPr>
                <w:p>
                  <w:pPr>
                    <w:jc w:val="center"/>
                    <w:rPr>
                      <w:sz w:val="21"/>
                      <w:szCs w:val="21"/>
                    </w:rPr>
                  </w:pPr>
                  <w:r>
                    <w:rPr>
                      <w:rFonts w:hint="default"/>
                      <w:sz w:val="21"/>
                      <w:szCs w:val="21"/>
                    </w:rPr>
                    <w:t>爆炸极限%（V/V）</w:t>
                  </w:r>
                </w:p>
              </w:tc>
              <w:tc>
                <w:tcPr>
                  <w:tcW w:w="1996" w:type="dxa"/>
                  <w:noWrap w:val="0"/>
                  <w:vAlign w:val="center"/>
                </w:tcPr>
                <w:p>
                  <w:pPr>
                    <w:jc w:val="center"/>
                    <w:rPr>
                      <w:sz w:val="21"/>
                      <w:szCs w:val="21"/>
                    </w:rPr>
                  </w:pPr>
                  <w:r>
                    <w:rPr>
                      <w:rFonts w:hint="default"/>
                      <w:sz w:val="21"/>
                      <w:szCs w:val="21"/>
                    </w:rPr>
                    <w:t>下限1.3,上限6.0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5" w:type="dxa"/>
                  <w:noWrap w:val="0"/>
                  <w:vAlign w:val="center"/>
                </w:tcPr>
                <w:p>
                  <w:pPr>
                    <w:jc w:val="center"/>
                    <w:rPr>
                      <w:sz w:val="21"/>
                      <w:szCs w:val="21"/>
                    </w:rPr>
                  </w:pPr>
                  <w:r>
                    <w:rPr>
                      <w:rFonts w:hint="default"/>
                      <w:sz w:val="21"/>
                      <w:szCs w:val="21"/>
                    </w:rPr>
                    <w:t>溶解性</w:t>
                  </w:r>
                </w:p>
              </w:tc>
              <w:tc>
                <w:tcPr>
                  <w:tcW w:w="5986" w:type="dxa"/>
                  <w:gridSpan w:val="3"/>
                  <w:noWrap w:val="0"/>
                  <w:vAlign w:val="center"/>
                </w:tcPr>
                <w:p>
                  <w:pPr>
                    <w:widowControl/>
                    <w:jc w:val="center"/>
                    <w:rPr>
                      <w:sz w:val="21"/>
                      <w:szCs w:val="21"/>
                    </w:rPr>
                  </w:pPr>
                  <w:r>
                    <w:rPr>
                      <w:rFonts w:hint="default" w:ascii="Times New Roman" w:hAnsi="Times New Roman" w:cs="Times New Roman"/>
                      <w:kern w:val="0"/>
                      <w:sz w:val="21"/>
                      <w:szCs w:val="21"/>
                      <w:lang w:bidi="ar"/>
                    </w:rPr>
                    <w:t>不溶于水、易溶于苯、二硫化碳、醇、脂肪</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81" w:type="dxa"/>
                  <w:gridSpan w:val="4"/>
                  <w:shd w:val="clear" w:color="auto" w:fill="D7D7D7"/>
                  <w:noWrap w:val="0"/>
                  <w:vAlign w:val="center"/>
                </w:tcPr>
                <w:p>
                  <w:pPr>
                    <w:jc w:val="center"/>
                    <w:rPr>
                      <w:sz w:val="21"/>
                      <w:szCs w:val="21"/>
                    </w:rPr>
                  </w:pPr>
                  <w:r>
                    <w:rPr>
                      <w:rFonts w:hint="default"/>
                      <w:sz w:val="21"/>
                      <w:szCs w:val="21"/>
                    </w:rPr>
                    <w:t>第四部分 稳定性及化学活性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5" w:type="dxa"/>
                  <w:noWrap w:val="0"/>
                  <w:vAlign w:val="center"/>
                </w:tcPr>
                <w:p>
                  <w:pPr>
                    <w:jc w:val="center"/>
                    <w:rPr>
                      <w:sz w:val="21"/>
                      <w:szCs w:val="21"/>
                    </w:rPr>
                  </w:pPr>
                  <w:r>
                    <w:rPr>
                      <w:rFonts w:hint="default"/>
                      <w:sz w:val="21"/>
                      <w:szCs w:val="21"/>
                    </w:rPr>
                    <w:t>稳定性</w:t>
                  </w:r>
                </w:p>
              </w:tc>
              <w:tc>
                <w:tcPr>
                  <w:tcW w:w="1995" w:type="dxa"/>
                  <w:noWrap w:val="0"/>
                  <w:vAlign w:val="center"/>
                </w:tcPr>
                <w:p>
                  <w:pPr>
                    <w:jc w:val="center"/>
                    <w:rPr>
                      <w:sz w:val="21"/>
                      <w:szCs w:val="21"/>
                    </w:rPr>
                  </w:pPr>
                  <w:r>
                    <w:rPr>
                      <w:rFonts w:hint="default"/>
                      <w:sz w:val="21"/>
                      <w:szCs w:val="21"/>
                    </w:rPr>
                    <w:t>稳定</w:t>
                  </w:r>
                </w:p>
              </w:tc>
              <w:tc>
                <w:tcPr>
                  <w:tcW w:w="1995" w:type="dxa"/>
                  <w:noWrap w:val="0"/>
                  <w:vAlign w:val="center"/>
                </w:tcPr>
                <w:p>
                  <w:pPr>
                    <w:jc w:val="center"/>
                    <w:rPr>
                      <w:sz w:val="21"/>
                      <w:szCs w:val="21"/>
                    </w:rPr>
                  </w:pPr>
                  <w:r>
                    <w:rPr>
                      <w:rFonts w:hint="default"/>
                      <w:sz w:val="21"/>
                      <w:szCs w:val="21"/>
                    </w:rPr>
                    <w:t>避免接触的条件</w:t>
                  </w:r>
                </w:p>
              </w:tc>
              <w:tc>
                <w:tcPr>
                  <w:tcW w:w="1996" w:type="dxa"/>
                  <w:noWrap w:val="0"/>
                  <w:vAlign w:val="center"/>
                </w:tcPr>
                <w:p>
                  <w:pPr>
                    <w:jc w:val="center"/>
                    <w:rPr>
                      <w:sz w:val="21"/>
                      <w:szCs w:val="21"/>
                    </w:rPr>
                  </w:pPr>
                  <w:r>
                    <w:rPr>
                      <w:rFonts w:hint="default"/>
                      <w:sz w:val="21"/>
                      <w:szCs w:val="21"/>
                    </w:rPr>
                    <w:t>明火、高热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5" w:type="dxa"/>
                  <w:noWrap w:val="0"/>
                  <w:vAlign w:val="center"/>
                </w:tcPr>
                <w:p>
                  <w:pPr>
                    <w:jc w:val="center"/>
                    <w:rPr>
                      <w:sz w:val="21"/>
                      <w:szCs w:val="21"/>
                    </w:rPr>
                  </w:pPr>
                  <w:r>
                    <w:rPr>
                      <w:rFonts w:hint="default"/>
                      <w:sz w:val="21"/>
                      <w:szCs w:val="21"/>
                    </w:rPr>
                    <w:t>禁配物</w:t>
                  </w:r>
                </w:p>
              </w:tc>
              <w:tc>
                <w:tcPr>
                  <w:tcW w:w="1995" w:type="dxa"/>
                  <w:noWrap w:val="0"/>
                  <w:vAlign w:val="center"/>
                </w:tcPr>
                <w:p>
                  <w:pPr>
                    <w:widowControl/>
                    <w:jc w:val="center"/>
                    <w:rPr>
                      <w:sz w:val="21"/>
                      <w:szCs w:val="21"/>
                    </w:rPr>
                  </w:pPr>
                  <w:r>
                    <w:rPr>
                      <w:rFonts w:hint="default" w:ascii="Times New Roman" w:hAnsi="Times New Roman" w:cs="Times New Roman"/>
                      <w:kern w:val="0"/>
                      <w:sz w:val="21"/>
                      <w:szCs w:val="21"/>
                      <w:lang w:bidi="ar"/>
                    </w:rPr>
                    <w:t>强氧化剂</w:t>
                  </w:r>
                </w:p>
              </w:tc>
              <w:tc>
                <w:tcPr>
                  <w:tcW w:w="1995" w:type="dxa"/>
                  <w:noWrap w:val="0"/>
                  <w:vAlign w:val="center"/>
                </w:tcPr>
                <w:p>
                  <w:pPr>
                    <w:jc w:val="center"/>
                    <w:rPr>
                      <w:sz w:val="21"/>
                      <w:szCs w:val="21"/>
                    </w:rPr>
                  </w:pPr>
                  <w:r>
                    <w:rPr>
                      <w:rFonts w:hint="default"/>
                      <w:sz w:val="21"/>
                      <w:szCs w:val="21"/>
                    </w:rPr>
                    <w:t>聚合危害</w:t>
                  </w:r>
                </w:p>
              </w:tc>
              <w:tc>
                <w:tcPr>
                  <w:tcW w:w="1996" w:type="dxa"/>
                  <w:noWrap w:val="0"/>
                  <w:vAlign w:val="center"/>
                </w:tcPr>
                <w:p>
                  <w:pPr>
                    <w:jc w:val="center"/>
                    <w:rPr>
                      <w:sz w:val="21"/>
                      <w:szCs w:val="21"/>
                    </w:rPr>
                  </w:pPr>
                  <w:r>
                    <w:rPr>
                      <w:rFonts w:hint="default"/>
                      <w:sz w:val="21"/>
                      <w:szCs w:val="21"/>
                    </w:rPr>
                    <w:t>不聚合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5" w:type="dxa"/>
                  <w:noWrap w:val="0"/>
                  <w:vAlign w:val="center"/>
                </w:tcPr>
                <w:p>
                  <w:pPr>
                    <w:jc w:val="center"/>
                    <w:rPr>
                      <w:sz w:val="21"/>
                      <w:szCs w:val="21"/>
                    </w:rPr>
                  </w:pPr>
                  <w:r>
                    <w:rPr>
                      <w:rFonts w:hint="default"/>
                      <w:sz w:val="21"/>
                      <w:szCs w:val="21"/>
                    </w:rPr>
                    <w:t>分解产污</w:t>
                  </w:r>
                </w:p>
              </w:tc>
              <w:tc>
                <w:tcPr>
                  <w:tcW w:w="5986" w:type="dxa"/>
                  <w:gridSpan w:val="3"/>
                  <w:noWrap w:val="0"/>
                  <w:vAlign w:val="center"/>
                </w:tcPr>
                <w:p>
                  <w:pPr>
                    <w:jc w:val="center"/>
                    <w:rPr>
                      <w:sz w:val="21"/>
                      <w:szCs w:val="21"/>
                    </w:rPr>
                  </w:pPr>
                  <w:r>
                    <w:rPr>
                      <w:rFonts w:hint="default"/>
                      <w:sz w:val="21"/>
                      <w:szCs w:val="21"/>
                    </w:rPr>
                    <w:t>CO、CO</w:t>
                  </w:r>
                  <w:r>
                    <w:rPr>
                      <w:rFonts w:hint="default"/>
                      <w:sz w:val="21"/>
                      <w:szCs w:val="21"/>
                      <w:vertAlign w:val="sub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81" w:type="dxa"/>
                  <w:gridSpan w:val="4"/>
                  <w:shd w:val="clear" w:color="auto" w:fill="D7D7D7"/>
                  <w:noWrap w:val="0"/>
                  <w:vAlign w:val="center"/>
                </w:tcPr>
                <w:p>
                  <w:pPr>
                    <w:jc w:val="center"/>
                    <w:rPr>
                      <w:sz w:val="21"/>
                      <w:szCs w:val="21"/>
                    </w:rPr>
                  </w:pPr>
                  <w:r>
                    <w:rPr>
                      <w:rFonts w:hint="default"/>
                      <w:sz w:val="21"/>
                      <w:szCs w:val="21"/>
                    </w:rPr>
                    <w:t>第五部分 毒理学资料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5" w:type="dxa"/>
                  <w:noWrap w:val="0"/>
                  <w:vAlign w:val="center"/>
                </w:tcPr>
                <w:p>
                  <w:pPr>
                    <w:jc w:val="center"/>
                    <w:rPr>
                      <w:sz w:val="21"/>
                      <w:szCs w:val="21"/>
                    </w:rPr>
                  </w:pPr>
                  <w:r>
                    <w:rPr>
                      <w:rFonts w:hint="default"/>
                      <w:sz w:val="21"/>
                      <w:szCs w:val="21"/>
                    </w:rPr>
                    <w:t>急性毒性</w:t>
                  </w:r>
                </w:p>
              </w:tc>
              <w:tc>
                <w:tcPr>
                  <w:tcW w:w="5986" w:type="dxa"/>
                  <w:gridSpan w:val="3"/>
                  <w:noWrap w:val="0"/>
                  <w:vAlign w:val="center"/>
                </w:tcPr>
                <w:p>
                  <w:pPr>
                    <w:widowControl/>
                    <w:jc w:val="center"/>
                    <w:rPr>
                      <w:sz w:val="21"/>
                      <w:szCs w:val="21"/>
                    </w:rPr>
                  </w:pPr>
                  <w:r>
                    <w:rPr>
                      <w:kern w:val="0"/>
                      <w:sz w:val="21"/>
                      <w:szCs w:val="21"/>
                      <w:lang w:bidi="ar"/>
                    </w:rPr>
                    <w:t>LD</w:t>
                  </w:r>
                  <w:r>
                    <w:rPr>
                      <w:kern w:val="0"/>
                      <w:sz w:val="21"/>
                      <w:szCs w:val="21"/>
                      <w:vertAlign w:val="subscript"/>
                      <w:lang w:bidi="ar"/>
                    </w:rPr>
                    <w:t>50</w:t>
                  </w:r>
                  <w:r>
                    <w:rPr>
                      <w:rFonts w:hint="default" w:ascii="Times New Roman" w:hAnsi="Times New Roman" w:cs="Times New Roman"/>
                      <w:kern w:val="0"/>
                      <w:sz w:val="21"/>
                      <w:szCs w:val="21"/>
                      <w:lang w:bidi="ar"/>
                    </w:rPr>
                    <w:t xml:space="preserve">：无资料 </w:t>
                  </w:r>
                  <w:r>
                    <w:rPr>
                      <w:kern w:val="0"/>
                      <w:sz w:val="21"/>
                      <w:szCs w:val="21"/>
                      <w:lang w:bidi="ar"/>
                    </w:rPr>
                    <w:t>LC</w:t>
                  </w:r>
                  <w:r>
                    <w:rPr>
                      <w:kern w:val="0"/>
                      <w:sz w:val="21"/>
                      <w:szCs w:val="21"/>
                      <w:vertAlign w:val="subscript"/>
                      <w:lang w:bidi="ar"/>
                    </w:rPr>
                    <w:t>50</w:t>
                  </w:r>
                  <w:r>
                    <w:rPr>
                      <w:rFonts w:hint="default" w:ascii="Times New Roman" w:hAnsi="Times New Roman" w:cs="Times New Roman"/>
                      <w:kern w:val="0"/>
                      <w:sz w:val="21"/>
                      <w:szCs w:val="21"/>
                      <w:lang w:bidi="ar"/>
                    </w:rPr>
                    <w:t>：无资料</w:t>
                  </w:r>
                </w:p>
              </w:tc>
            </w:tr>
          </w:tbl>
          <w:p>
            <w:pPr>
              <w:keepNext w:val="0"/>
              <w:keepLines w:val="0"/>
              <w:widowControl w:val="0"/>
              <w:suppressLineNumbers w:val="0"/>
              <w:spacing w:before="0" w:beforeAutospacing="0" w:after="0" w:afterAutospacing="0"/>
              <w:ind w:left="0" w:right="0"/>
              <w:jc w:val="center"/>
              <w:rPr>
                <w:rFonts w:hint="eastAsia" w:ascii="宋体" w:hAnsi="宋体" w:eastAsia="宋体" w:cs="宋体"/>
                <w:b/>
                <w:kern w:val="0"/>
                <w:sz w:val="21"/>
                <w:szCs w:val="21"/>
              </w:rPr>
            </w:pPr>
            <w:r>
              <w:rPr>
                <w:rFonts w:hint="eastAsia" w:ascii="Times New Roman" w:hAnsi="Times New Roman" w:eastAsia="宋体" w:cs="Times New Roman"/>
                <w:b/>
                <w:bCs/>
                <w:sz w:val="21"/>
                <w:szCs w:val="21"/>
                <w:lang w:val="en-US" w:eastAsia="zh-CN"/>
              </w:rPr>
              <w:t xml:space="preserve">表2-10  </w:t>
            </w:r>
            <w:r>
              <w:rPr>
                <w:rFonts w:hint="eastAsia" w:ascii="宋体" w:hAnsi="宋体" w:eastAsia="宋体" w:cs="宋体"/>
                <w:b/>
                <w:kern w:val="0"/>
                <w:sz w:val="21"/>
                <w:szCs w:val="21"/>
                <w:lang w:val="en-US" w:eastAsia="zh-CN" w:bidi="ar"/>
              </w:rPr>
              <w:t>项目医用主要危险物质特性表</w:t>
            </w:r>
          </w:p>
          <w:tbl>
            <w:tblPr>
              <w:tblStyle w:val="41"/>
              <w:tblW w:w="7989" w:type="dxa"/>
              <w:jc w:val="center"/>
              <w:tblBorders>
                <w:top w:val="single" w:color="auto" w:sz="4" w:space="0"/>
                <w:left w:val="none" w:color="auto" w:sz="6" w:space="0"/>
                <w:bottom w:val="single" w:color="auto" w:sz="4" w:space="0"/>
                <w:right w:val="non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648"/>
              <w:gridCol w:w="490"/>
              <w:gridCol w:w="1730"/>
              <w:gridCol w:w="1898"/>
              <w:gridCol w:w="1218"/>
              <w:gridCol w:w="2005"/>
            </w:tblGrid>
            <w:tr>
              <w:tblPrEx>
                <w:tblBorders>
                  <w:top w:val="single" w:color="auto" w:sz="4" w:space="0"/>
                  <w:left w:val="none" w:color="auto" w:sz="6" w:space="0"/>
                  <w:bottom w:val="single" w:color="auto" w:sz="4"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48"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物料名称</w:t>
                  </w:r>
                </w:p>
              </w:tc>
              <w:tc>
                <w:tcPr>
                  <w:tcW w:w="490"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用途</w:t>
                  </w:r>
                </w:p>
              </w:tc>
              <w:tc>
                <w:tcPr>
                  <w:tcW w:w="1730"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理化特性</w:t>
                  </w:r>
                </w:p>
              </w:tc>
              <w:tc>
                <w:tcPr>
                  <w:tcW w:w="189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健康危害</w:t>
                  </w:r>
                </w:p>
              </w:tc>
              <w:tc>
                <w:tcPr>
                  <w:tcW w:w="121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危险特性</w:t>
                  </w:r>
                </w:p>
              </w:tc>
              <w:tc>
                <w:tcPr>
                  <w:tcW w:w="2005" w:type="dxa"/>
                  <w:tcBorders>
                    <w:top w:val="single" w:color="auto" w:sz="4" w:space="0"/>
                    <w:left w:val="single" w:color="auto" w:sz="4" w:space="0"/>
                    <w:bottom w:val="single" w:color="auto" w:sz="4" w:space="0"/>
                    <w:right w:val="nil"/>
                  </w:tcBorders>
                  <w:noWrap w:val="0"/>
                  <w:vAlign w:val="center"/>
                </w:tcPr>
                <w:p>
                  <w:pPr>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毒物危害程度</w:t>
                  </w:r>
                </w:p>
              </w:tc>
            </w:tr>
            <w:tr>
              <w:tblPrEx>
                <w:tblBorders>
                  <w:top w:val="single" w:color="auto" w:sz="4" w:space="0"/>
                  <w:left w:val="none" w:color="auto" w:sz="6" w:space="0"/>
                  <w:bottom w:val="single" w:color="auto" w:sz="4"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48"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乙醇</w:t>
                  </w:r>
                </w:p>
              </w:tc>
              <w:tc>
                <w:tcPr>
                  <w:tcW w:w="490"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消毒</w:t>
                  </w:r>
                </w:p>
              </w:tc>
              <w:tc>
                <w:tcPr>
                  <w:tcW w:w="1730"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无色液体，有酒香；与水混溶，可混溶于醚、氯仿、甘油等多数有机溶剂；用于制酒工业、有机合成、消毒以及用作溶剂</w:t>
                  </w:r>
                </w:p>
              </w:tc>
              <w:tc>
                <w:tcPr>
                  <w:tcW w:w="189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侵入途径：吸入、食入、经皮吸收。健康危害：本品为中枢神经系统控制剂。首先引起兴奋，随后抑制。急性中毒：急性中毒多发生于口服</w:t>
                  </w:r>
                </w:p>
              </w:tc>
              <w:tc>
                <w:tcPr>
                  <w:tcW w:w="121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易燃，其蒸气与空气可形成爆炸性混合物。遇明火、高热能引起燃烧爆炸。与氧化剂接触发生化学反应或引起燃烧</w:t>
                  </w:r>
                </w:p>
              </w:tc>
              <w:tc>
                <w:tcPr>
                  <w:tcW w:w="2005" w:type="dxa"/>
                  <w:tcBorders>
                    <w:top w:val="single" w:color="auto" w:sz="4" w:space="0"/>
                    <w:left w:val="single" w:color="auto" w:sz="4" w:space="0"/>
                    <w:bottom w:val="single" w:color="auto" w:sz="4" w:space="0"/>
                    <w:right w:val="nil"/>
                  </w:tcBorders>
                  <w:noWrap w:val="0"/>
                  <w:vAlign w:val="center"/>
                </w:tcPr>
                <w:p>
                  <w:pPr>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毒性：属微毒类。急性毒性：</w:t>
                  </w:r>
                  <w:r>
                    <w:rPr>
                      <w:rFonts w:hint="default" w:ascii="Times New Roman" w:hAnsi="Times New Roman" w:eastAsia="宋体" w:cs="Times New Roman"/>
                      <w:sz w:val="21"/>
                      <w:szCs w:val="21"/>
                      <w:lang w:val="en-US" w:eastAsia="zh-CN"/>
                    </w:rPr>
                    <w:t>LD</w:t>
                  </w:r>
                  <w:r>
                    <w:rPr>
                      <w:rFonts w:hint="default" w:ascii="Times New Roman" w:hAnsi="Times New Roman" w:eastAsia="宋体" w:cs="Times New Roman"/>
                      <w:sz w:val="21"/>
                      <w:szCs w:val="21"/>
                      <w:vertAlign w:val="subscript"/>
                      <w:lang w:val="en-US" w:eastAsia="zh-CN"/>
                    </w:rPr>
                    <w:t>50</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7060mg/kg</w:t>
                  </w:r>
                  <w:r>
                    <w:rPr>
                      <w:rFonts w:hint="eastAsia" w:ascii="Times New Roman" w:hAnsi="Times New Roman" w:eastAsia="宋体" w:cs="Times New Roman"/>
                      <w:sz w:val="21"/>
                      <w:szCs w:val="21"/>
                      <w:lang w:val="en-US" w:eastAsia="zh-CN"/>
                    </w:rPr>
                    <w:t>（兔经口）；7340mg/kg（兔经皮）；LC</w:t>
                  </w:r>
                  <w:r>
                    <w:rPr>
                      <w:rFonts w:hint="default" w:ascii="Times New Roman" w:hAnsi="Times New Roman" w:eastAsia="宋体" w:cs="Times New Roman"/>
                      <w:sz w:val="21"/>
                      <w:szCs w:val="21"/>
                      <w:vertAlign w:val="subscript"/>
                      <w:lang w:val="en-US" w:eastAsia="zh-CN"/>
                    </w:rPr>
                    <w:t>5</w:t>
                  </w:r>
                  <w:r>
                    <w:rPr>
                      <w:rFonts w:hint="default" w:ascii="Times New Roman" w:hAnsi="Times New Roman" w:eastAsia="宋体" w:cs="Times New Roman"/>
                      <w:sz w:val="21"/>
                      <w:szCs w:val="21"/>
                      <w:lang w:val="en-US" w:eastAsia="zh-CN"/>
                    </w:rPr>
                    <w:t>0</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37620mg/m</w:t>
                  </w:r>
                  <w:r>
                    <w:rPr>
                      <w:rFonts w:hint="default" w:ascii="Times New Roman" w:hAnsi="Times New Roman" w:eastAsia="宋体" w:cs="Times New Roman"/>
                      <w:sz w:val="21"/>
                      <w:szCs w:val="21"/>
                      <w:vertAlign w:val="superscript"/>
                      <w:lang w:val="en-US" w:eastAsia="zh-CN"/>
                    </w:rPr>
                    <w:t>3</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lang w:val="en-US" w:eastAsia="zh-CN"/>
                    </w:rPr>
                    <w:t>小时（大鼠吸入）；人吸入4.3mg/L×50分钟，头面部发热；四肢发凉，头痛；人吸入</w:t>
                  </w:r>
                  <w:r>
                    <w:rPr>
                      <w:rFonts w:hint="default" w:ascii="Times New Roman" w:hAnsi="Times New Roman" w:eastAsia="宋体" w:cs="Times New Roman"/>
                      <w:sz w:val="21"/>
                      <w:szCs w:val="21"/>
                      <w:lang w:val="en-US" w:eastAsia="zh-CN"/>
                    </w:rPr>
                    <w:t>2.6mg/L×39</w:t>
                  </w:r>
                  <w:r>
                    <w:rPr>
                      <w:rFonts w:hint="eastAsia" w:ascii="Times New Roman" w:hAnsi="Times New Roman" w:eastAsia="宋体" w:cs="Times New Roman"/>
                      <w:sz w:val="21"/>
                      <w:szCs w:val="21"/>
                      <w:lang w:val="en-US" w:eastAsia="zh-CN"/>
                    </w:rPr>
                    <w:t>分钟，头痛，无后作用</w:t>
                  </w:r>
                </w:p>
              </w:tc>
            </w:tr>
            <w:tr>
              <w:tblPrEx>
                <w:tblBorders>
                  <w:top w:val="single" w:color="auto" w:sz="4" w:space="0"/>
                  <w:left w:val="none" w:color="auto" w:sz="6" w:space="0"/>
                  <w:bottom w:val="single" w:color="auto" w:sz="4"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648"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二氧化氯</w:t>
                  </w:r>
                </w:p>
              </w:tc>
              <w:tc>
                <w:tcPr>
                  <w:tcW w:w="490"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消毒</w:t>
                  </w:r>
                </w:p>
              </w:tc>
              <w:tc>
                <w:tcPr>
                  <w:tcW w:w="1730"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高浓度时呈红黄色，低浓度时呈黄色，有强烈刺激性臭味气体。有类似氯气和</w:t>
                  </w:r>
                  <w:r>
                    <w:rPr>
                      <w:rFonts w:hint="eastAsia" w:ascii="Times New Roman" w:hAnsi="Times New Roman" w:eastAsia="宋体" w:cs="Times New Roman"/>
                      <w:sz w:val="21"/>
                      <w:szCs w:val="21"/>
                    </w:rPr>
                    <w:t>硝酸</w:t>
                  </w:r>
                  <w:r>
                    <w:rPr>
                      <w:rFonts w:hint="eastAsia" w:ascii="Times New Roman" w:hAnsi="Times New Roman" w:eastAsia="宋体" w:cs="Times New Roman"/>
                      <w:sz w:val="21"/>
                      <w:szCs w:val="21"/>
                      <w:lang w:val="en-US" w:eastAsia="zh-CN"/>
                    </w:rPr>
                    <w:t>的特殊刺激臭味。沸点</w:t>
                  </w:r>
                  <w:r>
                    <w:rPr>
                      <w:rFonts w:hint="default" w:ascii="Times New Roman" w:hAnsi="Times New Roman" w:eastAsia="宋体" w:cs="Times New Roman"/>
                      <w:sz w:val="21"/>
                      <w:szCs w:val="21"/>
                      <w:lang w:val="en-US" w:eastAsia="zh-CN"/>
                    </w:rPr>
                    <w:t>11℃</w:t>
                  </w:r>
                  <w:r>
                    <w:rPr>
                      <w:rFonts w:hint="eastAsia" w:ascii="Times New Roman" w:hAnsi="Times New Roman" w:eastAsia="宋体" w:cs="Times New Roman"/>
                      <w:sz w:val="21"/>
                      <w:szCs w:val="21"/>
                      <w:lang w:val="en-US" w:eastAsia="zh-CN"/>
                    </w:rPr>
                    <w:t>，相对蒸气密度2.3g/L。遇热水则分解成</w:t>
                  </w:r>
                  <w:r>
                    <w:rPr>
                      <w:rFonts w:hint="eastAsia" w:ascii="Times New Roman" w:hAnsi="Times New Roman" w:eastAsia="宋体" w:cs="Times New Roman"/>
                      <w:sz w:val="21"/>
                      <w:szCs w:val="21"/>
                    </w:rPr>
                    <w:t>次氯酸</w:t>
                  </w:r>
                  <w:r>
                    <w:rPr>
                      <w:rFonts w:hint="eastAsia" w:ascii="Times New Roman" w:hAnsi="Times New Roman" w:eastAsia="宋体" w:cs="Times New Roman"/>
                      <w:sz w:val="21"/>
                      <w:szCs w:val="21"/>
                      <w:lang w:val="en-US" w:eastAsia="zh-CN"/>
                    </w:rPr>
                    <w:t>、氯气、氧气，受光也易分解，其溶液于冷暗处相对稳定。</w:t>
                  </w:r>
                </w:p>
              </w:tc>
              <w:tc>
                <w:tcPr>
                  <w:tcW w:w="189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本品具有强烈刺激性，接触后主要引起眼和呼吸道刺激，吸入高浓度可发生肺水肿，能致死；对呼吸道产生严重损伤浓度的本品气体，可能对皮肤有刺激性。皮肤接触或摄入本品的高浓度溶液，可能引起强烈刺激和腐蚀，长期接触可导致慢行支气管炎。</w:t>
                  </w:r>
                </w:p>
              </w:tc>
              <w:tc>
                <w:tcPr>
                  <w:tcW w:w="121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具有强氧化性，能与许多化学物质发生爆炸性反应。受热、震动、撞击、摩擦，相当敏感，极易分解发生爆炸。</w:t>
                  </w:r>
                </w:p>
              </w:tc>
              <w:tc>
                <w:tcPr>
                  <w:tcW w:w="2005" w:type="dxa"/>
                  <w:tcBorders>
                    <w:top w:val="single" w:color="auto" w:sz="4" w:space="0"/>
                    <w:left w:val="single" w:color="auto" w:sz="4" w:space="0"/>
                    <w:bottom w:val="single" w:color="auto" w:sz="4" w:space="0"/>
                    <w:right w:val="nil"/>
                  </w:tcBorders>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bl>
          <w:p>
            <w:pPr>
              <w:adjustRightInd w:val="0"/>
              <w:snapToGrid w:val="0"/>
              <w:spacing w:line="360" w:lineRule="auto"/>
              <w:jc w:val="both"/>
              <w:rPr>
                <w:rFonts w:hint="eastAsia" w:ascii="Times New Roman" w:hAnsi="Times New Roman" w:eastAsia="宋体"/>
                <w:b/>
                <w:bCs/>
                <w:color w:val="000000"/>
                <w:sz w:val="24"/>
              </w:rPr>
            </w:pPr>
            <w:r>
              <w:rPr>
                <w:rFonts w:hint="eastAsia" w:ascii="Times New Roman" w:hAnsi="Times New Roman" w:eastAsia="宋体"/>
                <w:b/>
                <w:bCs/>
                <w:color w:val="000000"/>
                <w:sz w:val="24"/>
                <w:lang w:eastAsia="zh-CN"/>
              </w:rPr>
              <w:t>七</w:t>
            </w:r>
            <w:r>
              <w:rPr>
                <w:rFonts w:hint="eastAsia" w:ascii="Times New Roman" w:hAnsi="Times New Roman" w:eastAsia="宋体"/>
                <w:b/>
                <w:bCs/>
                <w:color w:val="000000"/>
                <w:sz w:val="24"/>
              </w:rPr>
              <w:t>、劳动定员及工作制度</w:t>
            </w:r>
          </w:p>
          <w:p>
            <w:pPr>
              <w:adjustRightInd w:val="0"/>
              <w:snapToGrid w:val="0"/>
              <w:spacing w:line="360" w:lineRule="auto"/>
              <w:ind w:firstLine="480" w:firstLineChars="200"/>
              <w:jc w:val="both"/>
              <w:rPr>
                <w:rFonts w:ascii="Times New Roman" w:hAnsi="Times New Roman" w:eastAsia="宋体"/>
                <w:color w:val="000000"/>
                <w:sz w:val="24"/>
              </w:rPr>
            </w:pPr>
            <w:r>
              <w:rPr>
                <w:rFonts w:hint="eastAsia" w:ascii="Times New Roman" w:hAnsi="Times New Roman" w:eastAsia="宋体"/>
                <w:color w:val="000000"/>
                <w:sz w:val="24"/>
              </w:rPr>
              <w:t>项目医务及工作人员共</w:t>
            </w:r>
            <w:r>
              <w:rPr>
                <w:rFonts w:hint="eastAsia" w:ascii="Times New Roman" w:hAnsi="Times New Roman" w:eastAsia="宋体"/>
                <w:color w:val="000000"/>
                <w:sz w:val="24"/>
                <w:lang w:val="en-US" w:eastAsia="zh-CN"/>
              </w:rPr>
              <w:t>82</w:t>
            </w:r>
            <w:r>
              <w:rPr>
                <w:rFonts w:hint="eastAsia" w:ascii="Times New Roman" w:hAnsi="Times New Roman" w:eastAsia="宋体"/>
                <w:color w:val="000000"/>
                <w:sz w:val="24"/>
              </w:rPr>
              <w:t>人，其中医生</w:t>
            </w:r>
            <w:r>
              <w:rPr>
                <w:rFonts w:hint="eastAsia" w:ascii="Times New Roman" w:hAnsi="Times New Roman" w:eastAsia="宋体"/>
                <w:color w:val="000000"/>
                <w:sz w:val="24"/>
                <w:lang w:val="en-US" w:eastAsia="zh-CN"/>
              </w:rPr>
              <w:t>10</w:t>
            </w:r>
            <w:r>
              <w:rPr>
                <w:rFonts w:hint="eastAsia" w:ascii="Times New Roman" w:hAnsi="Times New Roman" w:eastAsia="宋体"/>
                <w:color w:val="000000"/>
                <w:sz w:val="24"/>
              </w:rPr>
              <w:t>人，护士</w:t>
            </w:r>
            <w:r>
              <w:rPr>
                <w:rFonts w:hint="eastAsia" w:ascii="Times New Roman" w:hAnsi="Times New Roman" w:eastAsia="宋体"/>
                <w:color w:val="000000"/>
                <w:sz w:val="24"/>
                <w:lang w:val="en-US" w:eastAsia="zh-CN"/>
              </w:rPr>
              <w:t>67</w:t>
            </w:r>
            <w:r>
              <w:rPr>
                <w:rFonts w:hint="eastAsia" w:ascii="Times New Roman" w:hAnsi="Times New Roman" w:eastAsia="宋体"/>
                <w:color w:val="000000"/>
                <w:sz w:val="24"/>
              </w:rPr>
              <w:t>人，行政管理和后勤人员5人，本次扩建项目新增劳动定员</w:t>
            </w:r>
            <w:r>
              <w:rPr>
                <w:rFonts w:hint="eastAsia" w:ascii="Times New Roman" w:hAnsi="Times New Roman" w:eastAsia="宋体"/>
                <w:color w:val="000000"/>
                <w:sz w:val="24"/>
                <w:lang w:val="en-US" w:eastAsia="zh-CN"/>
              </w:rPr>
              <w:t>52人，新增医生3人，护士49人</w:t>
            </w:r>
            <w:r>
              <w:rPr>
                <w:rFonts w:hint="eastAsia" w:ascii="Times New Roman" w:hAnsi="Times New Roman" w:eastAsia="宋体"/>
                <w:color w:val="000000"/>
                <w:sz w:val="24"/>
              </w:rPr>
              <w:t>。医院年工作时间为365天，正常门诊8：00-18：00，同时提供24小时急诊服务；住院部全天候服务。</w:t>
            </w:r>
          </w:p>
          <w:p>
            <w:pPr>
              <w:adjustRightInd w:val="0"/>
              <w:snapToGrid w:val="0"/>
              <w:spacing w:line="360" w:lineRule="auto"/>
              <w:rPr>
                <w:rFonts w:hint="eastAsia" w:ascii="Times New Roman" w:hAnsi="Times New Roman" w:eastAsia="宋体"/>
                <w:b/>
                <w:bCs/>
                <w:color w:val="000000"/>
                <w:sz w:val="24"/>
                <w:lang w:eastAsia="zh-CN"/>
              </w:rPr>
            </w:pPr>
            <w:r>
              <w:rPr>
                <w:rFonts w:hint="eastAsia" w:ascii="Times New Roman" w:hAnsi="Times New Roman" w:eastAsia="宋体"/>
                <w:b/>
                <w:bCs/>
                <w:color w:val="000000"/>
                <w:sz w:val="24"/>
                <w:lang w:eastAsia="zh-CN"/>
              </w:rPr>
              <w:t>八</w:t>
            </w:r>
            <w:r>
              <w:rPr>
                <w:rFonts w:hint="eastAsia" w:ascii="Times New Roman" w:hAnsi="Times New Roman" w:eastAsia="宋体"/>
                <w:b/>
                <w:bCs/>
                <w:color w:val="000000"/>
                <w:sz w:val="24"/>
              </w:rPr>
              <w:t>、</w:t>
            </w:r>
            <w:r>
              <w:rPr>
                <w:rFonts w:hint="eastAsia" w:ascii="Times New Roman" w:hAnsi="Times New Roman" w:eastAsia="宋体"/>
                <w:b/>
                <w:bCs/>
                <w:color w:val="000000"/>
                <w:sz w:val="24"/>
                <w:lang w:eastAsia="zh-CN"/>
              </w:rPr>
              <w:t>项目公辅设施</w:t>
            </w:r>
          </w:p>
          <w:p>
            <w:pPr>
              <w:adjustRightInd w:val="0"/>
              <w:snapToGrid w:val="0"/>
              <w:spacing w:line="360" w:lineRule="auto"/>
              <w:ind w:firstLine="482" w:firstLineChars="200"/>
              <w:rPr>
                <w:rFonts w:hint="eastAsia" w:ascii="Times New Roman" w:hAnsi="Times New Roman" w:eastAsia="宋体"/>
                <w:color w:val="000000"/>
                <w:sz w:val="24"/>
                <w:lang w:eastAsia="zh-CN"/>
              </w:rPr>
            </w:pPr>
            <w:r>
              <w:rPr>
                <w:rFonts w:hint="eastAsia" w:ascii="Times New Roman" w:hAnsi="Times New Roman" w:eastAsia="宋体"/>
                <w:b/>
                <w:bCs/>
                <w:color w:val="000000"/>
                <w:sz w:val="24"/>
                <w:lang w:val="en-US" w:eastAsia="zh-CN"/>
              </w:rPr>
              <w:t>1、</w:t>
            </w:r>
            <w:r>
              <w:rPr>
                <w:rFonts w:hint="eastAsia" w:ascii="Times New Roman" w:hAnsi="Times New Roman" w:eastAsia="宋体"/>
                <w:b/>
                <w:bCs/>
                <w:color w:val="000000"/>
                <w:sz w:val="24"/>
                <w:lang w:eastAsia="zh-CN"/>
              </w:rPr>
              <w:t>供配电系统</w:t>
            </w:r>
          </w:p>
          <w:p>
            <w:pPr>
              <w:adjustRightInd w:val="0"/>
              <w:snapToGrid w:val="0"/>
              <w:spacing w:line="360" w:lineRule="auto"/>
              <w:ind w:firstLine="480" w:firstLineChars="200"/>
              <w:rPr>
                <w:rFonts w:hint="default" w:ascii="Times New Roman" w:hAnsi="Times New Roman" w:eastAsia="宋体"/>
                <w:color w:val="000000"/>
                <w:sz w:val="24"/>
                <w:lang w:val="en-US" w:eastAsia="zh-CN"/>
              </w:rPr>
            </w:pPr>
            <w:r>
              <w:rPr>
                <w:rFonts w:hint="eastAsia" w:ascii="Times New Roman" w:hAnsi="Times New Roman" w:eastAsia="宋体"/>
                <w:color w:val="000000"/>
                <w:sz w:val="24"/>
                <w:lang w:eastAsia="zh-CN"/>
              </w:rPr>
              <w:t>本项目用</w:t>
            </w:r>
            <w:r>
              <w:rPr>
                <w:rFonts w:hint="eastAsia" w:ascii="Times New Roman" w:hAnsi="Times New Roman" w:eastAsia="宋体"/>
                <w:color w:val="000000"/>
                <w:sz w:val="24"/>
                <w:szCs w:val="24"/>
                <w:lang w:eastAsia="zh-CN"/>
              </w:rPr>
              <w:t>电</w:t>
            </w:r>
            <w:r>
              <w:rPr>
                <w:rFonts w:hint="eastAsia" w:ascii="Times New Roman" w:hAnsi="Times New Roman" w:cs="Times New Roman"/>
                <w:color w:val="000000"/>
                <w:kern w:val="0"/>
                <w:sz w:val="24"/>
                <w:szCs w:val="24"/>
                <w:lang w:val="en-US" w:eastAsia="zh-CN" w:bidi="ar"/>
              </w:rPr>
              <w:t>由市政供电，并配备一台备用发电机。</w:t>
            </w:r>
          </w:p>
          <w:p>
            <w:pPr>
              <w:adjustRightInd w:val="0"/>
              <w:snapToGrid w:val="0"/>
              <w:spacing w:line="360" w:lineRule="auto"/>
              <w:ind w:firstLine="482" w:firstLineChars="200"/>
              <w:rPr>
                <w:rFonts w:hint="eastAsia" w:ascii="Times New Roman" w:hAnsi="Times New Roman" w:eastAsia="宋体"/>
                <w:b/>
                <w:bCs/>
                <w:color w:val="000000"/>
                <w:sz w:val="24"/>
                <w:lang w:eastAsia="zh-CN"/>
              </w:rPr>
            </w:pPr>
            <w:r>
              <w:rPr>
                <w:rFonts w:hint="eastAsia" w:ascii="Times New Roman" w:hAnsi="Times New Roman" w:eastAsia="宋体"/>
                <w:b/>
                <w:bCs/>
                <w:color w:val="000000"/>
                <w:sz w:val="24"/>
                <w:lang w:val="en-US" w:eastAsia="zh-CN"/>
              </w:rPr>
              <w:t>2、</w:t>
            </w:r>
            <w:r>
              <w:rPr>
                <w:rFonts w:hint="eastAsia" w:ascii="Times New Roman" w:hAnsi="Times New Roman" w:eastAsia="宋体"/>
                <w:b/>
                <w:bCs/>
                <w:color w:val="000000"/>
                <w:sz w:val="24"/>
                <w:lang w:eastAsia="zh-CN"/>
              </w:rPr>
              <w:t>给排水工程</w:t>
            </w:r>
          </w:p>
          <w:p>
            <w:pPr>
              <w:adjustRightInd w:val="0"/>
              <w:snapToGrid w:val="0"/>
              <w:spacing w:line="360" w:lineRule="auto"/>
              <w:ind w:firstLine="480" w:firstLineChars="200"/>
              <w:rPr>
                <w:rFonts w:hint="eastAsia" w:ascii="Times New Roman" w:hAnsi="Times New Roman" w:eastAsia="宋体"/>
                <w:color w:val="000000"/>
                <w:sz w:val="24"/>
                <w:lang w:eastAsia="zh-CN"/>
              </w:rPr>
            </w:pPr>
            <w:r>
              <w:rPr>
                <w:rFonts w:hint="eastAsia" w:ascii="Times New Roman" w:hAnsi="Times New Roman" w:eastAsia="宋体"/>
                <w:color w:val="000000"/>
                <w:sz w:val="24"/>
                <w:lang w:eastAsia="zh-CN"/>
              </w:rPr>
              <w:t>（</w:t>
            </w:r>
            <w:r>
              <w:rPr>
                <w:rFonts w:hint="eastAsia" w:ascii="Times New Roman" w:hAnsi="Times New Roman" w:eastAsia="宋体"/>
                <w:color w:val="000000"/>
                <w:sz w:val="24"/>
                <w:lang w:val="en-US" w:eastAsia="zh-CN"/>
              </w:rPr>
              <w:t>1</w:t>
            </w:r>
            <w:r>
              <w:rPr>
                <w:rFonts w:hint="eastAsia" w:ascii="Times New Roman" w:hAnsi="Times New Roman" w:eastAsia="宋体"/>
                <w:color w:val="000000"/>
                <w:sz w:val="24"/>
                <w:lang w:eastAsia="zh-CN"/>
              </w:rPr>
              <w:t>）给水工程</w:t>
            </w:r>
          </w:p>
          <w:p>
            <w:pPr>
              <w:autoSpaceDE w:val="0"/>
              <w:autoSpaceDN w:val="0"/>
              <w:adjustRightInd w:val="0"/>
              <w:snapToGrid w:val="0"/>
              <w:spacing w:line="360" w:lineRule="auto"/>
              <w:ind w:firstLine="480" w:firstLineChars="200"/>
              <w:rPr>
                <w:kern w:val="0"/>
                <w:sz w:val="24"/>
              </w:rPr>
            </w:pPr>
            <w:r>
              <w:rPr>
                <w:kern w:val="0"/>
                <w:sz w:val="24"/>
              </w:rPr>
              <w:t>①给水来源</w:t>
            </w:r>
          </w:p>
          <w:p>
            <w:pPr>
              <w:autoSpaceDE w:val="0"/>
              <w:autoSpaceDN w:val="0"/>
              <w:adjustRightInd w:val="0"/>
              <w:snapToGrid w:val="0"/>
              <w:spacing w:line="360" w:lineRule="auto"/>
              <w:ind w:firstLine="480" w:firstLineChars="200"/>
              <w:rPr>
                <w:kern w:val="0"/>
                <w:sz w:val="24"/>
              </w:rPr>
            </w:pPr>
            <w:r>
              <w:rPr>
                <w:kern w:val="0"/>
                <w:sz w:val="24"/>
              </w:rPr>
              <w:t>市政供水。</w:t>
            </w:r>
          </w:p>
          <w:p>
            <w:pPr>
              <w:autoSpaceDE w:val="0"/>
              <w:autoSpaceDN w:val="0"/>
              <w:adjustRightInd w:val="0"/>
              <w:snapToGrid w:val="0"/>
              <w:spacing w:line="360" w:lineRule="auto"/>
              <w:ind w:firstLine="480" w:firstLineChars="200"/>
              <w:rPr>
                <w:kern w:val="0"/>
                <w:sz w:val="24"/>
              </w:rPr>
            </w:pPr>
            <w:r>
              <w:rPr>
                <w:kern w:val="0"/>
                <w:sz w:val="24"/>
              </w:rPr>
              <w:t>②项目用水</w:t>
            </w:r>
          </w:p>
          <w:p>
            <w:pPr>
              <w:autoSpaceDE w:val="0"/>
              <w:autoSpaceDN w:val="0"/>
              <w:adjustRightInd w:val="0"/>
              <w:snapToGrid w:val="0"/>
              <w:spacing w:line="360" w:lineRule="auto"/>
              <w:ind w:firstLine="480" w:firstLineChars="200"/>
              <w:rPr>
                <w:kern w:val="0"/>
                <w:sz w:val="24"/>
              </w:rPr>
            </w:pPr>
            <w:r>
              <w:rPr>
                <w:kern w:val="0"/>
                <w:sz w:val="24"/>
              </w:rPr>
              <w:t>项目用水参照</w:t>
            </w:r>
            <w:r>
              <w:rPr>
                <w:rFonts w:hint="eastAsia" w:ascii="Times New Roman" w:hAnsi="Times New Roman" w:eastAsia="宋体"/>
                <w:color w:val="000000"/>
                <w:sz w:val="24"/>
                <w:lang w:val="en-US" w:eastAsia="zh-CN"/>
              </w:rPr>
              <w:t>《建筑给水排水设计规范》（GB50015-2019）、</w:t>
            </w:r>
            <w:r>
              <w:rPr>
                <w:kern w:val="0"/>
                <w:sz w:val="24"/>
              </w:rPr>
              <w:t>《医院给排水设计规范》、《医院污水处理工程技术规范》（HJ2029-2013）、《医院污水处理技术指南》（环发[2003]197号）进行估算，结合项目设计，本项目用水包括</w:t>
            </w:r>
            <w:r>
              <w:rPr>
                <w:rFonts w:hint="eastAsia"/>
                <w:kern w:val="0"/>
                <w:sz w:val="24"/>
              </w:rPr>
              <w:t>门诊病人用水、住院病人用水、医院职工生活用水、检验室用水、浆洗用水</w:t>
            </w:r>
            <w:r>
              <w:rPr>
                <w:rFonts w:hint="eastAsia"/>
                <w:kern w:val="0"/>
                <w:sz w:val="24"/>
                <w:lang w:eastAsia="zh-CN"/>
              </w:rPr>
              <w:t>、厨房</w:t>
            </w:r>
            <w:r>
              <w:rPr>
                <w:rFonts w:hint="eastAsia"/>
                <w:kern w:val="0"/>
                <w:sz w:val="24"/>
              </w:rPr>
              <w:t>用水</w:t>
            </w:r>
            <w:r>
              <w:rPr>
                <w:rFonts w:hint="eastAsia"/>
                <w:kern w:val="0"/>
                <w:sz w:val="24"/>
                <w:lang w:eastAsia="zh-CN"/>
              </w:rPr>
              <w:t>、绿化用水</w:t>
            </w:r>
            <w:r>
              <w:rPr>
                <w:kern w:val="0"/>
                <w:sz w:val="24"/>
              </w:rPr>
              <w:t>等。</w:t>
            </w:r>
          </w:p>
          <w:p>
            <w:pPr>
              <w:adjustRightInd w:val="0"/>
              <w:snapToGrid w:val="0"/>
              <w:spacing w:line="360" w:lineRule="auto"/>
              <w:ind w:firstLine="482" w:firstLineChars="200"/>
              <w:rPr>
                <w:rFonts w:hint="eastAsia" w:ascii="Times New Roman" w:hAnsi="Times New Roman" w:eastAsia="宋体"/>
                <w:color w:val="000000"/>
                <w:sz w:val="24"/>
                <w:lang w:eastAsia="zh-CN"/>
              </w:rPr>
            </w:pPr>
            <w:r>
              <w:rPr>
                <w:rFonts w:hint="eastAsia" w:ascii="Times New Roman" w:hAnsi="Times New Roman" w:eastAsia="宋体"/>
                <w:b/>
                <w:bCs/>
                <w:color w:val="000000"/>
                <w:sz w:val="24"/>
                <w:lang w:eastAsia="zh-CN"/>
              </w:rPr>
              <w:t>医疗用水</w:t>
            </w:r>
            <w:r>
              <w:rPr>
                <w:rFonts w:hint="eastAsia" w:ascii="Times New Roman" w:hAnsi="Times New Roman" w:eastAsia="宋体"/>
                <w:color w:val="000000"/>
                <w:sz w:val="24"/>
                <w:lang w:eastAsia="zh-CN"/>
              </w:rPr>
              <w:t>：项目医疗用水包括门诊病人用水、住院病人用水。本项目仅增加住院病人，不新增门诊病人。</w:t>
            </w:r>
          </w:p>
          <w:p>
            <w:pPr>
              <w:adjustRightInd w:val="0"/>
              <w:snapToGrid w:val="0"/>
              <w:spacing w:line="360" w:lineRule="auto"/>
              <w:ind w:firstLine="480" w:firstLineChars="200"/>
              <w:rPr>
                <w:rFonts w:hint="default" w:ascii="Times New Roman" w:hAnsi="Times New Roman" w:eastAsia="宋体"/>
                <w:color w:val="auto"/>
                <w:sz w:val="24"/>
                <w:lang w:val="en-US" w:eastAsia="zh-CN"/>
              </w:rPr>
            </w:pPr>
            <w:r>
              <w:rPr>
                <w:rFonts w:hint="eastAsia" w:ascii="Times New Roman" w:hAnsi="Times New Roman" w:eastAsia="宋体"/>
                <w:color w:val="000000"/>
                <w:sz w:val="24"/>
                <w:lang w:eastAsia="zh-CN"/>
              </w:rPr>
              <w:t>住院病人用水：本项目新增床位</w:t>
            </w:r>
            <w:r>
              <w:rPr>
                <w:rFonts w:hint="eastAsia" w:ascii="Times New Roman" w:hAnsi="Times New Roman" w:eastAsia="宋体"/>
                <w:color w:val="000000"/>
                <w:sz w:val="24"/>
                <w:lang w:val="en-US" w:eastAsia="zh-CN"/>
              </w:rPr>
              <w:t>110张，根据《建筑给水排水设计规范》（GB50015-2019）、</w:t>
            </w:r>
            <w:r>
              <w:rPr>
                <w:rFonts w:hint="eastAsia" w:ascii="Times New Roman" w:hAnsi="Times New Roman" w:eastAsia="宋体"/>
                <w:color w:val="000000"/>
                <w:sz w:val="24"/>
                <w:lang w:val="en" w:eastAsia="zh-CN"/>
              </w:rPr>
              <w:t>《医院给排水设计规范》</w:t>
            </w:r>
            <w:r>
              <w:rPr>
                <w:rFonts w:hint="eastAsia" w:ascii="Times New Roman" w:hAnsi="Times New Roman" w:eastAsia="宋体"/>
                <w:color w:val="000000"/>
                <w:sz w:val="24"/>
                <w:lang w:val="en-US" w:eastAsia="zh-CN"/>
              </w:rPr>
              <w:t>，医院住院部设公用卫生间、盥洗室生活用水定额取200L/床</w:t>
            </w:r>
            <w:r>
              <w:rPr>
                <w:rFonts w:hint="eastAsia" w:ascii="汉仪大黑简" w:hAnsi="汉仪大黑简" w:eastAsia="汉仪大黑简" w:cs="汉仪大黑简"/>
                <w:kern w:val="0"/>
                <w:sz w:val="24"/>
              </w:rPr>
              <w:t>·</w:t>
            </w:r>
            <w:r>
              <w:rPr>
                <w:rFonts w:hint="eastAsia" w:ascii="Times New Roman" w:hAnsi="Times New Roman" w:eastAsia="宋体"/>
                <w:color w:val="000000"/>
                <w:sz w:val="24"/>
                <w:lang w:val="en-US" w:eastAsia="zh-CN"/>
              </w:rPr>
              <w:t>d，则项目住院病床用水量为22.0m</w:t>
            </w:r>
            <w:r>
              <w:rPr>
                <w:rFonts w:hint="eastAsia" w:ascii="Times New Roman" w:hAnsi="Times New Roman" w:eastAsia="宋体"/>
                <w:color w:val="000000"/>
                <w:sz w:val="24"/>
                <w:vertAlign w:val="superscript"/>
                <w:lang w:val="en-US" w:eastAsia="zh-CN"/>
              </w:rPr>
              <w:t>3</w:t>
            </w:r>
            <w:r>
              <w:rPr>
                <w:rFonts w:hint="eastAsia" w:ascii="Times New Roman" w:hAnsi="Times New Roman" w:eastAsia="宋体"/>
                <w:color w:val="000000"/>
                <w:sz w:val="24"/>
                <w:lang w:val="en-US" w:eastAsia="zh-CN"/>
              </w:rPr>
              <w:t>/d，产污系数以80%计，则本项目新增住院病床废水量17.6m</w:t>
            </w:r>
            <w:r>
              <w:rPr>
                <w:rFonts w:hint="eastAsia" w:ascii="Times New Roman" w:hAnsi="Times New Roman" w:eastAsia="宋体"/>
                <w:color w:val="000000"/>
                <w:sz w:val="24"/>
                <w:vertAlign w:val="superscript"/>
                <w:lang w:val="en-US" w:eastAsia="zh-CN"/>
              </w:rPr>
              <w:t>3</w:t>
            </w:r>
            <w:r>
              <w:rPr>
                <w:rFonts w:hint="eastAsia" w:ascii="Times New Roman" w:hAnsi="Times New Roman" w:eastAsia="宋体"/>
                <w:color w:val="000000"/>
                <w:sz w:val="24"/>
                <w:lang w:val="en-US" w:eastAsia="zh-CN"/>
              </w:rPr>
              <w:t>/d。因此</w:t>
            </w:r>
            <w:r>
              <w:rPr>
                <w:rFonts w:hint="eastAsia" w:ascii="Times New Roman" w:hAnsi="Times New Roman" w:eastAsia="宋体"/>
                <w:color w:val="auto"/>
                <w:sz w:val="24"/>
                <w:lang w:val="en-US" w:eastAsia="zh-CN"/>
              </w:rPr>
              <w:t>扩建后全院住院病人总用水量为36.0m</w:t>
            </w:r>
            <w:r>
              <w:rPr>
                <w:rFonts w:hint="eastAsia" w:ascii="Times New Roman" w:hAnsi="Times New Roman" w:eastAsia="宋体"/>
                <w:color w:val="auto"/>
                <w:sz w:val="24"/>
                <w:vertAlign w:val="superscript"/>
                <w:lang w:val="en-US" w:eastAsia="zh-CN"/>
              </w:rPr>
              <w:t>3</w:t>
            </w:r>
            <w:r>
              <w:rPr>
                <w:rFonts w:hint="eastAsia" w:ascii="Times New Roman" w:hAnsi="Times New Roman" w:eastAsia="宋体"/>
                <w:color w:val="auto"/>
                <w:sz w:val="24"/>
                <w:lang w:val="en-US" w:eastAsia="zh-CN"/>
              </w:rPr>
              <w:t>/d，废水量为28.8m</w:t>
            </w:r>
            <w:r>
              <w:rPr>
                <w:rFonts w:hint="eastAsia" w:ascii="Times New Roman" w:hAnsi="Times New Roman" w:eastAsia="宋体"/>
                <w:color w:val="auto"/>
                <w:sz w:val="24"/>
                <w:vertAlign w:val="superscript"/>
                <w:lang w:val="en-US" w:eastAsia="zh-CN"/>
              </w:rPr>
              <w:t>3</w:t>
            </w:r>
            <w:r>
              <w:rPr>
                <w:rFonts w:hint="eastAsia" w:ascii="Times New Roman" w:hAnsi="Times New Roman" w:eastAsia="宋体"/>
                <w:color w:val="auto"/>
                <w:sz w:val="24"/>
                <w:lang w:val="en-US" w:eastAsia="zh-CN"/>
              </w:rPr>
              <w:t>/d。</w:t>
            </w:r>
          </w:p>
          <w:p>
            <w:pPr>
              <w:adjustRightInd w:val="0"/>
              <w:snapToGrid w:val="0"/>
              <w:spacing w:line="360" w:lineRule="auto"/>
              <w:ind w:firstLine="480" w:firstLineChars="200"/>
              <w:rPr>
                <w:rFonts w:hint="default" w:ascii="Times New Roman" w:hAnsi="Times New Roman" w:eastAsia="宋体"/>
                <w:color w:val="auto"/>
                <w:sz w:val="24"/>
                <w:lang w:val="en-US" w:eastAsia="zh-CN"/>
              </w:rPr>
            </w:pPr>
            <w:r>
              <w:rPr>
                <w:rFonts w:hint="eastAsia" w:ascii="Times New Roman" w:hAnsi="Times New Roman" w:eastAsia="宋体"/>
                <w:color w:val="auto"/>
                <w:sz w:val="24"/>
                <w:lang w:eastAsia="zh-CN"/>
              </w:rPr>
              <w:t>门诊病人用水：本项目不新增门诊病人，</w:t>
            </w:r>
            <w:r>
              <w:rPr>
                <w:rFonts w:hint="eastAsia"/>
                <w:color w:val="auto"/>
                <w:kern w:val="0"/>
                <w:sz w:val="24"/>
                <w:lang w:eastAsia="zh-CN"/>
              </w:rPr>
              <w:t>则项目门诊不新增用水量和废水量</w:t>
            </w:r>
            <w:r>
              <w:rPr>
                <w:rFonts w:hint="eastAsia" w:ascii="Times New Roman" w:hAnsi="Times New Roman" w:eastAsia="宋体"/>
                <w:color w:val="auto"/>
                <w:sz w:val="24"/>
                <w:lang w:val="en-US" w:eastAsia="zh-CN"/>
              </w:rPr>
              <w:t>，</w:t>
            </w:r>
            <w:r>
              <w:rPr>
                <w:rFonts w:hint="eastAsia" w:ascii="Times New Roman" w:hAnsi="Times New Roman" w:eastAsia="宋体"/>
                <w:color w:val="auto"/>
                <w:sz w:val="24"/>
                <w:lang w:eastAsia="zh-CN"/>
              </w:rPr>
              <w:t>根据业主提供资料与实际运营情况，扩建前门诊病人为</w:t>
            </w:r>
            <w:r>
              <w:rPr>
                <w:rFonts w:hint="eastAsia" w:ascii="Times New Roman" w:hAnsi="Times New Roman" w:eastAsia="宋体"/>
                <w:color w:val="auto"/>
                <w:sz w:val="24"/>
                <w:lang w:val="en-US" w:eastAsia="zh-CN"/>
              </w:rPr>
              <w:t>5人次/d，</w:t>
            </w:r>
            <w:r>
              <w:rPr>
                <w:rFonts w:hint="eastAsia" w:ascii="Times New Roman" w:hAnsi="Times New Roman" w:eastAsia="宋体"/>
                <w:color w:val="auto"/>
                <w:sz w:val="24"/>
                <w:lang w:eastAsia="zh-CN"/>
              </w:rPr>
              <w:t>扩建后全院门诊病人仍为</w:t>
            </w:r>
            <w:r>
              <w:rPr>
                <w:rFonts w:hint="eastAsia" w:ascii="Times New Roman" w:hAnsi="Times New Roman" w:eastAsia="宋体"/>
                <w:color w:val="auto"/>
                <w:sz w:val="24"/>
                <w:lang w:val="en-US" w:eastAsia="zh-CN"/>
              </w:rPr>
              <w:t>5人次/d，根据《建筑给水排水设计规范》（GB50015-2019）、</w:t>
            </w:r>
            <w:r>
              <w:rPr>
                <w:rFonts w:hint="eastAsia" w:ascii="Times New Roman" w:hAnsi="Times New Roman" w:eastAsia="宋体"/>
                <w:color w:val="auto"/>
                <w:sz w:val="24"/>
                <w:lang w:val="en" w:eastAsia="zh-CN"/>
              </w:rPr>
              <w:t>《医院给排水设计规范》</w:t>
            </w:r>
            <w:r>
              <w:rPr>
                <w:rFonts w:hint="eastAsia" w:ascii="Times New Roman" w:hAnsi="Times New Roman" w:eastAsia="宋体"/>
                <w:color w:val="auto"/>
                <w:sz w:val="24"/>
                <w:lang w:val="en-US" w:eastAsia="zh-CN"/>
              </w:rPr>
              <w:t>，门诊部病人生活用水定额</w:t>
            </w:r>
            <w:r>
              <w:rPr>
                <w:color w:val="auto"/>
                <w:kern w:val="0"/>
                <w:sz w:val="24"/>
              </w:rPr>
              <w:t>取1</w:t>
            </w:r>
            <w:r>
              <w:rPr>
                <w:rFonts w:hint="eastAsia"/>
                <w:color w:val="auto"/>
                <w:kern w:val="0"/>
                <w:sz w:val="24"/>
                <w:lang w:val="en-US" w:eastAsia="zh-CN"/>
              </w:rPr>
              <w:t>0</w:t>
            </w:r>
            <w:r>
              <w:rPr>
                <w:color w:val="auto"/>
                <w:kern w:val="0"/>
                <w:sz w:val="24"/>
              </w:rPr>
              <w:t>L/人</w:t>
            </w:r>
            <w:r>
              <w:rPr>
                <w:rFonts w:hint="eastAsia" w:ascii="汉仪大黑简" w:hAnsi="汉仪大黑简" w:eastAsia="汉仪大黑简" w:cs="汉仪大黑简"/>
                <w:color w:val="auto"/>
                <w:kern w:val="0"/>
                <w:sz w:val="24"/>
              </w:rPr>
              <w:t>·</w:t>
            </w:r>
            <w:r>
              <w:rPr>
                <w:color w:val="auto"/>
                <w:kern w:val="0"/>
                <w:sz w:val="24"/>
              </w:rPr>
              <w:t>次，</w:t>
            </w:r>
            <w:r>
              <w:rPr>
                <w:rFonts w:hint="eastAsia"/>
                <w:color w:val="auto"/>
                <w:kern w:val="0"/>
                <w:sz w:val="24"/>
                <w:lang w:eastAsia="zh-CN"/>
              </w:rPr>
              <w:t>项目扩建后全院门诊用水量为</w:t>
            </w:r>
            <w:r>
              <w:rPr>
                <w:rFonts w:hint="eastAsia"/>
                <w:color w:val="auto"/>
                <w:kern w:val="0"/>
                <w:sz w:val="24"/>
                <w:lang w:val="en-US" w:eastAsia="zh-CN"/>
              </w:rPr>
              <w:t>0.05</w:t>
            </w:r>
            <w:r>
              <w:rPr>
                <w:rFonts w:hint="eastAsia" w:ascii="Times New Roman" w:hAnsi="Times New Roman" w:eastAsia="宋体"/>
                <w:color w:val="auto"/>
                <w:sz w:val="24"/>
                <w:lang w:val="en-US" w:eastAsia="zh-CN"/>
              </w:rPr>
              <w:t>m</w:t>
            </w:r>
            <w:r>
              <w:rPr>
                <w:rFonts w:hint="eastAsia" w:ascii="Times New Roman" w:hAnsi="Times New Roman" w:eastAsia="宋体"/>
                <w:color w:val="auto"/>
                <w:sz w:val="24"/>
                <w:vertAlign w:val="superscript"/>
                <w:lang w:val="en-US" w:eastAsia="zh-CN"/>
              </w:rPr>
              <w:t>3</w:t>
            </w:r>
            <w:r>
              <w:rPr>
                <w:rFonts w:hint="eastAsia" w:ascii="Times New Roman" w:hAnsi="Times New Roman" w:eastAsia="宋体"/>
                <w:color w:val="auto"/>
                <w:sz w:val="24"/>
                <w:lang w:val="en-US" w:eastAsia="zh-CN"/>
              </w:rPr>
              <w:t>/d，产污系数以80%计，全院门诊废水量为0.04m</w:t>
            </w:r>
            <w:r>
              <w:rPr>
                <w:rFonts w:hint="eastAsia" w:ascii="Times New Roman" w:hAnsi="Times New Roman" w:eastAsia="宋体"/>
                <w:color w:val="auto"/>
                <w:sz w:val="24"/>
                <w:vertAlign w:val="superscript"/>
                <w:lang w:val="en-US" w:eastAsia="zh-CN"/>
              </w:rPr>
              <w:t>3</w:t>
            </w:r>
            <w:r>
              <w:rPr>
                <w:rFonts w:hint="eastAsia" w:ascii="Times New Roman" w:hAnsi="Times New Roman" w:eastAsia="宋体"/>
                <w:color w:val="auto"/>
                <w:sz w:val="24"/>
                <w:lang w:val="en-US" w:eastAsia="zh-CN"/>
              </w:rPr>
              <w:t>/d。</w:t>
            </w:r>
          </w:p>
          <w:p>
            <w:pPr>
              <w:adjustRightInd w:val="0"/>
              <w:snapToGrid w:val="0"/>
              <w:spacing w:line="360" w:lineRule="auto"/>
              <w:ind w:firstLine="482" w:firstLineChars="200"/>
              <w:rPr>
                <w:rFonts w:hint="default" w:ascii="Times New Roman" w:hAnsi="Times New Roman" w:eastAsia="宋体"/>
                <w:color w:val="auto"/>
                <w:sz w:val="24"/>
                <w:lang w:val="en-US" w:eastAsia="zh-CN"/>
              </w:rPr>
            </w:pPr>
            <w:r>
              <w:rPr>
                <w:rFonts w:hint="eastAsia"/>
                <w:b/>
                <w:bCs/>
                <w:color w:val="auto"/>
                <w:kern w:val="0"/>
                <w:sz w:val="24"/>
              </w:rPr>
              <w:t>医院职工生活用水</w:t>
            </w:r>
            <w:r>
              <w:rPr>
                <w:rFonts w:hint="eastAsia"/>
                <w:color w:val="auto"/>
                <w:kern w:val="0"/>
                <w:sz w:val="24"/>
                <w:lang w:eastAsia="zh-CN"/>
              </w:rPr>
              <w:t>：本扩建项目新增劳动</w:t>
            </w:r>
            <w:r>
              <w:rPr>
                <w:rFonts w:hint="eastAsia" w:ascii="Times New Roman" w:hAnsi="Times New Roman" w:eastAsia="宋体" w:cs="Times New Roman"/>
                <w:color w:val="auto"/>
                <w:kern w:val="0"/>
                <w:sz w:val="24"/>
                <w:lang w:val="en-US" w:eastAsia="zh-CN"/>
              </w:rPr>
              <w:t>定员52人，根据</w:t>
            </w:r>
            <w:r>
              <w:rPr>
                <w:rFonts w:hint="eastAsia" w:ascii="Times New Roman" w:hAnsi="Times New Roman" w:eastAsia="宋体" w:cs="Times New Roman"/>
                <w:color w:val="auto"/>
                <w:kern w:val="0"/>
                <w:sz w:val="24"/>
                <w:lang w:val="en" w:eastAsia="zh-CN"/>
              </w:rPr>
              <w:t>《医院给排水设计规范》，</w:t>
            </w:r>
            <w:r>
              <w:rPr>
                <w:rFonts w:hint="eastAsia" w:ascii="Times New Roman" w:hAnsi="Times New Roman" w:eastAsia="宋体" w:cs="Times New Roman"/>
                <w:color w:val="auto"/>
                <w:kern w:val="0"/>
                <w:sz w:val="24"/>
                <w:lang w:val="en-US" w:eastAsia="zh-CN"/>
              </w:rPr>
              <w:t>医院职工用水量取50L/人·d，</w:t>
            </w:r>
            <w:r>
              <w:rPr>
                <w:rFonts w:hint="eastAsia"/>
                <w:color w:val="auto"/>
                <w:kern w:val="0"/>
                <w:sz w:val="24"/>
                <w:lang w:eastAsia="zh-CN"/>
              </w:rPr>
              <w:t>则医院职工新增生活用水量为</w:t>
            </w:r>
            <w:r>
              <w:rPr>
                <w:rFonts w:hint="eastAsia"/>
                <w:color w:val="auto"/>
                <w:kern w:val="0"/>
                <w:sz w:val="24"/>
                <w:lang w:val="en-US" w:eastAsia="zh-CN"/>
              </w:rPr>
              <w:t>2.6</w:t>
            </w:r>
            <w:r>
              <w:rPr>
                <w:rFonts w:hint="eastAsia" w:ascii="Times New Roman" w:hAnsi="Times New Roman" w:eastAsia="宋体"/>
                <w:color w:val="auto"/>
                <w:sz w:val="24"/>
                <w:lang w:val="en-US" w:eastAsia="zh-CN"/>
              </w:rPr>
              <w:t>m</w:t>
            </w:r>
            <w:r>
              <w:rPr>
                <w:rFonts w:hint="eastAsia" w:ascii="Times New Roman" w:hAnsi="Times New Roman" w:eastAsia="宋体"/>
                <w:color w:val="auto"/>
                <w:sz w:val="24"/>
                <w:vertAlign w:val="superscript"/>
                <w:lang w:val="en-US" w:eastAsia="zh-CN"/>
              </w:rPr>
              <w:t>3</w:t>
            </w:r>
            <w:r>
              <w:rPr>
                <w:rFonts w:hint="eastAsia" w:ascii="Times New Roman" w:hAnsi="Times New Roman" w:eastAsia="宋体"/>
                <w:color w:val="auto"/>
                <w:sz w:val="24"/>
                <w:lang w:val="en-US" w:eastAsia="zh-CN"/>
              </w:rPr>
              <w:t>/d，产污系数以80%计，新增生活污水量为2.08m</w:t>
            </w:r>
            <w:r>
              <w:rPr>
                <w:rFonts w:hint="eastAsia" w:ascii="Times New Roman" w:hAnsi="Times New Roman" w:eastAsia="宋体"/>
                <w:color w:val="auto"/>
                <w:sz w:val="24"/>
                <w:vertAlign w:val="superscript"/>
                <w:lang w:val="en-US" w:eastAsia="zh-CN"/>
              </w:rPr>
              <w:t>3</w:t>
            </w:r>
            <w:r>
              <w:rPr>
                <w:rFonts w:hint="eastAsia" w:ascii="Times New Roman" w:hAnsi="Times New Roman" w:eastAsia="宋体"/>
                <w:color w:val="auto"/>
                <w:sz w:val="24"/>
                <w:lang w:val="en-US" w:eastAsia="zh-CN"/>
              </w:rPr>
              <w:t>/d</w:t>
            </w:r>
            <w:r>
              <w:rPr>
                <w:rFonts w:hint="eastAsia"/>
                <w:color w:val="auto"/>
                <w:kern w:val="0"/>
                <w:sz w:val="24"/>
                <w:lang w:eastAsia="zh-CN"/>
              </w:rPr>
              <w:t>，扩建后全院劳动定员</w:t>
            </w:r>
            <w:r>
              <w:rPr>
                <w:rFonts w:hint="eastAsia"/>
                <w:color w:val="auto"/>
                <w:kern w:val="0"/>
                <w:sz w:val="24"/>
                <w:lang w:val="en-US" w:eastAsia="zh-CN"/>
              </w:rPr>
              <w:t>82人，</w:t>
            </w:r>
            <w:r>
              <w:rPr>
                <w:rFonts w:hint="eastAsia"/>
                <w:color w:val="auto"/>
                <w:kern w:val="0"/>
                <w:sz w:val="24"/>
                <w:lang w:eastAsia="zh-CN"/>
              </w:rPr>
              <w:t>则项目扩建后全院医院职工生活用水量</w:t>
            </w:r>
            <w:r>
              <w:rPr>
                <w:rFonts w:hint="eastAsia"/>
                <w:color w:val="auto"/>
                <w:kern w:val="0"/>
                <w:sz w:val="24"/>
                <w:lang w:val="en-US" w:eastAsia="zh-CN"/>
              </w:rPr>
              <w:t>4.1</w:t>
            </w:r>
            <w:r>
              <w:rPr>
                <w:rFonts w:hint="eastAsia" w:ascii="Times New Roman" w:hAnsi="Times New Roman" w:eastAsia="宋体"/>
                <w:color w:val="auto"/>
                <w:sz w:val="24"/>
                <w:lang w:val="en-US" w:eastAsia="zh-CN"/>
              </w:rPr>
              <w:t>m</w:t>
            </w:r>
            <w:r>
              <w:rPr>
                <w:rFonts w:hint="eastAsia" w:ascii="Times New Roman" w:hAnsi="Times New Roman" w:eastAsia="宋体"/>
                <w:color w:val="auto"/>
                <w:sz w:val="24"/>
                <w:vertAlign w:val="superscript"/>
                <w:lang w:val="en-US" w:eastAsia="zh-CN"/>
              </w:rPr>
              <w:t>3</w:t>
            </w:r>
            <w:r>
              <w:rPr>
                <w:rFonts w:hint="eastAsia" w:ascii="Times New Roman" w:hAnsi="Times New Roman" w:eastAsia="宋体"/>
                <w:color w:val="auto"/>
                <w:sz w:val="24"/>
                <w:lang w:val="en-US" w:eastAsia="zh-CN"/>
              </w:rPr>
              <w:t>/d，产污系数以80%计，生活污水量为3.28m</w:t>
            </w:r>
            <w:r>
              <w:rPr>
                <w:rFonts w:hint="eastAsia" w:ascii="Times New Roman" w:hAnsi="Times New Roman" w:eastAsia="宋体"/>
                <w:color w:val="auto"/>
                <w:sz w:val="24"/>
                <w:vertAlign w:val="superscript"/>
                <w:lang w:val="en-US" w:eastAsia="zh-CN"/>
              </w:rPr>
              <w:t>3</w:t>
            </w:r>
            <w:r>
              <w:rPr>
                <w:rFonts w:hint="eastAsia" w:ascii="Times New Roman" w:hAnsi="Times New Roman" w:eastAsia="宋体"/>
                <w:color w:val="auto"/>
                <w:sz w:val="24"/>
                <w:lang w:val="en-US" w:eastAsia="zh-CN"/>
              </w:rPr>
              <w:t>/d。</w:t>
            </w:r>
          </w:p>
          <w:p>
            <w:pPr>
              <w:adjustRightInd w:val="0"/>
              <w:snapToGrid w:val="0"/>
              <w:spacing w:line="360" w:lineRule="auto"/>
              <w:ind w:firstLine="482" w:firstLineChars="200"/>
              <w:jc w:val="both"/>
              <w:rPr>
                <w:rFonts w:hint="default" w:ascii="Times New Roman" w:hAnsi="Times New Roman" w:eastAsia="宋体"/>
                <w:color w:val="000000"/>
                <w:sz w:val="24"/>
                <w:lang w:val="en-US" w:eastAsia="zh-CN"/>
              </w:rPr>
            </w:pPr>
            <w:r>
              <w:rPr>
                <w:rFonts w:hint="eastAsia" w:ascii="Times New Roman" w:hAnsi="Times New Roman" w:eastAsia="宋体"/>
                <w:b/>
                <w:bCs/>
                <w:color w:val="000000"/>
                <w:sz w:val="24"/>
                <w:lang w:eastAsia="zh-CN"/>
              </w:rPr>
              <w:t>检验室用水</w:t>
            </w:r>
            <w:r>
              <w:rPr>
                <w:rFonts w:hint="eastAsia" w:ascii="Times New Roman" w:hAnsi="Times New Roman" w:eastAsia="宋体"/>
                <w:color w:val="000000"/>
                <w:sz w:val="24"/>
                <w:lang w:eastAsia="zh-CN"/>
              </w:rPr>
              <w:t>：</w:t>
            </w:r>
            <w:r>
              <w:rPr>
                <w:rFonts w:hint="eastAsia" w:hAnsi="宋体"/>
                <w:bCs/>
                <w:sz w:val="24"/>
              </w:rPr>
              <w:t>项目检验科室不开展同位素诊疗诊断的医疗项目，故医院不产生同位素诊疗、诊断放射性废水，也不会产生洗片废水；同时，项目检验科室主要开展血常规的检验，不涉及尿液、粪便、胸、腹水、前列腺液等的检验</w:t>
            </w:r>
            <w:r>
              <w:rPr>
                <w:rFonts w:hint="eastAsia" w:hAnsi="宋体"/>
                <w:bCs/>
                <w:sz w:val="24"/>
                <w:lang w:eastAsia="zh-CN"/>
              </w:rPr>
              <w:t>，</w:t>
            </w:r>
            <w:r>
              <w:rPr>
                <w:rFonts w:hint="eastAsia" w:ascii="Times New Roman" w:hAnsi="Times New Roman" w:eastAsia="宋体"/>
                <w:color w:val="000000"/>
                <w:sz w:val="24"/>
                <w:lang w:eastAsia="zh-CN"/>
              </w:rPr>
              <w:t>检验室仅进行血常规检验，使用试剂无含铬重金属、氰化物，强酸碱。检验室废水经过中和预处理后进入院内污水处理站处理，扩建后全院检验用水量约为</w:t>
            </w:r>
            <w:r>
              <w:rPr>
                <w:rFonts w:hint="eastAsia" w:ascii="Times New Roman" w:hAnsi="Times New Roman" w:eastAsia="宋体"/>
                <w:color w:val="000000"/>
                <w:sz w:val="24"/>
                <w:lang w:val="en-US" w:eastAsia="zh-CN"/>
              </w:rPr>
              <w:t>0.01m</w:t>
            </w:r>
            <w:r>
              <w:rPr>
                <w:rFonts w:hint="eastAsia" w:ascii="Times New Roman" w:hAnsi="Times New Roman" w:eastAsia="宋体"/>
                <w:color w:val="000000"/>
                <w:sz w:val="24"/>
                <w:vertAlign w:val="superscript"/>
                <w:lang w:val="en-US" w:eastAsia="zh-CN"/>
              </w:rPr>
              <w:t>3</w:t>
            </w:r>
            <w:r>
              <w:rPr>
                <w:rFonts w:hint="eastAsia" w:ascii="Times New Roman" w:hAnsi="Times New Roman" w:eastAsia="宋体"/>
                <w:color w:val="000000"/>
                <w:sz w:val="24"/>
                <w:lang w:val="en-US" w:eastAsia="zh-CN"/>
              </w:rPr>
              <w:t>/d，产污系数以80%计，废水量为0.008m</w:t>
            </w:r>
            <w:r>
              <w:rPr>
                <w:rFonts w:hint="eastAsia" w:ascii="Times New Roman" w:hAnsi="Times New Roman" w:eastAsia="宋体"/>
                <w:color w:val="000000"/>
                <w:sz w:val="24"/>
                <w:vertAlign w:val="superscript"/>
                <w:lang w:val="en-US" w:eastAsia="zh-CN"/>
              </w:rPr>
              <w:t>3</w:t>
            </w:r>
            <w:r>
              <w:rPr>
                <w:rFonts w:hint="eastAsia" w:ascii="Times New Roman" w:hAnsi="Times New Roman" w:eastAsia="宋体"/>
                <w:color w:val="000000"/>
                <w:sz w:val="24"/>
                <w:lang w:val="en-US" w:eastAsia="zh-CN"/>
              </w:rPr>
              <w:t>/d。</w:t>
            </w:r>
          </w:p>
          <w:p>
            <w:pPr>
              <w:adjustRightInd w:val="0"/>
              <w:snapToGrid w:val="0"/>
              <w:spacing w:line="360" w:lineRule="auto"/>
              <w:ind w:firstLine="482" w:firstLineChars="200"/>
              <w:rPr>
                <w:rFonts w:hint="default" w:ascii="Times New Roman" w:hAnsi="Times New Roman" w:eastAsia="宋体"/>
                <w:color w:val="000000"/>
                <w:sz w:val="24"/>
                <w:lang w:val="en-US" w:eastAsia="zh-CN"/>
              </w:rPr>
            </w:pPr>
            <w:r>
              <w:rPr>
                <w:rFonts w:hint="eastAsia" w:ascii="Times New Roman" w:hAnsi="Times New Roman" w:eastAsia="宋体"/>
                <w:b/>
                <w:bCs/>
                <w:color w:val="000000"/>
                <w:sz w:val="24"/>
                <w:lang w:eastAsia="zh-CN"/>
              </w:rPr>
              <w:t>浆洗用水</w:t>
            </w:r>
            <w:r>
              <w:rPr>
                <w:rFonts w:hint="eastAsia" w:ascii="Times New Roman" w:hAnsi="Times New Roman" w:eastAsia="宋体"/>
                <w:color w:val="000000"/>
                <w:sz w:val="24"/>
                <w:lang w:eastAsia="zh-CN"/>
              </w:rPr>
              <w:t>：本项目依托现有医院洗衣房，扩建床位</w:t>
            </w:r>
            <w:r>
              <w:rPr>
                <w:rFonts w:hint="eastAsia" w:ascii="Times New Roman" w:hAnsi="Times New Roman" w:eastAsia="宋体"/>
                <w:color w:val="000000"/>
                <w:sz w:val="24"/>
                <w:lang w:val="en-US" w:eastAsia="zh-CN"/>
              </w:rPr>
              <w:t>110张，根据《医院管理学 医院建筑分册》医院洗衣量一般为2kg/床·d，本项目新增洗衣量为220kg，根据《建筑给水排水设计规范》（GB50015-2019）洗衣房用水量取40L/kg，因此本项目新增浆洗用水量8.8m</w:t>
            </w:r>
            <w:r>
              <w:rPr>
                <w:rFonts w:hint="eastAsia" w:ascii="Times New Roman" w:hAnsi="Times New Roman" w:eastAsia="宋体"/>
                <w:color w:val="000000"/>
                <w:sz w:val="24"/>
                <w:vertAlign w:val="superscript"/>
                <w:lang w:val="en-US" w:eastAsia="zh-CN"/>
              </w:rPr>
              <w:t>3</w:t>
            </w:r>
            <w:r>
              <w:rPr>
                <w:rFonts w:hint="eastAsia" w:ascii="Times New Roman" w:hAnsi="Times New Roman" w:eastAsia="宋体"/>
                <w:color w:val="000000"/>
                <w:sz w:val="24"/>
                <w:lang w:val="en-US" w:eastAsia="zh-CN"/>
              </w:rPr>
              <w:t>/d，产污系数以80%计，本项目浆洗废水量7.04m</w:t>
            </w:r>
            <w:r>
              <w:rPr>
                <w:rFonts w:hint="eastAsia" w:ascii="Times New Roman" w:hAnsi="Times New Roman" w:eastAsia="宋体"/>
                <w:color w:val="000000"/>
                <w:sz w:val="24"/>
                <w:vertAlign w:val="superscript"/>
                <w:lang w:val="en-US" w:eastAsia="zh-CN"/>
              </w:rPr>
              <w:t>3</w:t>
            </w:r>
            <w:r>
              <w:rPr>
                <w:rFonts w:hint="eastAsia" w:ascii="Times New Roman" w:hAnsi="Times New Roman" w:eastAsia="宋体"/>
                <w:color w:val="000000"/>
                <w:sz w:val="24"/>
                <w:lang w:val="en-US" w:eastAsia="zh-CN"/>
              </w:rPr>
              <w:t>/d。扩建后全院浆洗用水量为14.4m</w:t>
            </w:r>
            <w:r>
              <w:rPr>
                <w:rFonts w:hint="eastAsia" w:ascii="Times New Roman" w:hAnsi="Times New Roman" w:eastAsia="宋体"/>
                <w:color w:val="000000"/>
                <w:sz w:val="24"/>
                <w:vertAlign w:val="superscript"/>
                <w:lang w:val="en-US" w:eastAsia="zh-CN"/>
              </w:rPr>
              <w:t>3</w:t>
            </w:r>
            <w:r>
              <w:rPr>
                <w:rFonts w:hint="eastAsia" w:ascii="Times New Roman" w:hAnsi="Times New Roman" w:eastAsia="宋体"/>
                <w:color w:val="000000"/>
                <w:sz w:val="24"/>
                <w:lang w:val="en-US" w:eastAsia="zh-CN"/>
              </w:rPr>
              <w:t>/d，浆洗废水量为11.52m</w:t>
            </w:r>
            <w:r>
              <w:rPr>
                <w:rFonts w:hint="eastAsia" w:ascii="Times New Roman" w:hAnsi="Times New Roman" w:eastAsia="宋体"/>
                <w:color w:val="000000"/>
                <w:sz w:val="24"/>
                <w:vertAlign w:val="superscript"/>
                <w:lang w:val="en-US" w:eastAsia="zh-CN"/>
              </w:rPr>
              <w:t>3</w:t>
            </w:r>
            <w:r>
              <w:rPr>
                <w:rFonts w:hint="eastAsia" w:ascii="Times New Roman" w:hAnsi="Times New Roman" w:eastAsia="宋体"/>
                <w:color w:val="000000"/>
                <w:sz w:val="24"/>
                <w:lang w:val="en-US" w:eastAsia="zh-CN"/>
              </w:rPr>
              <w:t>/d。</w:t>
            </w:r>
          </w:p>
          <w:p>
            <w:pPr>
              <w:adjustRightInd w:val="0"/>
              <w:snapToGrid w:val="0"/>
              <w:spacing w:line="360" w:lineRule="auto"/>
              <w:ind w:firstLine="482" w:firstLineChars="200"/>
              <w:rPr>
                <w:rFonts w:hint="default" w:ascii="Times New Roman" w:hAnsi="Times New Roman" w:eastAsia="宋体"/>
                <w:color w:val="000000"/>
                <w:sz w:val="24"/>
                <w:lang w:val="en-US" w:eastAsia="zh-CN"/>
              </w:rPr>
            </w:pPr>
            <w:r>
              <w:rPr>
                <w:rFonts w:hint="eastAsia" w:ascii="Times New Roman" w:hAnsi="Times New Roman" w:eastAsia="宋体"/>
                <w:b/>
                <w:bCs/>
                <w:color w:val="000000"/>
                <w:sz w:val="24"/>
                <w:lang w:val="en-US" w:eastAsia="zh-CN"/>
              </w:rPr>
              <w:t>食堂用水</w:t>
            </w:r>
            <w:r>
              <w:rPr>
                <w:rFonts w:hint="eastAsia" w:ascii="Times New Roman" w:hAnsi="Times New Roman" w:eastAsia="宋体"/>
                <w:color w:val="000000"/>
                <w:sz w:val="24"/>
                <w:lang w:val="en-US" w:eastAsia="zh-CN"/>
              </w:rPr>
              <w:t>：本项目依托现有医院厨房，为医院职工和和住院病人提供就餐，会产生食堂废水。根据设计，本次新增就餐人数为162人，根据</w:t>
            </w:r>
            <w:r>
              <w:rPr>
                <w:rFonts w:hint="eastAsia" w:ascii="Times New Roman" w:hAnsi="Times New Roman" w:eastAsia="宋体"/>
                <w:color w:val="000000"/>
                <w:sz w:val="24"/>
                <w:lang w:val="en" w:eastAsia="zh-CN"/>
              </w:rPr>
              <w:t>《医院给排水设计规范》中食堂用水定额为</w:t>
            </w:r>
            <w:r>
              <w:rPr>
                <w:rFonts w:hint="eastAsia" w:ascii="Times New Roman" w:hAnsi="Times New Roman" w:eastAsia="宋体"/>
                <w:color w:val="000000"/>
                <w:sz w:val="24"/>
                <w:lang w:val="en-US" w:eastAsia="zh-CN"/>
              </w:rPr>
              <w:t>10～20L/人·次，本次评价取20L/人·次，经计算，本项目食堂用水新增用水量为3.24m</w:t>
            </w:r>
            <w:r>
              <w:rPr>
                <w:rFonts w:hint="eastAsia" w:ascii="Times New Roman" w:hAnsi="Times New Roman" w:eastAsia="宋体"/>
                <w:color w:val="000000"/>
                <w:sz w:val="24"/>
                <w:vertAlign w:val="superscript"/>
                <w:lang w:val="en-US" w:eastAsia="zh-CN"/>
              </w:rPr>
              <w:t>3</w:t>
            </w:r>
            <w:r>
              <w:rPr>
                <w:rFonts w:hint="eastAsia" w:ascii="Times New Roman" w:hAnsi="Times New Roman" w:eastAsia="宋体"/>
                <w:color w:val="000000"/>
                <w:sz w:val="24"/>
                <w:lang w:val="en-US" w:eastAsia="zh-CN"/>
              </w:rPr>
              <w:t>/d，产污系数以80%计，项目食堂废水产生量为2.592m</w:t>
            </w:r>
            <w:r>
              <w:rPr>
                <w:rFonts w:hint="eastAsia" w:ascii="Times New Roman" w:hAnsi="Times New Roman" w:eastAsia="宋体"/>
                <w:color w:val="000000"/>
                <w:sz w:val="24"/>
                <w:vertAlign w:val="superscript"/>
                <w:lang w:val="en-US" w:eastAsia="zh-CN"/>
              </w:rPr>
              <w:t>3</w:t>
            </w:r>
            <w:r>
              <w:rPr>
                <w:rFonts w:hint="eastAsia" w:ascii="Times New Roman" w:hAnsi="Times New Roman" w:eastAsia="宋体"/>
                <w:color w:val="000000"/>
                <w:sz w:val="24"/>
                <w:lang w:val="en-US" w:eastAsia="zh-CN"/>
              </w:rPr>
              <w:t>/d，主要污染物为悬浮物、动植物油，经过隔油池、化粪池预处理后，进入医院现有污水处理站处理后排入市政污水管网。扩建后全院厨房用水量为5.24m</w:t>
            </w:r>
            <w:r>
              <w:rPr>
                <w:rFonts w:hint="eastAsia" w:ascii="Times New Roman" w:hAnsi="Times New Roman" w:eastAsia="宋体"/>
                <w:color w:val="000000"/>
                <w:sz w:val="24"/>
                <w:vertAlign w:val="superscript"/>
                <w:lang w:val="en-US" w:eastAsia="zh-CN"/>
              </w:rPr>
              <w:t>3</w:t>
            </w:r>
            <w:r>
              <w:rPr>
                <w:rFonts w:hint="eastAsia" w:ascii="Times New Roman" w:hAnsi="Times New Roman" w:eastAsia="宋体"/>
                <w:color w:val="000000"/>
                <w:sz w:val="24"/>
                <w:lang w:val="en-US" w:eastAsia="zh-CN"/>
              </w:rPr>
              <w:t>/d，食堂废水产生量为4.192m</w:t>
            </w:r>
            <w:r>
              <w:rPr>
                <w:rFonts w:hint="eastAsia" w:ascii="Times New Roman" w:hAnsi="Times New Roman" w:eastAsia="宋体"/>
                <w:color w:val="000000"/>
                <w:sz w:val="24"/>
                <w:vertAlign w:val="superscript"/>
                <w:lang w:val="en-US" w:eastAsia="zh-CN"/>
              </w:rPr>
              <w:t>3</w:t>
            </w:r>
            <w:r>
              <w:rPr>
                <w:rFonts w:hint="eastAsia" w:ascii="Times New Roman" w:hAnsi="Times New Roman" w:eastAsia="宋体"/>
                <w:color w:val="000000"/>
                <w:sz w:val="24"/>
                <w:lang w:val="en-US" w:eastAsia="zh-CN"/>
              </w:rPr>
              <w:t>/d。</w:t>
            </w:r>
          </w:p>
          <w:p>
            <w:pPr>
              <w:adjustRightInd w:val="0"/>
              <w:snapToGrid w:val="0"/>
              <w:spacing w:line="360" w:lineRule="auto"/>
              <w:ind w:firstLine="482" w:firstLineChars="200"/>
              <w:rPr>
                <w:rFonts w:hint="default" w:ascii="Times New Roman" w:hAnsi="Times New Roman" w:eastAsia="宋体"/>
                <w:color w:val="000000"/>
                <w:sz w:val="24"/>
                <w:lang w:val="en-US" w:eastAsia="zh-CN"/>
              </w:rPr>
            </w:pPr>
            <w:r>
              <w:rPr>
                <w:rFonts w:hint="eastAsia" w:ascii="Times New Roman" w:hAnsi="Times New Roman" w:eastAsia="宋体"/>
                <w:b/>
                <w:bCs/>
                <w:color w:val="000000"/>
                <w:sz w:val="24"/>
                <w:lang w:val="en-US" w:eastAsia="zh-CN"/>
              </w:rPr>
              <w:t>绿化用水</w:t>
            </w:r>
            <w:r>
              <w:rPr>
                <w:rFonts w:hint="eastAsia" w:ascii="Times New Roman" w:hAnsi="Times New Roman" w:eastAsia="宋体"/>
                <w:color w:val="000000"/>
                <w:sz w:val="24"/>
                <w:lang w:val="en-US" w:eastAsia="zh-CN"/>
              </w:rPr>
              <w:t>：项目绿地面积50m</w:t>
            </w:r>
            <w:r>
              <w:rPr>
                <w:rFonts w:hint="eastAsia" w:ascii="Times New Roman" w:hAnsi="Times New Roman" w:eastAsia="宋体"/>
                <w:color w:val="000000"/>
                <w:sz w:val="24"/>
                <w:vertAlign w:val="superscript"/>
                <w:lang w:val="en-US" w:eastAsia="zh-CN"/>
              </w:rPr>
              <w:t>2</w:t>
            </w:r>
            <w:r>
              <w:rPr>
                <w:rFonts w:hint="eastAsia" w:ascii="Times New Roman" w:hAnsi="Times New Roman" w:eastAsia="宋体"/>
                <w:color w:val="000000"/>
                <w:sz w:val="24"/>
                <w:lang w:val="en-US" w:eastAsia="zh-CN"/>
              </w:rPr>
              <w:t>，参考《四川省用水定额》（川府函〔2021〕8号）中用水定额，绿化用水定额为0.77m</w:t>
            </w:r>
            <w:r>
              <w:rPr>
                <w:rFonts w:hint="eastAsia" w:ascii="Times New Roman" w:hAnsi="Times New Roman" w:eastAsia="宋体"/>
                <w:color w:val="000000"/>
                <w:sz w:val="24"/>
                <w:vertAlign w:val="superscript"/>
                <w:lang w:val="en-US" w:eastAsia="zh-CN"/>
              </w:rPr>
              <w:t>3</w:t>
            </w:r>
            <w:r>
              <w:rPr>
                <w:rFonts w:hint="eastAsia" w:ascii="Times New Roman" w:hAnsi="Times New Roman" w:eastAsia="宋体"/>
                <w:color w:val="000000"/>
                <w:sz w:val="24"/>
                <w:lang w:val="en-US" w:eastAsia="zh-CN"/>
              </w:rPr>
              <w:t>/(m</w:t>
            </w:r>
            <w:r>
              <w:rPr>
                <w:rFonts w:hint="eastAsia" w:ascii="Times New Roman" w:hAnsi="Times New Roman" w:eastAsia="宋体"/>
                <w:color w:val="000000"/>
                <w:sz w:val="24"/>
                <w:vertAlign w:val="superscript"/>
                <w:lang w:val="en-US" w:eastAsia="zh-CN"/>
              </w:rPr>
              <w:t>2</w:t>
            </w:r>
            <w:r>
              <w:rPr>
                <w:rFonts w:hint="eastAsia" w:ascii="Times New Roman" w:hAnsi="Times New Roman" w:eastAsia="宋体"/>
                <w:color w:val="000000"/>
                <w:sz w:val="24"/>
                <w:lang w:val="en-US" w:eastAsia="zh-CN"/>
              </w:rPr>
              <w:t>·a)，则绿化用水量为0.01m</w:t>
            </w:r>
            <w:r>
              <w:rPr>
                <w:rFonts w:hint="eastAsia" w:ascii="Times New Roman" w:hAnsi="Times New Roman" w:eastAsia="宋体"/>
                <w:color w:val="000000"/>
                <w:sz w:val="24"/>
                <w:vertAlign w:val="superscript"/>
                <w:lang w:val="en-US" w:eastAsia="zh-CN"/>
              </w:rPr>
              <w:t>3</w:t>
            </w:r>
            <w:r>
              <w:rPr>
                <w:rFonts w:hint="eastAsia" w:ascii="Times New Roman" w:hAnsi="Times New Roman" w:eastAsia="宋体"/>
                <w:color w:val="000000"/>
                <w:sz w:val="24"/>
                <w:lang w:val="en-US" w:eastAsia="zh-CN"/>
              </w:rPr>
              <w:t>/d；蒸发损耗。</w:t>
            </w:r>
          </w:p>
          <w:p>
            <w:pPr>
              <w:adjustRightInd w:val="0"/>
              <w:snapToGrid w:val="0"/>
              <w:spacing w:line="360" w:lineRule="auto"/>
              <w:ind w:firstLine="482" w:firstLineChars="200"/>
              <w:rPr>
                <w:rFonts w:hint="default" w:ascii="Times New Roman" w:hAnsi="Times New Roman" w:eastAsia="宋体"/>
                <w:color w:val="000000"/>
                <w:sz w:val="24"/>
                <w:lang w:val="en-US"/>
              </w:rPr>
            </w:pPr>
            <w:r>
              <w:rPr>
                <w:rFonts w:hint="default" w:ascii="Times New Roman" w:hAnsi="Times New Roman" w:eastAsia="宋体"/>
                <w:b/>
                <w:bCs/>
                <w:color w:val="000000"/>
                <w:sz w:val="24"/>
                <w:lang w:val="en-US"/>
              </w:rPr>
              <w:t>未预见用水</w:t>
            </w:r>
            <w:r>
              <w:rPr>
                <w:rFonts w:hint="default" w:ascii="Times New Roman" w:hAnsi="Times New Roman" w:eastAsia="宋体"/>
                <w:color w:val="000000"/>
                <w:sz w:val="24"/>
                <w:lang w:val="en-US"/>
              </w:rPr>
              <w:t>：未预见用水按上述总用水量的5%计，则未预见用水量为</w:t>
            </w:r>
            <w:r>
              <w:rPr>
                <w:rFonts w:hint="eastAsia" w:ascii="Times New Roman" w:hAnsi="Times New Roman" w:eastAsia="宋体"/>
                <w:color w:val="000000"/>
                <w:sz w:val="24"/>
                <w:lang w:val="en-US" w:eastAsia="zh-CN"/>
              </w:rPr>
              <w:t>2.9905</w:t>
            </w:r>
            <w:r>
              <w:rPr>
                <w:rFonts w:hint="default" w:ascii="Times New Roman" w:hAnsi="Times New Roman" w:eastAsia="宋体"/>
                <w:color w:val="000000"/>
                <w:sz w:val="24"/>
                <w:lang w:val="en-US"/>
              </w:rPr>
              <w:t>m</w:t>
            </w:r>
            <w:r>
              <w:rPr>
                <w:rFonts w:hint="default" w:ascii="Times New Roman" w:hAnsi="Times New Roman" w:eastAsia="宋体"/>
                <w:color w:val="000000"/>
                <w:sz w:val="24"/>
                <w:vertAlign w:val="superscript"/>
                <w:lang w:val="en-US"/>
              </w:rPr>
              <w:t>3</w:t>
            </w:r>
            <w:r>
              <w:rPr>
                <w:rFonts w:hint="default" w:ascii="Times New Roman" w:hAnsi="Times New Roman" w:eastAsia="宋体"/>
                <w:color w:val="000000"/>
                <w:sz w:val="24"/>
                <w:lang w:val="en-US"/>
              </w:rPr>
              <w:t>/d，全部蒸发损耗。</w:t>
            </w:r>
          </w:p>
          <w:p>
            <w:pPr>
              <w:adjustRightInd w:val="0"/>
              <w:snapToGrid w:val="0"/>
              <w:spacing w:line="360" w:lineRule="auto"/>
              <w:ind w:firstLine="480" w:firstLineChars="200"/>
              <w:rPr>
                <w:rFonts w:hint="default" w:ascii="Times New Roman" w:hAnsi="Times New Roman" w:eastAsia="宋体"/>
                <w:color w:val="000000"/>
                <w:sz w:val="24"/>
                <w:lang w:val="en-US"/>
              </w:rPr>
            </w:pPr>
            <w:r>
              <w:rPr>
                <w:rFonts w:hint="default" w:ascii="Times New Roman" w:hAnsi="Times New Roman" w:eastAsia="宋体"/>
                <w:color w:val="000000"/>
                <w:sz w:val="24"/>
                <w:lang w:val="en-US"/>
              </w:rPr>
              <w:t>经估算，本项目新增总用水量约为</w:t>
            </w:r>
            <w:r>
              <w:rPr>
                <w:rFonts w:hint="eastAsia" w:ascii="Times New Roman" w:hAnsi="Times New Roman" w:eastAsia="宋体"/>
                <w:color w:val="000000"/>
                <w:sz w:val="24"/>
                <w:lang w:val="en-US" w:eastAsia="zh-CN"/>
              </w:rPr>
              <w:t>36.64</w:t>
            </w:r>
            <w:r>
              <w:rPr>
                <w:rFonts w:hint="default" w:ascii="Times New Roman" w:hAnsi="Times New Roman" w:eastAsia="宋体"/>
                <w:color w:val="000000"/>
                <w:sz w:val="24"/>
                <w:lang w:val="en-US"/>
              </w:rPr>
              <w:t>m</w:t>
            </w:r>
            <w:r>
              <w:rPr>
                <w:rFonts w:hint="default" w:ascii="Times New Roman" w:hAnsi="Times New Roman" w:eastAsia="宋体"/>
                <w:color w:val="000000"/>
                <w:sz w:val="24"/>
                <w:vertAlign w:val="superscript"/>
                <w:lang w:val="en-US"/>
              </w:rPr>
              <w:t>3</w:t>
            </w:r>
            <w:r>
              <w:rPr>
                <w:rFonts w:hint="default" w:ascii="Times New Roman" w:hAnsi="Times New Roman" w:eastAsia="宋体"/>
                <w:color w:val="000000"/>
                <w:sz w:val="24"/>
                <w:lang w:val="en-US"/>
              </w:rPr>
              <w:t>/d，新增排水量约</w:t>
            </w:r>
            <w:r>
              <w:rPr>
                <w:rFonts w:hint="eastAsia" w:ascii="Times New Roman" w:hAnsi="Times New Roman" w:eastAsia="宋体"/>
                <w:color w:val="000000"/>
                <w:sz w:val="24"/>
                <w:lang w:val="en-US" w:eastAsia="zh-CN"/>
              </w:rPr>
              <w:t>29.312</w:t>
            </w:r>
            <w:r>
              <w:rPr>
                <w:rFonts w:hint="default" w:ascii="Times New Roman" w:hAnsi="Times New Roman" w:eastAsia="宋体"/>
                <w:color w:val="000000"/>
                <w:sz w:val="24"/>
                <w:lang w:val="en-US"/>
              </w:rPr>
              <w:t>m</w:t>
            </w:r>
            <w:r>
              <w:rPr>
                <w:rFonts w:hint="default" w:ascii="Times New Roman" w:hAnsi="Times New Roman" w:eastAsia="宋体"/>
                <w:color w:val="000000"/>
                <w:sz w:val="24"/>
                <w:vertAlign w:val="superscript"/>
                <w:lang w:val="en-US"/>
              </w:rPr>
              <w:t>3</w:t>
            </w:r>
            <w:r>
              <w:rPr>
                <w:rFonts w:hint="default" w:ascii="Times New Roman" w:hAnsi="Times New Roman" w:eastAsia="宋体"/>
                <w:color w:val="000000"/>
                <w:sz w:val="24"/>
                <w:lang w:val="en-US"/>
              </w:rPr>
              <w:t>/d。</w:t>
            </w:r>
          </w:p>
          <w:p>
            <w:pPr>
              <w:autoSpaceDE w:val="0"/>
              <w:autoSpaceDN w:val="0"/>
              <w:adjustRightInd w:val="0"/>
              <w:snapToGrid w:val="0"/>
              <w:jc w:val="center"/>
              <w:rPr>
                <w:b/>
                <w:bCs/>
                <w:kern w:val="0"/>
                <w:szCs w:val="21"/>
              </w:rPr>
            </w:pPr>
            <w:r>
              <w:rPr>
                <w:b/>
                <w:bCs/>
                <w:kern w:val="0"/>
                <w:szCs w:val="21"/>
              </w:rPr>
              <w:t>表2-</w:t>
            </w:r>
            <w:r>
              <w:rPr>
                <w:rFonts w:hint="eastAsia"/>
                <w:b/>
                <w:bCs/>
                <w:kern w:val="0"/>
                <w:szCs w:val="21"/>
                <w:lang w:val="en-US" w:eastAsia="zh-CN"/>
              </w:rPr>
              <w:t>11</w:t>
            </w:r>
            <w:r>
              <w:rPr>
                <w:b/>
                <w:bCs/>
                <w:kern w:val="0"/>
                <w:szCs w:val="21"/>
              </w:rPr>
              <w:t xml:space="preserve">  本项目新增用水量估算一览表  单位：m</w:t>
            </w:r>
            <w:r>
              <w:rPr>
                <w:b/>
                <w:bCs/>
                <w:kern w:val="0"/>
                <w:szCs w:val="21"/>
                <w:vertAlign w:val="superscript"/>
              </w:rPr>
              <w:t>3</w:t>
            </w:r>
            <w:r>
              <w:rPr>
                <w:b/>
                <w:bCs/>
                <w:kern w:val="0"/>
                <w:szCs w:val="21"/>
              </w:rPr>
              <w:t>/d</w:t>
            </w:r>
          </w:p>
          <w:tbl>
            <w:tblPr>
              <w:tblStyle w:val="41"/>
              <w:tblW w:w="8056"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89"/>
              <w:gridCol w:w="2018"/>
              <w:gridCol w:w="1076"/>
              <w:gridCol w:w="1482"/>
              <w:gridCol w:w="1287"/>
              <w:gridCol w:w="1504"/>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27" w:type="pct"/>
                  <w:tcBorders>
                    <w:tl2br w:val="nil"/>
                    <w:tr2bl w:val="nil"/>
                  </w:tcBorders>
                  <w:noWrap w:val="0"/>
                  <w:vAlign w:val="center"/>
                </w:tcPr>
                <w:p>
                  <w:pPr>
                    <w:pStyle w:val="285"/>
                    <w:spacing w:line="240" w:lineRule="auto"/>
                    <w:jc w:val="center"/>
                    <w:rPr>
                      <w:rFonts w:ascii="Times New Roman" w:hAnsi="Times New Roman" w:cs="Times New Roman"/>
                      <w:b/>
                      <w:sz w:val="21"/>
                      <w:szCs w:val="21"/>
                    </w:rPr>
                  </w:pPr>
                  <w:r>
                    <w:rPr>
                      <w:rFonts w:ascii="Times New Roman" w:hAnsi="Times New Roman" w:cs="Times New Roman"/>
                      <w:b/>
                      <w:sz w:val="21"/>
                      <w:szCs w:val="21"/>
                    </w:rPr>
                    <w:t>序号</w:t>
                  </w:r>
                </w:p>
              </w:tc>
              <w:tc>
                <w:tcPr>
                  <w:tcW w:w="1252" w:type="pct"/>
                  <w:tcBorders>
                    <w:tl2br w:val="nil"/>
                    <w:tr2bl w:val="nil"/>
                  </w:tcBorders>
                  <w:noWrap w:val="0"/>
                  <w:vAlign w:val="center"/>
                </w:tcPr>
                <w:p>
                  <w:pPr>
                    <w:pStyle w:val="285"/>
                    <w:spacing w:line="240" w:lineRule="auto"/>
                    <w:jc w:val="center"/>
                    <w:rPr>
                      <w:rFonts w:ascii="Times New Roman" w:hAnsi="Times New Roman" w:cs="Times New Roman"/>
                      <w:b/>
                      <w:sz w:val="21"/>
                      <w:szCs w:val="21"/>
                    </w:rPr>
                  </w:pPr>
                  <w:r>
                    <w:rPr>
                      <w:rFonts w:ascii="Times New Roman" w:hAnsi="Times New Roman" w:cs="Times New Roman"/>
                      <w:b/>
                      <w:sz w:val="21"/>
                      <w:szCs w:val="21"/>
                    </w:rPr>
                    <w:t>用水性质</w:t>
                  </w:r>
                </w:p>
              </w:tc>
              <w:tc>
                <w:tcPr>
                  <w:tcW w:w="667" w:type="pct"/>
                  <w:tcBorders>
                    <w:tl2br w:val="nil"/>
                    <w:tr2bl w:val="nil"/>
                  </w:tcBorders>
                  <w:noWrap w:val="0"/>
                  <w:vAlign w:val="center"/>
                </w:tcPr>
                <w:p>
                  <w:pPr>
                    <w:pStyle w:val="285"/>
                    <w:spacing w:line="240" w:lineRule="auto"/>
                    <w:jc w:val="center"/>
                    <w:rPr>
                      <w:rFonts w:ascii="Times New Roman" w:hAnsi="Times New Roman" w:cs="Times New Roman"/>
                      <w:b/>
                      <w:sz w:val="21"/>
                      <w:szCs w:val="21"/>
                    </w:rPr>
                  </w:pPr>
                  <w:r>
                    <w:rPr>
                      <w:rFonts w:ascii="Times New Roman" w:hAnsi="Times New Roman" w:cs="Times New Roman"/>
                      <w:b/>
                      <w:sz w:val="21"/>
                      <w:szCs w:val="21"/>
                    </w:rPr>
                    <w:t>规模</w:t>
                  </w:r>
                </w:p>
              </w:tc>
              <w:tc>
                <w:tcPr>
                  <w:tcW w:w="919" w:type="pct"/>
                  <w:tcBorders>
                    <w:tl2br w:val="nil"/>
                    <w:tr2bl w:val="nil"/>
                  </w:tcBorders>
                  <w:noWrap w:val="0"/>
                  <w:vAlign w:val="center"/>
                </w:tcPr>
                <w:p>
                  <w:pPr>
                    <w:pStyle w:val="285"/>
                    <w:spacing w:line="240" w:lineRule="auto"/>
                    <w:jc w:val="center"/>
                    <w:rPr>
                      <w:rFonts w:ascii="Times New Roman" w:hAnsi="Times New Roman" w:cs="Times New Roman"/>
                      <w:b/>
                      <w:sz w:val="21"/>
                      <w:szCs w:val="21"/>
                    </w:rPr>
                  </w:pPr>
                  <w:r>
                    <w:rPr>
                      <w:rFonts w:ascii="Times New Roman" w:hAnsi="Times New Roman" w:cs="Times New Roman"/>
                      <w:b/>
                      <w:sz w:val="21"/>
                      <w:szCs w:val="21"/>
                    </w:rPr>
                    <w:t>用水定额</w:t>
                  </w:r>
                </w:p>
              </w:tc>
              <w:tc>
                <w:tcPr>
                  <w:tcW w:w="798" w:type="pct"/>
                  <w:tcBorders>
                    <w:tl2br w:val="nil"/>
                    <w:tr2bl w:val="nil"/>
                  </w:tcBorders>
                  <w:noWrap w:val="0"/>
                  <w:vAlign w:val="center"/>
                </w:tcPr>
                <w:p>
                  <w:pPr>
                    <w:pStyle w:val="285"/>
                    <w:spacing w:line="240" w:lineRule="auto"/>
                    <w:jc w:val="center"/>
                    <w:rPr>
                      <w:rFonts w:ascii="Times New Roman" w:hAnsi="Times New Roman" w:cs="Times New Roman"/>
                      <w:b/>
                      <w:sz w:val="21"/>
                      <w:szCs w:val="21"/>
                    </w:rPr>
                  </w:pPr>
                  <w:r>
                    <w:rPr>
                      <w:rFonts w:ascii="Times New Roman" w:hAnsi="Times New Roman" w:cs="Times New Roman"/>
                      <w:b/>
                      <w:sz w:val="21"/>
                      <w:szCs w:val="21"/>
                    </w:rPr>
                    <w:t>用水量</w:t>
                  </w:r>
                </w:p>
              </w:tc>
              <w:tc>
                <w:tcPr>
                  <w:tcW w:w="933" w:type="pct"/>
                  <w:tcBorders>
                    <w:tl2br w:val="nil"/>
                    <w:tr2bl w:val="nil"/>
                  </w:tcBorders>
                  <w:noWrap w:val="0"/>
                  <w:vAlign w:val="center"/>
                </w:tcPr>
                <w:p>
                  <w:pPr>
                    <w:pStyle w:val="285"/>
                    <w:spacing w:line="240" w:lineRule="auto"/>
                    <w:jc w:val="center"/>
                    <w:rPr>
                      <w:rFonts w:ascii="Times New Roman" w:hAnsi="Times New Roman" w:cs="Times New Roman"/>
                      <w:b/>
                      <w:sz w:val="21"/>
                      <w:szCs w:val="21"/>
                    </w:rPr>
                  </w:pPr>
                  <w:r>
                    <w:rPr>
                      <w:rFonts w:ascii="Times New Roman" w:hAnsi="Times New Roman" w:cs="Times New Roman"/>
                      <w:b/>
                      <w:sz w:val="21"/>
                      <w:szCs w:val="21"/>
                    </w:rPr>
                    <w:t>排水量</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27" w:type="pct"/>
                  <w:tcBorders>
                    <w:tl2br w:val="nil"/>
                    <w:tr2bl w:val="nil"/>
                  </w:tcBorders>
                  <w:noWrap w:val="0"/>
                  <w:vAlign w:val="center"/>
                </w:tcPr>
                <w:p>
                  <w:pPr>
                    <w:pStyle w:val="15"/>
                    <w:spacing w:after="0" w:line="240" w:lineRule="auto"/>
                    <w:jc w:val="center"/>
                    <w:rPr>
                      <w:bCs/>
                      <w:sz w:val="21"/>
                      <w:szCs w:val="21"/>
                    </w:rPr>
                  </w:pPr>
                  <w:r>
                    <w:rPr>
                      <w:bCs/>
                      <w:sz w:val="21"/>
                      <w:szCs w:val="21"/>
                    </w:rPr>
                    <w:t>1</w:t>
                  </w:r>
                </w:p>
              </w:tc>
              <w:tc>
                <w:tcPr>
                  <w:tcW w:w="1252" w:type="pct"/>
                  <w:tcBorders>
                    <w:tl2br w:val="nil"/>
                    <w:tr2bl w:val="nil"/>
                  </w:tcBorders>
                  <w:noWrap w:val="0"/>
                  <w:vAlign w:val="center"/>
                </w:tcPr>
                <w:p>
                  <w:pPr>
                    <w:pStyle w:val="15"/>
                    <w:spacing w:after="0" w:line="240" w:lineRule="auto"/>
                    <w:jc w:val="center"/>
                    <w:rPr>
                      <w:bCs/>
                      <w:sz w:val="21"/>
                      <w:szCs w:val="21"/>
                    </w:rPr>
                  </w:pPr>
                  <w:r>
                    <w:rPr>
                      <w:bCs/>
                      <w:sz w:val="21"/>
                      <w:szCs w:val="21"/>
                    </w:rPr>
                    <w:t>住院病床用水</w:t>
                  </w:r>
                </w:p>
              </w:tc>
              <w:tc>
                <w:tcPr>
                  <w:tcW w:w="667" w:type="pct"/>
                  <w:tcBorders>
                    <w:tl2br w:val="nil"/>
                    <w:tr2bl w:val="nil"/>
                  </w:tcBorders>
                  <w:noWrap w:val="0"/>
                  <w:vAlign w:val="center"/>
                </w:tcPr>
                <w:p>
                  <w:pPr>
                    <w:pStyle w:val="15"/>
                    <w:spacing w:after="0" w:line="240" w:lineRule="auto"/>
                    <w:jc w:val="center"/>
                    <w:rPr>
                      <w:bCs/>
                      <w:sz w:val="21"/>
                      <w:szCs w:val="21"/>
                    </w:rPr>
                  </w:pPr>
                  <w:r>
                    <w:rPr>
                      <w:rFonts w:hint="eastAsia"/>
                      <w:bCs/>
                      <w:sz w:val="21"/>
                      <w:szCs w:val="21"/>
                      <w:lang w:val="en-US" w:eastAsia="zh-CN"/>
                    </w:rPr>
                    <w:t>110</w:t>
                  </w:r>
                  <w:r>
                    <w:rPr>
                      <w:bCs/>
                      <w:sz w:val="21"/>
                      <w:szCs w:val="21"/>
                    </w:rPr>
                    <w:t>床</w:t>
                  </w:r>
                </w:p>
              </w:tc>
              <w:tc>
                <w:tcPr>
                  <w:tcW w:w="919" w:type="pct"/>
                  <w:tcBorders>
                    <w:tl2br w:val="nil"/>
                    <w:tr2bl w:val="nil"/>
                  </w:tcBorders>
                  <w:noWrap w:val="0"/>
                  <w:vAlign w:val="center"/>
                </w:tcPr>
                <w:p>
                  <w:pPr>
                    <w:pStyle w:val="15"/>
                    <w:spacing w:after="0" w:line="240" w:lineRule="auto"/>
                    <w:jc w:val="center"/>
                    <w:rPr>
                      <w:bCs/>
                      <w:sz w:val="21"/>
                      <w:szCs w:val="21"/>
                    </w:rPr>
                  </w:pPr>
                  <w:r>
                    <w:rPr>
                      <w:rFonts w:hint="eastAsia"/>
                      <w:bCs/>
                      <w:sz w:val="21"/>
                      <w:szCs w:val="21"/>
                      <w:lang w:val="en-US" w:eastAsia="zh-CN"/>
                    </w:rPr>
                    <w:t>2</w:t>
                  </w:r>
                  <w:r>
                    <w:rPr>
                      <w:bCs/>
                      <w:sz w:val="21"/>
                      <w:szCs w:val="21"/>
                    </w:rPr>
                    <w:t>00L/床·d</w:t>
                  </w:r>
                </w:p>
              </w:tc>
              <w:tc>
                <w:tcPr>
                  <w:tcW w:w="798" w:type="pct"/>
                  <w:tcBorders>
                    <w:tl2br w:val="nil"/>
                    <w:tr2bl w:val="nil"/>
                  </w:tcBorders>
                  <w:noWrap w:val="0"/>
                  <w:vAlign w:val="center"/>
                </w:tcPr>
                <w:p>
                  <w:pPr>
                    <w:pStyle w:val="15"/>
                    <w:spacing w:after="0" w:line="240" w:lineRule="auto"/>
                    <w:jc w:val="center"/>
                    <w:rPr>
                      <w:rFonts w:hint="default" w:eastAsia="宋体"/>
                      <w:bCs/>
                      <w:sz w:val="21"/>
                      <w:szCs w:val="21"/>
                      <w:lang w:val="en-US" w:eastAsia="zh-CN"/>
                    </w:rPr>
                  </w:pPr>
                  <w:r>
                    <w:rPr>
                      <w:rFonts w:hint="eastAsia"/>
                      <w:bCs/>
                      <w:sz w:val="21"/>
                      <w:szCs w:val="21"/>
                      <w:lang w:val="en-US" w:eastAsia="zh-CN"/>
                    </w:rPr>
                    <w:t>22.0</w:t>
                  </w:r>
                </w:p>
              </w:tc>
              <w:tc>
                <w:tcPr>
                  <w:tcW w:w="933" w:type="pct"/>
                  <w:tcBorders>
                    <w:tl2br w:val="nil"/>
                    <w:tr2bl w:val="nil"/>
                  </w:tcBorders>
                  <w:noWrap w:val="0"/>
                  <w:vAlign w:val="center"/>
                </w:tcPr>
                <w:p>
                  <w:pPr>
                    <w:pStyle w:val="15"/>
                    <w:spacing w:after="0" w:line="240" w:lineRule="auto"/>
                    <w:jc w:val="center"/>
                    <w:rPr>
                      <w:rFonts w:hint="default" w:eastAsia="宋体"/>
                      <w:bCs/>
                      <w:sz w:val="21"/>
                      <w:szCs w:val="21"/>
                      <w:lang w:val="en-US" w:eastAsia="zh-CN"/>
                    </w:rPr>
                  </w:pPr>
                  <w:r>
                    <w:rPr>
                      <w:rFonts w:hint="eastAsia"/>
                      <w:bCs/>
                      <w:sz w:val="21"/>
                      <w:szCs w:val="21"/>
                      <w:lang w:val="en-US" w:eastAsia="zh-CN"/>
                    </w:rPr>
                    <w:t>17.6</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427" w:type="pct"/>
                  <w:tcBorders>
                    <w:tl2br w:val="nil"/>
                    <w:tr2bl w:val="nil"/>
                  </w:tcBorders>
                  <w:noWrap w:val="0"/>
                  <w:vAlign w:val="center"/>
                </w:tcPr>
                <w:p>
                  <w:pPr>
                    <w:pStyle w:val="15"/>
                    <w:spacing w:after="0" w:line="240" w:lineRule="auto"/>
                    <w:jc w:val="center"/>
                    <w:rPr>
                      <w:bCs/>
                      <w:sz w:val="21"/>
                      <w:szCs w:val="21"/>
                    </w:rPr>
                  </w:pPr>
                  <w:r>
                    <w:rPr>
                      <w:bCs/>
                      <w:sz w:val="21"/>
                      <w:szCs w:val="21"/>
                    </w:rPr>
                    <w:t>2</w:t>
                  </w:r>
                </w:p>
              </w:tc>
              <w:tc>
                <w:tcPr>
                  <w:tcW w:w="1252" w:type="pct"/>
                  <w:tcBorders>
                    <w:tl2br w:val="nil"/>
                    <w:tr2bl w:val="nil"/>
                  </w:tcBorders>
                  <w:noWrap w:val="0"/>
                  <w:vAlign w:val="center"/>
                </w:tcPr>
                <w:p>
                  <w:pPr>
                    <w:pStyle w:val="15"/>
                    <w:spacing w:after="0" w:line="240" w:lineRule="auto"/>
                    <w:jc w:val="center"/>
                    <w:rPr>
                      <w:bCs/>
                      <w:sz w:val="21"/>
                      <w:szCs w:val="21"/>
                    </w:rPr>
                  </w:pPr>
                  <w:r>
                    <w:rPr>
                      <w:bCs/>
                      <w:sz w:val="21"/>
                      <w:szCs w:val="21"/>
                    </w:rPr>
                    <w:t>门诊病人</w:t>
                  </w:r>
                </w:p>
              </w:tc>
              <w:tc>
                <w:tcPr>
                  <w:tcW w:w="667" w:type="pct"/>
                  <w:tcBorders>
                    <w:tl2br w:val="nil"/>
                    <w:tr2bl w:val="nil"/>
                  </w:tcBorders>
                  <w:noWrap w:val="0"/>
                  <w:vAlign w:val="center"/>
                </w:tcPr>
                <w:p>
                  <w:pPr>
                    <w:spacing w:after="0" w:line="240" w:lineRule="auto"/>
                    <w:jc w:val="center"/>
                    <w:rPr>
                      <w:bCs/>
                      <w:sz w:val="21"/>
                      <w:szCs w:val="21"/>
                    </w:rPr>
                  </w:pPr>
                  <w:r>
                    <w:rPr>
                      <w:bCs/>
                      <w:sz w:val="21"/>
                      <w:szCs w:val="21"/>
                    </w:rPr>
                    <w:t>/</w:t>
                  </w:r>
                </w:p>
              </w:tc>
              <w:tc>
                <w:tcPr>
                  <w:tcW w:w="919" w:type="pct"/>
                  <w:tcBorders>
                    <w:tl2br w:val="nil"/>
                    <w:tr2bl w:val="nil"/>
                  </w:tcBorders>
                  <w:noWrap w:val="0"/>
                  <w:vAlign w:val="center"/>
                </w:tcPr>
                <w:p>
                  <w:pPr>
                    <w:pStyle w:val="15"/>
                    <w:spacing w:after="0" w:line="240" w:lineRule="auto"/>
                    <w:jc w:val="center"/>
                    <w:rPr>
                      <w:bCs/>
                      <w:sz w:val="21"/>
                      <w:szCs w:val="21"/>
                    </w:rPr>
                  </w:pPr>
                  <w:r>
                    <w:rPr>
                      <w:rFonts w:hint="eastAsia"/>
                      <w:bCs/>
                      <w:sz w:val="21"/>
                      <w:szCs w:val="21"/>
                      <w:lang w:val="en-US" w:eastAsia="zh-CN"/>
                    </w:rPr>
                    <w:t>10</w:t>
                  </w:r>
                  <w:r>
                    <w:rPr>
                      <w:bCs/>
                      <w:sz w:val="21"/>
                      <w:szCs w:val="21"/>
                    </w:rPr>
                    <w:t>L/d·次</w:t>
                  </w:r>
                </w:p>
              </w:tc>
              <w:tc>
                <w:tcPr>
                  <w:tcW w:w="798" w:type="pct"/>
                  <w:tcBorders>
                    <w:tl2br w:val="nil"/>
                    <w:tr2bl w:val="nil"/>
                  </w:tcBorders>
                  <w:noWrap w:val="0"/>
                  <w:vAlign w:val="center"/>
                </w:tcPr>
                <w:p>
                  <w:pPr>
                    <w:pStyle w:val="15"/>
                    <w:spacing w:after="0" w:line="240" w:lineRule="auto"/>
                    <w:jc w:val="center"/>
                    <w:rPr>
                      <w:rFonts w:hint="eastAsia" w:eastAsia="宋体"/>
                      <w:bCs/>
                      <w:sz w:val="21"/>
                      <w:szCs w:val="21"/>
                      <w:lang w:eastAsia="zh-CN"/>
                    </w:rPr>
                  </w:pPr>
                  <w:r>
                    <w:rPr>
                      <w:rFonts w:hint="eastAsia"/>
                      <w:bCs/>
                      <w:sz w:val="21"/>
                      <w:szCs w:val="21"/>
                      <w:lang w:val="en-US" w:eastAsia="zh-CN"/>
                    </w:rPr>
                    <w:t>/</w:t>
                  </w:r>
                </w:p>
              </w:tc>
              <w:tc>
                <w:tcPr>
                  <w:tcW w:w="933" w:type="pct"/>
                  <w:tcBorders>
                    <w:tl2br w:val="nil"/>
                    <w:tr2bl w:val="nil"/>
                  </w:tcBorders>
                  <w:noWrap w:val="0"/>
                  <w:vAlign w:val="center"/>
                </w:tcPr>
                <w:p>
                  <w:pPr>
                    <w:pStyle w:val="15"/>
                    <w:spacing w:after="0" w:line="240" w:lineRule="auto"/>
                    <w:jc w:val="center"/>
                    <w:rPr>
                      <w:rFonts w:hint="eastAsia" w:eastAsia="宋体"/>
                      <w:bCs/>
                      <w:sz w:val="21"/>
                      <w:szCs w:val="21"/>
                      <w:lang w:val="en-US" w:eastAsia="zh-CN"/>
                    </w:rPr>
                  </w:pPr>
                  <w:r>
                    <w:rPr>
                      <w:rFonts w:hint="eastAsia"/>
                      <w:bCs/>
                      <w:sz w:val="21"/>
                      <w:szCs w:val="21"/>
                      <w:lang w:val="en-US" w:eastAsia="zh-CN"/>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427" w:type="pct"/>
                  <w:tcBorders>
                    <w:tl2br w:val="nil"/>
                    <w:tr2bl w:val="nil"/>
                  </w:tcBorders>
                  <w:noWrap w:val="0"/>
                  <w:vAlign w:val="center"/>
                </w:tcPr>
                <w:p>
                  <w:pPr>
                    <w:pStyle w:val="15"/>
                    <w:spacing w:after="0" w:line="240" w:lineRule="auto"/>
                    <w:jc w:val="center"/>
                    <w:rPr>
                      <w:bCs/>
                      <w:sz w:val="21"/>
                      <w:szCs w:val="21"/>
                    </w:rPr>
                  </w:pPr>
                  <w:r>
                    <w:rPr>
                      <w:bCs/>
                      <w:sz w:val="21"/>
                      <w:szCs w:val="21"/>
                    </w:rPr>
                    <w:t>3</w:t>
                  </w:r>
                </w:p>
              </w:tc>
              <w:tc>
                <w:tcPr>
                  <w:tcW w:w="1252" w:type="pct"/>
                  <w:tcBorders>
                    <w:tl2br w:val="nil"/>
                    <w:tr2bl w:val="nil"/>
                  </w:tcBorders>
                  <w:noWrap w:val="0"/>
                  <w:vAlign w:val="center"/>
                </w:tcPr>
                <w:p>
                  <w:pPr>
                    <w:pStyle w:val="15"/>
                    <w:spacing w:after="0" w:line="240" w:lineRule="auto"/>
                    <w:jc w:val="center"/>
                    <w:rPr>
                      <w:bCs/>
                      <w:sz w:val="21"/>
                      <w:szCs w:val="21"/>
                    </w:rPr>
                  </w:pPr>
                  <w:r>
                    <w:rPr>
                      <w:rFonts w:hint="eastAsia"/>
                      <w:bCs/>
                      <w:sz w:val="21"/>
                      <w:szCs w:val="21"/>
                    </w:rPr>
                    <w:t>医院职工用水</w:t>
                  </w:r>
                </w:p>
              </w:tc>
              <w:tc>
                <w:tcPr>
                  <w:tcW w:w="667" w:type="pct"/>
                  <w:tcBorders>
                    <w:tl2br w:val="nil"/>
                    <w:tr2bl w:val="nil"/>
                  </w:tcBorders>
                  <w:noWrap w:val="0"/>
                  <w:vAlign w:val="center"/>
                </w:tcPr>
                <w:p>
                  <w:pPr>
                    <w:spacing w:after="0" w:line="240" w:lineRule="auto"/>
                    <w:jc w:val="center"/>
                    <w:rPr>
                      <w:rFonts w:hint="default" w:eastAsia="宋体"/>
                      <w:bCs/>
                      <w:sz w:val="21"/>
                      <w:szCs w:val="21"/>
                      <w:lang w:val="en-US" w:eastAsia="zh-CN"/>
                    </w:rPr>
                  </w:pPr>
                  <w:r>
                    <w:rPr>
                      <w:rFonts w:hint="eastAsia"/>
                      <w:bCs/>
                      <w:sz w:val="21"/>
                      <w:szCs w:val="21"/>
                      <w:lang w:val="en-US" w:eastAsia="zh-CN"/>
                    </w:rPr>
                    <w:t>52人</w:t>
                  </w:r>
                </w:p>
              </w:tc>
              <w:tc>
                <w:tcPr>
                  <w:tcW w:w="919" w:type="pct"/>
                  <w:tcBorders>
                    <w:tl2br w:val="nil"/>
                    <w:tr2bl w:val="nil"/>
                  </w:tcBorders>
                  <w:noWrap w:val="0"/>
                  <w:vAlign w:val="center"/>
                </w:tcPr>
                <w:p>
                  <w:pPr>
                    <w:pStyle w:val="15"/>
                    <w:spacing w:after="0" w:line="240" w:lineRule="auto"/>
                    <w:jc w:val="center"/>
                    <w:rPr>
                      <w:bCs/>
                      <w:sz w:val="21"/>
                      <w:szCs w:val="21"/>
                    </w:rPr>
                  </w:pPr>
                  <w:r>
                    <w:rPr>
                      <w:rFonts w:hint="eastAsia"/>
                      <w:bCs/>
                      <w:sz w:val="21"/>
                      <w:szCs w:val="21"/>
                      <w:lang w:val="en-US" w:eastAsia="zh-CN"/>
                    </w:rPr>
                    <w:t>3</w:t>
                  </w:r>
                  <w:r>
                    <w:rPr>
                      <w:bCs/>
                      <w:sz w:val="21"/>
                      <w:szCs w:val="21"/>
                    </w:rPr>
                    <w:t>0L/d·人</w:t>
                  </w:r>
                </w:p>
              </w:tc>
              <w:tc>
                <w:tcPr>
                  <w:tcW w:w="798" w:type="pct"/>
                  <w:tcBorders>
                    <w:tl2br w:val="nil"/>
                    <w:tr2bl w:val="nil"/>
                  </w:tcBorders>
                  <w:noWrap w:val="0"/>
                  <w:vAlign w:val="center"/>
                </w:tcPr>
                <w:p>
                  <w:pPr>
                    <w:pStyle w:val="15"/>
                    <w:spacing w:after="0" w:line="240" w:lineRule="auto"/>
                    <w:jc w:val="center"/>
                    <w:rPr>
                      <w:rFonts w:hint="default" w:eastAsia="宋体"/>
                      <w:bCs/>
                      <w:sz w:val="21"/>
                      <w:szCs w:val="21"/>
                      <w:lang w:val="en-US" w:eastAsia="zh-CN"/>
                    </w:rPr>
                  </w:pPr>
                  <w:r>
                    <w:rPr>
                      <w:rFonts w:hint="eastAsia" w:eastAsia="宋体"/>
                      <w:bCs/>
                      <w:sz w:val="21"/>
                      <w:szCs w:val="21"/>
                      <w:lang w:val="en-US" w:eastAsia="zh-CN"/>
                    </w:rPr>
                    <w:t>2.60</w:t>
                  </w:r>
                </w:p>
              </w:tc>
              <w:tc>
                <w:tcPr>
                  <w:tcW w:w="933" w:type="pct"/>
                  <w:tcBorders>
                    <w:tl2br w:val="nil"/>
                    <w:tr2bl w:val="nil"/>
                  </w:tcBorders>
                  <w:noWrap w:val="0"/>
                  <w:vAlign w:val="center"/>
                </w:tcPr>
                <w:p>
                  <w:pPr>
                    <w:pStyle w:val="15"/>
                    <w:spacing w:after="0" w:line="240" w:lineRule="auto"/>
                    <w:jc w:val="center"/>
                    <w:rPr>
                      <w:rFonts w:hint="eastAsia" w:eastAsia="宋体"/>
                      <w:bCs/>
                      <w:sz w:val="21"/>
                      <w:szCs w:val="21"/>
                      <w:lang w:eastAsia="zh-CN"/>
                    </w:rPr>
                  </w:pPr>
                  <w:r>
                    <w:rPr>
                      <w:rFonts w:hint="eastAsia"/>
                      <w:bCs/>
                      <w:sz w:val="21"/>
                      <w:szCs w:val="21"/>
                      <w:lang w:val="en-US" w:eastAsia="zh-CN"/>
                    </w:rPr>
                    <w:t>2.08</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PrEx>
              <w:trPr>
                <w:trHeight w:val="309" w:hRule="atLeast"/>
                <w:jc w:val="center"/>
              </w:trPr>
              <w:tc>
                <w:tcPr>
                  <w:tcW w:w="427" w:type="pct"/>
                  <w:tcBorders>
                    <w:tl2br w:val="nil"/>
                    <w:tr2bl w:val="nil"/>
                  </w:tcBorders>
                  <w:noWrap w:val="0"/>
                  <w:vAlign w:val="center"/>
                </w:tcPr>
                <w:p>
                  <w:pPr>
                    <w:pStyle w:val="15"/>
                    <w:spacing w:after="0" w:line="240" w:lineRule="auto"/>
                    <w:jc w:val="center"/>
                    <w:rPr>
                      <w:bCs/>
                      <w:sz w:val="21"/>
                      <w:szCs w:val="21"/>
                    </w:rPr>
                  </w:pPr>
                  <w:r>
                    <w:rPr>
                      <w:bCs/>
                      <w:sz w:val="21"/>
                      <w:szCs w:val="21"/>
                    </w:rPr>
                    <w:t>4</w:t>
                  </w:r>
                </w:p>
              </w:tc>
              <w:tc>
                <w:tcPr>
                  <w:tcW w:w="1252" w:type="pct"/>
                  <w:tcBorders>
                    <w:tl2br w:val="nil"/>
                    <w:tr2bl w:val="nil"/>
                  </w:tcBorders>
                  <w:noWrap w:val="0"/>
                  <w:vAlign w:val="center"/>
                </w:tcPr>
                <w:p>
                  <w:pPr>
                    <w:pStyle w:val="15"/>
                    <w:spacing w:after="0" w:line="240" w:lineRule="auto"/>
                    <w:jc w:val="center"/>
                    <w:rPr>
                      <w:bCs/>
                      <w:sz w:val="21"/>
                      <w:szCs w:val="21"/>
                    </w:rPr>
                  </w:pPr>
                  <w:r>
                    <w:rPr>
                      <w:bCs/>
                      <w:sz w:val="21"/>
                      <w:szCs w:val="21"/>
                    </w:rPr>
                    <w:t>检验</w:t>
                  </w:r>
                  <w:r>
                    <w:rPr>
                      <w:rFonts w:hint="eastAsia"/>
                      <w:bCs/>
                      <w:sz w:val="21"/>
                      <w:szCs w:val="21"/>
                      <w:lang w:eastAsia="zh-CN"/>
                    </w:rPr>
                    <w:t>室</w:t>
                  </w:r>
                  <w:r>
                    <w:rPr>
                      <w:bCs/>
                      <w:sz w:val="21"/>
                      <w:szCs w:val="21"/>
                    </w:rPr>
                    <w:t>用水</w:t>
                  </w:r>
                </w:p>
              </w:tc>
              <w:tc>
                <w:tcPr>
                  <w:tcW w:w="667" w:type="pct"/>
                  <w:tcBorders>
                    <w:tl2br w:val="nil"/>
                    <w:tr2bl w:val="nil"/>
                  </w:tcBorders>
                  <w:noWrap w:val="0"/>
                  <w:vAlign w:val="center"/>
                </w:tcPr>
                <w:p>
                  <w:pPr>
                    <w:pStyle w:val="15"/>
                    <w:spacing w:after="0" w:line="240" w:lineRule="auto"/>
                    <w:jc w:val="center"/>
                    <w:rPr>
                      <w:rFonts w:hint="default" w:eastAsia="宋体"/>
                      <w:bCs/>
                      <w:sz w:val="21"/>
                      <w:szCs w:val="21"/>
                      <w:lang w:val="en-US" w:eastAsia="zh-CN"/>
                    </w:rPr>
                  </w:pPr>
                  <w:r>
                    <w:rPr>
                      <w:rFonts w:hint="eastAsia"/>
                      <w:bCs/>
                      <w:sz w:val="21"/>
                      <w:szCs w:val="21"/>
                      <w:lang w:val="en-US" w:eastAsia="zh-CN"/>
                    </w:rPr>
                    <w:t>/</w:t>
                  </w:r>
                </w:p>
              </w:tc>
              <w:tc>
                <w:tcPr>
                  <w:tcW w:w="919" w:type="pct"/>
                  <w:tcBorders>
                    <w:tl2br w:val="nil"/>
                    <w:tr2bl w:val="nil"/>
                  </w:tcBorders>
                  <w:noWrap w:val="0"/>
                  <w:vAlign w:val="center"/>
                </w:tcPr>
                <w:p>
                  <w:pPr>
                    <w:pStyle w:val="15"/>
                    <w:spacing w:after="0" w:line="240" w:lineRule="auto"/>
                    <w:jc w:val="center"/>
                    <w:rPr>
                      <w:bCs/>
                      <w:sz w:val="21"/>
                      <w:szCs w:val="21"/>
                    </w:rPr>
                  </w:pPr>
                  <w:r>
                    <w:rPr>
                      <w:bCs/>
                      <w:sz w:val="21"/>
                      <w:szCs w:val="21"/>
                    </w:rPr>
                    <w:t>/</w:t>
                  </w:r>
                </w:p>
              </w:tc>
              <w:tc>
                <w:tcPr>
                  <w:tcW w:w="798" w:type="pct"/>
                  <w:tcBorders>
                    <w:tl2br w:val="nil"/>
                    <w:tr2bl w:val="nil"/>
                  </w:tcBorders>
                  <w:noWrap w:val="0"/>
                  <w:vAlign w:val="center"/>
                </w:tcPr>
                <w:p>
                  <w:pPr>
                    <w:pStyle w:val="15"/>
                    <w:spacing w:after="0" w:line="240" w:lineRule="auto"/>
                    <w:jc w:val="center"/>
                    <w:rPr>
                      <w:rFonts w:hint="eastAsia" w:eastAsia="宋体"/>
                      <w:bCs/>
                      <w:sz w:val="21"/>
                      <w:szCs w:val="21"/>
                      <w:lang w:eastAsia="zh-CN"/>
                    </w:rPr>
                  </w:pPr>
                  <w:r>
                    <w:rPr>
                      <w:rFonts w:hint="eastAsia"/>
                      <w:bCs/>
                      <w:sz w:val="21"/>
                      <w:szCs w:val="21"/>
                      <w:lang w:val="en-US" w:eastAsia="zh-CN"/>
                    </w:rPr>
                    <w:t>/</w:t>
                  </w:r>
                </w:p>
              </w:tc>
              <w:tc>
                <w:tcPr>
                  <w:tcW w:w="933" w:type="pct"/>
                  <w:tcBorders>
                    <w:tl2br w:val="nil"/>
                    <w:tr2bl w:val="nil"/>
                  </w:tcBorders>
                  <w:noWrap w:val="0"/>
                  <w:vAlign w:val="center"/>
                </w:tcPr>
                <w:p>
                  <w:pPr>
                    <w:pStyle w:val="15"/>
                    <w:spacing w:after="0" w:line="240" w:lineRule="auto"/>
                    <w:jc w:val="center"/>
                    <w:rPr>
                      <w:rFonts w:hint="eastAsia" w:eastAsia="宋体"/>
                      <w:bCs/>
                      <w:sz w:val="21"/>
                      <w:szCs w:val="21"/>
                      <w:lang w:eastAsia="zh-CN"/>
                    </w:rPr>
                  </w:pPr>
                  <w:r>
                    <w:rPr>
                      <w:rFonts w:hint="eastAsia"/>
                      <w:bCs/>
                      <w:sz w:val="21"/>
                      <w:szCs w:val="21"/>
                      <w:lang w:val="en-US" w:eastAsia="zh-CN"/>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427" w:type="pct"/>
                  <w:tcBorders>
                    <w:tl2br w:val="nil"/>
                    <w:tr2bl w:val="nil"/>
                  </w:tcBorders>
                  <w:noWrap w:val="0"/>
                  <w:vAlign w:val="center"/>
                </w:tcPr>
                <w:p>
                  <w:pPr>
                    <w:pStyle w:val="15"/>
                    <w:spacing w:after="0" w:line="240" w:lineRule="auto"/>
                    <w:jc w:val="center"/>
                    <w:rPr>
                      <w:bCs/>
                      <w:sz w:val="21"/>
                      <w:szCs w:val="21"/>
                    </w:rPr>
                  </w:pPr>
                  <w:r>
                    <w:rPr>
                      <w:bCs/>
                      <w:sz w:val="21"/>
                      <w:szCs w:val="21"/>
                    </w:rPr>
                    <w:t>5</w:t>
                  </w:r>
                </w:p>
              </w:tc>
              <w:tc>
                <w:tcPr>
                  <w:tcW w:w="1252" w:type="pct"/>
                  <w:tcBorders>
                    <w:tl2br w:val="nil"/>
                    <w:tr2bl w:val="nil"/>
                  </w:tcBorders>
                  <w:noWrap w:val="0"/>
                  <w:vAlign w:val="center"/>
                </w:tcPr>
                <w:p>
                  <w:pPr>
                    <w:pStyle w:val="15"/>
                    <w:spacing w:after="0" w:line="240" w:lineRule="auto"/>
                    <w:jc w:val="center"/>
                    <w:rPr>
                      <w:bCs/>
                      <w:sz w:val="21"/>
                      <w:szCs w:val="21"/>
                    </w:rPr>
                  </w:pPr>
                  <w:r>
                    <w:rPr>
                      <w:bCs/>
                      <w:sz w:val="21"/>
                      <w:szCs w:val="21"/>
                    </w:rPr>
                    <w:t>浆洗用水</w:t>
                  </w:r>
                </w:p>
              </w:tc>
              <w:tc>
                <w:tcPr>
                  <w:tcW w:w="667" w:type="pct"/>
                  <w:tcBorders>
                    <w:tl2br w:val="nil"/>
                    <w:tr2bl w:val="nil"/>
                  </w:tcBorders>
                  <w:noWrap w:val="0"/>
                  <w:vAlign w:val="center"/>
                </w:tcPr>
                <w:p>
                  <w:pPr>
                    <w:pStyle w:val="15"/>
                    <w:spacing w:after="0" w:line="240" w:lineRule="auto"/>
                    <w:jc w:val="center"/>
                    <w:rPr>
                      <w:bCs/>
                      <w:sz w:val="21"/>
                      <w:szCs w:val="21"/>
                    </w:rPr>
                  </w:pPr>
                  <w:r>
                    <w:rPr>
                      <w:rFonts w:hint="eastAsia"/>
                      <w:bCs/>
                      <w:sz w:val="21"/>
                      <w:szCs w:val="21"/>
                      <w:lang w:val="en-US" w:eastAsia="zh-CN"/>
                    </w:rPr>
                    <w:t>22</w:t>
                  </w:r>
                  <w:r>
                    <w:rPr>
                      <w:bCs/>
                      <w:sz w:val="21"/>
                      <w:szCs w:val="21"/>
                    </w:rPr>
                    <w:t>0kg</w:t>
                  </w:r>
                </w:p>
              </w:tc>
              <w:tc>
                <w:tcPr>
                  <w:tcW w:w="919" w:type="pct"/>
                  <w:tcBorders>
                    <w:tl2br w:val="nil"/>
                    <w:tr2bl w:val="nil"/>
                  </w:tcBorders>
                  <w:noWrap w:val="0"/>
                  <w:vAlign w:val="center"/>
                </w:tcPr>
                <w:p>
                  <w:pPr>
                    <w:pStyle w:val="15"/>
                    <w:spacing w:after="0" w:line="240" w:lineRule="auto"/>
                    <w:jc w:val="center"/>
                    <w:rPr>
                      <w:bCs/>
                      <w:sz w:val="21"/>
                      <w:szCs w:val="21"/>
                    </w:rPr>
                  </w:pPr>
                  <w:r>
                    <w:rPr>
                      <w:rFonts w:hint="eastAsia"/>
                      <w:bCs/>
                      <w:sz w:val="21"/>
                      <w:szCs w:val="21"/>
                      <w:lang w:val="en-US" w:eastAsia="zh-CN"/>
                    </w:rPr>
                    <w:t>4</w:t>
                  </w:r>
                  <w:r>
                    <w:rPr>
                      <w:bCs/>
                      <w:sz w:val="21"/>
                      <w:szCs w:val="21"/>
                    </w:rPr>
                    <w:t>0L/kg</w:t>
                  </w:r>
                </w:p>
              </w:tc>
              <w:tc>
                <w:tcPr>
                  <w:tcW w:w="798" w:type="pct"/>
                  <w:tcBorders>
                    <w:tl2br w:val="nil"/>
                    <w:tr2bl w:val="nil"/>
                  </w:tcBorders>
                  <w:noWrap w:val="0"/>
                  <w:vAlign w:val="center"/>
                </w:tcPr>
                <w:p>
                  <w:pPr>
                    <w:pStyle w:val="15"/>
                    <w:spacing w:after="0" w:line="240" w:lineRule="auto"/>
                    <w:jc w:val="center"/>
                    <w:rPr>
                      <w:rFonts w:hint="default" w:eastAsia="宋体"/>
                      <w:bCs/>
                      <w:sz w:val="21"/>
                      <w:szCs w:val="21"/>
                      <w:lang w:val="en-US" w:eastAsia="zh-CN"/>
                    </w:rPr>
                  </w:pPr>
                  <w:r>
                    <w:rPr>
                      <w:rFonts w:hint="eastAsia"/>
                      <w:bCs/>
                      <w:sz w:val="21"/>
                      <w:szCs w:val="21"/>
                      <w:lang w:val="en-US" w:eastAsia="zh-CN"/>
                    </w:rPr>
                    <w:t>8.8</w:t>
                  </w:r>
                </w:p>
              </w:tc>
              <w:tc>
                <w:tcPr>
                  <w:tcW w:w="933" w:type="pct"/>
                  <w:tcBorders>
                    <w:tl2br w:val="nil"/>
                    <w:tr2bl w:val="nil"/>
                  </w:tcBorders>
                  <w:noWrap w:val="0"/>
                  <w:vAlign w:val="center"/>
                </w:tcPr>
                <w:p>
                  <w:pPr>
                    <w:pStyle w:val="15"/>
                    <w:spacing w:after="0" w:line="240" w:lineRule="auto"/>
                    <w:jc w:val="center"/>
                    <w:rPr>
                      <w:rFonts w:hint="default" w:eastAsia="宋体"/>
                      <w:bCs/>
                      <w:sz w:val="21"/>
                      <w:szCs w:val="21"/>
                      <w:lang w:val="en-US" w:eastAsia="zh-CN"/>
                    </w:rPr>
                  </w:pPr>
                  <w:r>
                    <w:rPr>
                      <w:rFonts w:hint="eastAsia"/>
                      <w:bCs/>
                      <w:sz w:val="21"/>
                      <w:szCs w:val="21"/>
                      <w:lang w:val="en-US" w:eastAsia="zh-CN"/>
                    </w:rPr>
                    <w:t>7.04</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427" w:type="pct"/>
                  <w:tcBorders>
                    <w:tl2br w:val="nil"/>
                    <w:tr2bl w:val="nil"/>
                  </w:tcBorders>
                  <w:noWrap w:val="0"/>
                  <w:vAlign w:val="center"/>
                </w:tcPr>
                <w:p>
                  <w:pPr>
                    <w:pStyle w:val="15"/>
                    <w:spacing w:after="0" w:line="240" w:lineRule="auto"/>
                    <w:jc w:val="center"/>
                    <w:rPr>
                      <w:bCs/>
                      <w:sz w:val="21"/>
                      <w:szCs w:val="21"/>
                    </w:rPr>
                  </w:pPr>
                  <w:r>
                    <w:rPr>
                      <w:bCs/>
                      <w:sz w:val="21"/>
                      <w:szCs w:val="21"/>
                    </w:rPr>
                    <w:t>6</w:t>
                  </w:r>
                </w:p>
              </w:tc>
              <w:tc>
                <w:tcPr>
                  <w:tcW w:w="1252" w:type="pct"/>
                  <w:tcBorders>
                    <w:tl2br w:val="nil"/>
                    <w:tr2bl w:val="nil"/>
                  </w:tcBorders>
                  <w:noWrap w:val="0"/>
                  <w:vAlign w:val="center"/>
                </w:tcPr>
                <w:p>
                  <w:pPr>
                    <w:pStyle w:val="15"/>
                    <w:spacing w:after="0" w:line="240" w:lineRule="auto"/>
                    <w:jc w:val="center"/>
                    <w:rPr>
                      <w:bCs/>
                      <w:sz w:val="21"/>
                      <w:szCs w:val="21"/>
                    </w:rPr>
                  </w:pPr>
                  <w:r>
                    <w:rPr>
                      <w:rFonts w:hint="eastAsia"/>
                      <w:bCs/>
                      <w:sz w:val="21"/>
                      <w:szCs w:val="21"/>
                      <w:lang w:eastAsia="zh-CN"/>
                    </w:rPr>
                    <w:t>厨房</w:t>
                  </w:r>
                  <w:r>
                    <w:rPr>
                      <w:bCs/>
                      <w:sz w:val="21"/>
                      <w:szCs w:val="21"/>
                    </w:rPr>
                    <w:t>用水</w:t>
                  </w:r>
                </w:p>
              </w:tc>
              <w:tc>
                <w:tcPr>
                  <w:tcW w:w="667" w:type="pct"/>
                  <w:tcBorders>
                    <w:tl2br w:val="nil"/>
                    <w:tr2bl w:val="nil"/>
                  </w:tcBorders>
                  <w:noWrap w:val="0"/>
                  <w:vAlign w:val="center"/>
                </w:tcPr>
                <w:p>
                  <w:pPr>
                    <w:spacing w:line="240" w:lineRule="auto"/>
                    <w:jc w:val="center"/>
                    <w:rPr>
                      <w:rFonts w:hint="default" w:eastAsia="宋体"/>
                      <w:bCs/>
                      <w:sz w:val="21"/>
                      <w:szCs w:val="21"/>
                      <w:lang w:val="en-US" w:eastAsia="zh-CN"/>
                    </w:rPr>
                  </w:pPr>
                  <w:r>
                    <w:rPr>
                      <w:rFonts w:hint="eastAsia"/>
                      <w:bCs/>
                      <w:sz w:val="21"/>
                      <w:szCs w:val="21"/>
                      <w:lang w:val="en-US" w:eastAsia="zh-CN"/>
                    </w:rPr>
                    <w:t>162人</w:t>
                  </w:r>
                </w:p>
              </w:tc>
              <w:tc>
                <w:tcPr>
                  <w:tcW w:w="919" w:type="pct"/>
                  <w:tcBorders>
                    <w:tl2br w:val="nil"/>
                    <w:tr2bl w:val="nil"/>
                  </w:tcBorders>
                  <w:noWrap w:val="0"/>
                  <w:vAlign w:val="center"/>
                </w:tcPr>
                <w:p>
                  <w:pPr>
                    <w:spacing w:line="240" w:lineRule="auto"/>
                    <w:jc w:val="center"/>
                    <w:rPr>
                      <w:bCs/>
                      <w:sz w:val="21"/>
                      <w:szCs w:val="21"/>
                    </w:rPr>
                  </w:pPr>
                  <w:r>
                    <w:rPr>
                      <w:bCs/>
                      <w:sz w:val="21"/>
                      <w:szCs w:val="21"/>
                    </w:rPr>
                    <w:t>20L/人·次</w:t>
                  </w:r>
                </w:p>
              </w:tc>
              <w:tc>
                <w:tcPr>
                  <w:tcW w:w="798" w:type="pct"/>
                  <w:tcBorders>
                    <w:tl2br w:val="nil"/>
                    <w:tr2bl w:val="nil"/>
                  </w:tcBorders>
                  <w:noWrap w:val="0"/>
                  <w:vAlign w:val="center"/>
                </w:tcPr>
                <w:p>
                  <w:pPr>
                    <w:pStyle w:val="15"/>
                    <w:spacing w:after="0" w:line="240" w:lineRule="auto"/>
                    <w:jc w:val="center"/>
                    <w:rPr>
                      <w:rFonts w:hint="default" w:eastAsia="宋体"/>
                      <w:bCs/>
                      <w:sz w:val="21"/>
                      <w:szCs w:val="21"/>
                      <w:lang w:val="en-US" w:eastAsia="zh-CN"/>
                    </w:rPr>
                  </w:pPr>
                  <w:r>
                    <w:rPr>
                      <w:rFonts w:hint="eastAsia"/>
                      <w:bCs/>
                      <w:sz w:val="21"/>
                      <w:szCs w:val="21"/>
                      <w:lang w:val="en-US" w:eastAsia="zh-CN"/>
                    </w:rPr>
                    <w:t>3.24</w:t>
                  </w:r>
                </w:p>
              </w:tc>
              <w:tc>
                <w:tcPr>
                  <w:tcW w:w="933" w:type="pct"/>
                  <w:tcBorders>
                    <w:tl2br w:val="nil"/>
                    <w:tr2bl w:val="nil"/>
                  </w:tcBorders>
                  <w:noWrap w:val="0"/>
                  <w:vAlign w:val="center"/>
                </w:tcPr>
                <w:p>
                  <w:pPr>
                    <w:pStyle w:val="15"/>
                    <w:spacing w:after="0" w:line="240" w:lineRule="auto"/>
                    <w:jc w:val="center"/>
                    <w:rPr>
                      <w:rFonts w:hint="default" w:eastAsia="宋体"/>
                      <w:bCs/>
                      <w:sz w:val="21"/>
                      <w:szCs w:val="21"/>
                      <w:lang w:val="en-US" w:eastAsia="zh-CN"/>
                    </w:rPr>
                  </w:pPr>
                  <w:r>
                    <w:rPr>
                      <w:rFonts w:hint="eastAsia"/>
                      <w:bCs/>
                      <w:sz w:val="21"/>
                      <w:szCs w:val="21"/>
                      <w:lang w:val="en-US" w:eastAsia="zh-CN"/>
                    </w:rPr>
                    <w:t>2.592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9" w:hRule="atLeast"/>
                <w:jc w:val="center"/>
              </w:trPr>
              <w:tc>
                <w:tcPr>
                  <w:tcW w:w="427" w:type="pct"/>
                  <w:tcBorders>
                    <w:tl2br w:val="nil"/>
                    <w:tr2bl w:val="nil"/>
                  </w:tcBorders>
                  <w:noWrap w:val="0"/>
                  <w:vAlign w:val="center"/>
                </w:tcPr>
                <w:p>
                  <w:pPr>
                    <w:pStyle w:val="15"/>
                    <w:spacing w:after="0" w:line="240" w:lineRule="auto"/>
                    <w:jc w:val="center"/>
                    <w:rPr>
                      <w:rFonts w:hint="eastAsia" w:eastAsia="宋体"/>
                      <w:bCs/>
                      <w:sz w:val="21"/>
                      <w:szCs w:val="21"/>
                      <w:lang w:eastAsia="zh-CN"/>
                    </w:rPr>
                  </w:pPr>
                  <w:r>
                    <w:rPr>
                      <w:rFonts w:hint="eastAsia"/>
                      <w:bCs/>
                      <w:sz w:val="21"/>
                      <w:szCs w:val="21"/>
                      <w:lang w:val="en-US" w:eastAsia="zh-CN"/>
                    </w:rPr>
                    <w:t>7</w:t>
                  </w:r>
                </w:p>
              </w:tc>
              <w:tc>
                <w:tcPr>
                  <w:tcW w:w="1252" w:type="pct"/>
                  <w:tcBorders>
                    <w:tl2br w:val="nil"/>
                    <w:tr2bl w:val="nil"/>
                  </w:tcBorders>
                  <w:noWrap w:val="0"/>
                  <w:vAlign w:val="center"/>
                </w:tcPr>
                <w:p>
                  <w:pPr>
                    <w:pStyle w:val="2"/>
                    <w:spacing w:after="0" w:line="240" w:lineRule="auto"/>
                    <w:ind w:left="0" w:leftChars="0"/>
                    <w:jc w:val="center"/>
                    <w:rPr>
                      <w:bCs/>
                      <w:sz w:val="21"/>
                      <w:szCs w:val="21"/>
                    </w:rPr>
                  </w:pPr>
                  <w:r>
                    <w:rPr>
                      <w:bCs/>
                      <w:sz w:val="21"/>
                      <w:szCs w:val="21"/>
                    </w:rPr>
                    <w:t>绿化用水</w:t>
                  </w:r>
                </w:p>
              </w:tc>
              <w:tc>
                <w:tcPr>
                  <w:tcW w:w="667" w:type="pct"/>
                  <w:tcBorders>
                    <w:tl2br w:val="nil"/>
                    <w:tr2bl w:val="nil"/>
                  </w:tcBorders>
                  <w:noWrap w:val="0"/>
                  <w:vAlign w:val="center"/>
                </w:tcPr>
                <w:p>
                  <w:pPr>
                    <w:spacing w:line="240" w:lineRule="auto"/>
                    <w:jc w:val="center"/>
                    <w:rPr>
                      <w:bCs/>
                      <w:sz w:val="21"/>
                      <w:szCs w:val="21"/>
                    </w:rPr>
                  </w:pPr>
                  <w:r>
                    <w:rPr>
                      <w:rFonts w:hint="eastAsia"/>
                      <w:bCs/>
                      <w:sz w:val="21"/>
                      <w:szCs w:val="21"/>
                      <w:lang w:val="en-US" w:eastAsia="zh-CN"/>
                    </w:rPr>
                    <w:t>/</w:t>
                  </w:r>
                </w:p>
              </w:tc>
              <w:tc>
                <w:tcPr>
                  <w:tcW w:w="919" w:type="pct"/>
                  <w:tcBorders>
                    <w:tl2br w:val="nil"/>
                    <w:tr2bl w:val="nil"/>
                  </w:tcBorders>
                  <w:noWrap w:val="0"/>
                  <w:vAlign w:val="center"/>
                </w:tcPr>
                <w:p>
                  <w:pPr>
                    <w:spacing w:line="240" w:lineRule="auto"/>
                    <w:jc w:val="center"/>
                    <w:rPr>
                      <w:bCs/>
                      <w:sz w:val="21"/>
                      <w:szCs w:val="21"/>
                    </w:rPr>
                  </w:pPr>
                  <w:r>
                    <w:rPr>
                      <w:bCs/>
                      <w:sz w:val="21"/>
                      <w:szCs w:val="21"/>
                    </w:rPr>
                    <w:t>0.77m</w:t>
                  </w:r>
                  <w:r>
                    <w:rPr>
                      <w:bCs/>
                      <w:sz w:val="21"/>
                      <w:szCs w:val="21"/>
                      <w:vertAlign w:val="superscript"/>
                    </w:rPr>
                    <w:t>3</w:t>
                  </w:r>
                  <w:r>
                    <w:rPr>
                      <w:bCs/>
                      <w:sz w:val="21"/>
                      <w:szCs w:val="21"/>
                    </w:rPr>
                    <w:t>/(m</w:t>
                  </w:r>
                  <w:r>
                    <w:rPr>
                      <w:bCs/>
                      <w:sz w:val="21"/>
                      <w:szCs w:val="21"/>
                      <w:vertAlign w:val="superscript"/>
                    </w:rPr>
                    <w:t>2</w:t>
                  </w:r>
                  <w:r>
                    <w:rPr>
                      <w:bCs/>
                      <w:sz w:val="21"/>
                      <w:szCs w:val="21"/>
                    </w:rPr>
                    <w:t>·a)</w:t>
                  </w:r>
                </w:p>
              </w:tc>
              <w:tc>
                <w:tcPr>
                  <w:tcW w:w="798" w:type="pct"/>
                  <w:tcBorders>
                    <w:tl2br w:val="nil"/>
                    <w:tr2bl w:val="nil"/>
                  </w:tcBorders>
                  <w:noWrap w:val="0"/>
                  <w:vAlign w:val="center"/>
                </w:tcPr>
                <w:p>
                  <w:pPr>
                    <w:pStyle w:val="15"/>
                    <w:spacing w:after="0" w:line="240" w:lineRule="auto"/>
                    <w:jc w:val="center"/>
                    <w:rPr>
                      <w:rFonts w:hint="eastAsia" w:eastAsia="宋体"/>
                      <w:bCs/>
                      <w:sz w:val="21"/>
                      <w:szCs w:val="21"/>
                      <w:lang w:eastAsia="zh-CN"/>
                    </w:rPr>
                  </w:pPr>
                  <w:r>
                    <w:rPr>
                      <w:rFonts w:hint="eastAsia"/>
                      <w:bCs/>
                      <w:sz w:val="21"/>
                      <w:szCs w:val="21"/>
                      <w:lang w:val="en-US" w:eastAsia="zh-CN"/>
                    </w:rPr>
                    <w:t>/</w:t>
                  </w:r>
                </w:p>
              </w:tc>
              <w:tc>
                <w:tcPr>
                  <w:tcW w:w="933" w:type="pct"/>
                  <w:tcBorders>
                    <w:tl2br w:val="nil"/>
                    <w:tr2bl w:val="nil"/>
                  </w:tcBorders>
                  <w:noWrap w:val="0"/>
                  <w:vAlign w:val="center"/>
                </w:tcPr>
                <w:p>
                  <w:pPr>
                    <w:pStyle w:val="15"/>
                    <w:spacing w:after="0" w:line="240" w:lineRule="auto"/>
                    <w:jc w:val="center"/>
                    <w:rPr>
                      <w:rFonts w:hint="eastAsia" w:eastAsia="宋体"/>
                      <w:bCs/>
                      <w:sz w:val="21"/>
                      <w:szCs w:val="21"/>
                      <w:lang w:eastAsia="zh-CN"/>
                    </w:rPr>
                  </w:pPr>
                  <w:r>
                    <w:rPr>
                      <w:rFonts w:hint="eastAsia"/>
                      <w:bCs/>
                      <w:sz w:val="21"/>
                      <w:szCs w:val="21"/>
                      <w:lang w:val="en-US" w:eastAsia="zh-CN"/>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9" w:hRule="atLeast"/>
                <w:jc w:val="center"/>
              </w:trPr>
              <w:tc>
                <w:tcPr>
                  <w:tcW w:w="427" w:type="pct"/>
                  <w:tcBorders>
                    <w:tl2br w:val="nil"/>
                    <w:tr2bl w:val="nil"/>
                  </w:tcBorders>
                  <w:noWrap w:val="0"/>
                  <w:vAlign w:val="center"/>
                </w:tcPr>
                <w:p>
                  <w:pPr>
                    <w:pStyle w:val="15"/>
                    <w:spacing w:after="0" w:line="240" w:lineRule="auto"/>
                    <w:jc w:val="center"/>
                    <w:rPr>
                      <w:rFonts w:hint="default"/>
                      <w:bCs/>
                      <w:sz w:val="21"/>
                      <w:szCs w:val="21"/>
                      <w:lang w:val="en-US" w:eastAsia="zh-CN"/>
                    </w:rPr>
                  </w:pPr>
                  <w:r>
                    <w:rPr>
                      <w:rFonts w:hint="eastAsia"/>
                      <w:bCs/>
                      <w:sz w:val="21"/>
                      <w:szCs w:val="21"/>
                      <w:lang w:val="en-US" w:eastAsia="zh-CN"/>
                    </w:rPr>
                    <w:t>8</w:t>
                  </w:r>
                </w:p>
              </w:tc>
              <w:tc>
                <w:tcPr>
                  <w:tcW w:w="1252" w:type="pct"/>
                  <w:tcBorders>
                    <w:tl2br w:val="nil"/>
                    <w:tr2bl w:val="nil"/>
                  </w:tcBorders>
                  <w:noWrap w:val="0"/>
                  <w:vAlign w:val="center"/>
                </w:tcPr>
                <w:p>
                  <w:pPr>
                    <w:pStyle w:val="2"/>
                    <w:spacing w:after="0" w:line="240" w:lineRule="auto"/>
                    <w:ind w:left="0" w:leftChars="0"/>
                    <w:jc w:val="center"/>
                    <w:rPr>
                      <w:rFonts w:hint="eastAsia" w:eastAsia="宋体"/>
                      <w:bCs/>
                      <w:sz w:val="21"/>
                      <w:szCs w:val="21"/>
                      <w:lang w:eastAsia="zh-CN"/>
                    </w:rPr>
                  </w:pPr>
                  <w:r>
                    <w:rPr>
                      <w:rFonts w:hint="eastAsia"/>
                      <w:bCs/>
                      <w:sz w:val="21"/>
                      <w:szCs w:val="21"/>
                      <w:lang w:eastAsia="zh-CN"/>
                    </w:rPr>
                    <w:t>未预见用水量</w:t>
                  </w:r>
                </w:p>
              </w:tc>
              <w:tc>
                <w:tcPr>
                  <w:tcW w:w="667" w:type="pct"/>
                  <w:tcBorders>
                    <w:tl2br w:val="nil"/>
                    <w:tr2bl w:val="nil"/>
                  </w:tcBorders>
                  <w:noWrap w:val="0"/>
                  <w:vAlign w:val="center"/>
                </w:tcPr>
                <w:p>
                  <w:pPr>
                    <w:spacing w:line="240" w:lineRule="auto"/>
                    <w:jc w:val="center"/>
                    <w:rPr>
                      <w:rFonts w:hint="default"/>
                      <w:bCs/>
                      <w:sz w:val="21"/>
                      <w:szCs w:val="21"/>
                      <w:lang w:val="en-US" w:eastAsia="zh-CN"/>
                    </w:rPr>
                  </w:pPr>
                  <w:r>
                    <w:rPr>
                      <w:rFonts w:hint="eastAsia"/>
                      <w:bCs/>
                      <w:sz w:val="21"/>
                      <w:szCs w:val="21"/>
                      <w:lang w:val="en-US" w:eastAsia="zh-CN"/>
                    </w:rPr>
                    <w:t>/</w:t>
                  </w:r>
                </w:p>
              </w:tc>
              <w:tc>
                <w:tcPr>
                  <w:tcW w:w="919" w:type="pct"/>
                  <w:tcBorders>
                    <w:tl2br w:val="nil"/>
                    <w:tr2bl w:val="nil"/>
                  </w:tcBorders>
                  <w:noWrap w:val="0"/>
                  <w:vAlign w:val="center"/>
                </w:tcPr>
                <w:p>
                  <w:pPr>
                    <w:spacing w:line="240" w:lineRule="auto"/>
                    <w:jc w:val="center"/>
                    <w:rPr>
                      <w:rFonts w:hint="default" w:eastAsia="宋体"/>
                      <w:bCs/>
                      <w:sz w:val="21"/>
                      <w:szCs w:val="21"/>
                      <w:lang w:val="en-US" w:eastAsia="zh-CN"/>
                    </w:rPr>
                  </w:pPr>
                  <w:r>
                    <w:rPr>
                      <w:rFonts w:hint="eastAsia"/>
                      <w:bCs/>
                      <w:sz w:val="21"/>
                      <w:szCs w:val="21"/>
                      <w:lang w:val="en-US" w:eastAsia="zh-CN"/>
                    </w:rPr>
                    <w:t>/</w:t>
                  </w:r>
                </w:p>
              </w:tc>
              <w:tc>
                <w:tcPr>
                  <w:tcW w:w="798" w:type="pct"/>
                  <w:tcBorders>
                    <w:tl2br w:val="nil"/>
                    <w:tr2bl w:val="nil"/>
                  </w:tcBorders>
                  <w:noWrap w:val="0"/>
                  <w:vAlign w:val="center"/>
                </w:tcPr>
                <w:p>
                  <w:pPr>
                    <w:pStyle w:val="15"/>
                    <w:spacing w:after="0" w:line="240" w:lineRule="auto"/>
                    <w:jc w:val="center"/>
                    <w:rPr>
                      <w:rFonts w:hint="default"/>
                      <w:bCs/>
                      <w:sz w:val="21"/>
                      <w:szCs w:val="21"/>
                      <w:lang w:val="en-US" w:eastAsia="zh-CN"/>
                    </w:rPr>
                  </w:pPr>
                  <w:r>
                    <w:rPr>
                      <w:rFonts w:hint="eastAsia"/>
                      <w:bCs/>
                      <w:sz w:val="21"/>
                      <w:szCs w:val="21"/>
                      <w:lang w:val="en-US" w:eastAsia="zh-CN"/>
                    </w:rPr>
                    <w:t>/</w:t>
                  </w:r>
                </w:p>
              </w:tc>
              <w:tc>
                <w:tcPr>
                  <w:tcW w:w="933" w:type="pct"/>
                  <w:tcBorders>
                    <w:tl2br w:val="nil"/>
                    <w:tr2bl w:val="nil"/>
                  </w:tcBorders>
                  <w:noWrap w:val="0"/>
                  <w:vAlign w:val="center"/>
                </w:tcPr>
                <w:p>
                  <w:pPr>
                    <w:pStyle w:val="15"/>
                    <w:spacing w:after="0" w:line="240" w:lineRule="auto"/>
                    <w:jc w:val="center"/>
                    <w:rPr>
                      <w:rFonts w:hint="default"/>
                      <w:bCs/>
                      <w:sz w:val="21"/>
                      <w:szCs w:val="21"/>
                      <w:lang w:val="en-US" w:eastAsia="zh-CN"/>
                    </w:rPr>
                  </w:pPr>
                  <w:r>
                    <w:rPr>
                      <w:rFonts w:hint="eastAsia"/>
                      <w:bCs/>
                      <w:sz w:val="21"/>
                      <w:szCs w:val="21"/>
                      <w:lang w:val="en-US" w:eastAsia="zh-CN"/>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PrEx>
              <w:trPr>
                <w:trHeight w:val="323" w:hRule="atLeast"/>
                <w:jc w:val="center"/>
              </w:trPr>
              <w:tc>
                <w:tcPr>
                  <w:tcW w:w="3267" w:type="pct"/>
                  <w:gridSpan w:val="4"/>
                  <w:tcBorders>
                    <w:tl2br w:val="nil"/>
                    <w:tr2bl w:val="nil"/>
                  </w:tcBorders>
                  <w:noWrap w:val="0"/>
                  <w:vAlign w:val="center"/>
                </w:tcPr>
                <w:p>
                  <w:pPr>
                    <w:pStyle w:val="15"/>
                    <w:spacing w:after="0" w:line="240" w:lineRule="auto"/>
                    <w:jc w:val="center"/>
                    <w:rPr>
                      <w:bCs/>
                      <w:sz w:val="21"/>
                      <w:szCs w:val="21"/>
                    </w:rPr>
                  </w:pPr>
                  <w:r>
                    <w:rPr>
                      <w:bCs/>
                      <w:sz w:val="21"/>
                      <w:szCs w:val="21"/>
                    </w:rPr>
                    <w:t>合计</w:t>
                  </w:r>
                </w:p>
              </w:tc>
              <w:tc>
                <w:tcPr>
                  <w:tcW w:w="798" w:type="pct"/>
                  <w:tcBorders>
                    <w:tl2br w:val="nil"/>
                    <w:tr2bl w:val="nil"/>
                  </w:tcBorders>
                  <w:noWrap w:val="0"/>
                  <w:vAlign w:val="center"/>
                </w:tcPr>
                <w:p>
                  <w:pPr>
                    <w:pStyle w:val="15"/>
                    <w:spacing w:after="0" w:line="240" w:lineRule="auto"/>
                    <w:jc w:val="center"/>
                    <w:rPr>
                      <w:rFonts w:hint="default" w:eastAsia="宋体"/>
                      <w:bCs/>
                      <w:sz w:val="21"/>
                      <w:szCs w:val="21"/>
                      <w:lang w:val="en-US" w:eastAsia="zh-CN"/>
                    </w:rPr>
                  </w:pPr>
                  <w:r>
                    <w:rPr>
                      <w:rFonts w:hint="eastAsia"/>
                      <w:bCs/>
                      <w:sz w:val="21"/>
                      <w:szCs w:val="21"/>
                      <w:lang w:val="en-US" w:eastAsia="zh-CN"/>
                    </w:rPr>
                    <w:t>36.64</w:t>
                  </w:r>
                </w:p>
              </w:tc>
              <w:tc>
                <w:tcPr>
                  <w:tcW w:w="933" w:type="pct"/>
                  <w:tcBorders>
                    <w:tl2br w:val="nil"/>
                    <w:tr2bl w:val="nil"/>
                  </w:tcBorders>
                  <w:noWrap w:val="0"/>
                  <w:vAlign w:val="center"/>
                </w:tcPr>
                <w:p>
                  <w:pPr>
                    <w:pStyle w:val="15"/>
                    <w:spacing w:after="0" w:line="240" w:lineRule="auto"/>
                    <w:jc w:val="center"/>
                    <w:rPr>
                      <w:rFonts w:hint="default" w:eastAsia="宋体"/>
                      <w:bCs/>
                      <w:sz w:val="21"/>
                      <w:szCs w:val="21"/>
                      <w:lang w:val="en-US" w:eastAsia="zh-CN"/>
                    </w:rPr>
                  </w:pPr>
                  <w:r>
                    <w:rPr>
                      <w:rFonts w:hint="eastAsia"/>
                      <w:bCs/>
                      <w:sz w:val="21"/>
                      <w:szCs w:val="21"/>
                      <w:lang w:val="en-US" w:eastAsia="zh-CN"/>
                    </w:rPr>
                    <w:t>29.312</w:t>
                  </w:r>
                </w:p>
              </w:tc>
            </w:tr>
          </w:tbl>
          <w:p>
            <w:pPr>
              <w:autoSpaceDE w:val="0"/>
              <w:autoSpaceDN w:val="0"/>
              <w:adjustRightInd w:val="0"/>
              <w:snapToGrid w:val="0"/>
              <w:spacing w:line="360" w:lineRule="auto"/>
              <w:ind w:firstLine="480" w:firstLineChars="200"/>
              <w:rPr>
                <w:kern w:val="0"/>
                <w:sz w:val="24"/>
              </w:rPr>
            </w:pPr>
            <w:r>
              <w:rPr>
                <w:kern w:val="0"/>
                <w:sz w:val="24"/>
              </w:rPr>
              <w:t>本项目新增营运期水平衡见图2-1。</w:t>
            </w:r>
          </w:p>
          <w:p>
            <w:pPr>
              <w:autoSpaceDE w:val="0"/>
              <w:autoSpaceDN w:val="0"/>
              <w:adjustRightInd w:val="0"/>
              <w:snapToGrid w:val="0"/>
              <w:spacing w:line="240" w:lineRule="auto"/>
              <w:jc w:val="center"/>
              <w:rPr>
                <w:kern w:val="0"/>
                <w:sz w:val="32"/>
                <w:szCs w:val="32"/>
              </w:rPr>
            </w:pPr>
            <w:r>
              <w:drawing>
                <wp:inline distT="0" distB="0" distL="114300" distR="114300">
                  <wp:extent cx="5111750" cy="2359660"/>
                  <wp:effectExtent l="0" t="0" r="12700" b="2540"/>
                  <wp:docPr id="14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5"/>
                          <pic:cNvPicPr>
                            <a:picLocks noChangeAspect="1"/>
                          </pic:cNvPicPr>
                        </pic:nvPicPr>
                        <pic:blipFill>
                          <a:blip r:embed="rId21"/>
                          <a:stretch>
                            <a:fillRect/>
                          </a:stretch>
                        </pic:blipFill>
                        <pic:spPr>
                          <a:xfrm>
                            <a:off x="0" y="0"/>
                            <a:ext cx="5111750" cy="2359660"/>
                          </a:xfrm>
                          <a:prstGeom prst="rect">
                            <a:avLst/>
                          </a:prstGeom>
                          <a:noFill/>
                          <a:ln>
                            <a:noFill/>
                          </a:ln>
                        </pic:spPr>
                      </pic:pic>
                    </a:graphicData>
                  </a:graphic>
                </wp:inline>
              </w:drawing>
            </w:r>
          </w:p>
          <w:p>
            <w:pPr>
              <w:autoSpaceDE w:val="0"/>
              <w:autoSpaceDN w:val="0"/>
              <w:adjustRightInd w:val="0"/>
              <w:snapToGrid w:val="0"/>
              <w:spacing w:line="360" w:lineRule="auto"/>
              <w:jc w:val="center"/>
              <w:rPr>
                <w:rFonts w:hint="default" w:ascii="Times New Roman" w:hAnsi="Times New Roman" w:eastAsia="宋体"/>
                <w:color w:val="000000"/>
                <w:sz w:val="24"/>
                <w:lang w:val="en-US"/>
              </w:rPr>
            </w:pPr>
            <w:r>
              <w:rPr>
                <w:b/>
                <w:bCs/>
                <w:kern w:val="0"/>
                <w:szCs w:val="21"/>
              </w:rPr>
              <w:t>图2-1  本项目新增用水平衡图  单位：m</w:t>
            </w:r>
            <w:r>
              <w:rPr>
                <w:b/>
                <w:bCs/>
                <w:kern w:val="0"/>
                <w:szCs w:val="21"/>
                <w:vertAlign w:val="superscript"/>
              </w:rPr>
              <w:t>3</w:t>
            </w:r>
            <w:r>
              <w:rPr>
                <w:b/>
                <w:bCs/>
                <w:kern w:val="0"/>
                <w:szCs w:val="21"/>
              </w:rPr>
              <w:t>/d</w:t>
            </w:r>
          </w:p>
          <w:p>
            <w:pPr>
              <w:adjustRightInd w:val="0"/>
              <w:snapToGrid w:val="0"/>
              <w:spacing w:line="360" w:lineRule="auto"/>
              <w:ind w:firstLine="480" w:firstLineChars="200"/>
              <w:rPr>
                <w:rFonts w:hint="eastAsia" w:ascii="Times New Roman" w:hAnsi="Times New Roman" w:eastAsia="宋体"/>
                <w:color w:val="000000"/>
                <w:sz w:val="24"/>
                <w:lang w:val="en-US" w:eastAsia="zh-CN"/>
              </w:rPr>
            </w:pPr>
            <w:r>
              <w:rPr>
                <w:rFonts w:hint="eastAsia" w:ascii="Times New Roman" w:hAnsi="Times New Roman" w:eastAsia="宋体"/>
                <w:color w:val="000000"/>
                <w:sz w:val="24"/>
                <w:lang w:val="en-US" w:eastAsia="zh-CN"/>
              </w:rPr>
              <w:t>（2）排水工程</w:t>
            </w:r>
          </w:p>
          <w:p>
            <w:pPr>
              <w:autoSpaceDE w:val="0"/>
              <w:autoSpaceDN w:val="0"/>
              <w:adjustRightInd w:val="0"/>
              <w:snapToGrid w:val="0"/>
              <w:spacing w:line="360" w:lineRule="auto"/>
              <w:ind w:firstLine="480" w:firstLineChars="200"/>
              <w:rPr>
                <w:kern w:val="0"/>
                <w:sz w:val="24"/>
              </w:rPr>
            </w:pPr>
            <w:r>
              <w:rPr>
                <w:kern w:val="0"/>
                <w:sz w:val="24"/>
              </w:rPr>
              <w:t>排水实行雨污分流，屋面雨水经雨水管沟排至</w:t>
            </w:r>
            <w:r>
              <w:rPr>
                <w:rFonts w:hint="eastAsia"/>
                <w:kern w:val="0"/>
                <w:sz w:val="24"/>
                <w:lang w:eastAsia="zh-CN"/>
              </w:rPr>
              <w:t>市政</w:t>
            </w:r>
            <w:r>
              <w:rPr>
                <w:kern w:val="0"/>
                <w:sz w:val="24"/>
              </w:rPr>
              <w:t>雨水管网</w:t>
            </w:r>
            <w:r>
              <w:rPr>
                <w:rFonts w:hint="eastAsia"/>
                <w:kern w:val="0"/>
                <w:sz w:val="24"/>
                <w:lang w:eastAsia="zh-CN"/>
              </w:rPr>
              <w:t>；本项目食堂废水经隔油池预处理后与生活污水、洗涤废水通过化粪池排入院内污水处理站处理，</w:t>
            </w:r>
            <w:r>
              <w:rPr>
                <w:rFonts w:hint="eastAsia"/>
                <w:kern w:val="0"/>
                <w:sz w:val="24"/>
              </w:rPr>
              <w:t>医疗污水（包含中和预处理后的检验室废水）直接排入院内污水处理站处理</w:t>
            </w:r>
            <w:r>
              <w:rPr>
                <w:rFonts w:hint="eastAsia"/>
                <w:kern w:val="0"/>
                <w:sz w:val="24"/>
                <w:lang w:eastAsia="zh-CN"/>
              </w:rPr>
              <w:t>，本项目产生的废水由院内污水处理站处理达到《医疗机构水污染物排放标准》（GB18466-2005）表2中预处理标准后，排入市政污水管网进入乐山市第三污水处理厂处理达标后排放。</w:t>
            </w:r>
          </w:p>
          <w:p>
            <w:pPr>
              <w:autoSpaceDE w:val="0"/>
              <w:autoSpaceDN w:val="0"/>
              <w:adjustRightInd w:val="0"/>
              <w:snapToGrid w:val="0"/>
              <w:jc w:val="center"/>
              <w:rPr>
                <w:b/>
                <w:bCs/>
                <w:kern w:val="0"/>
                <w:szCs w:val="21"/>
              </w:rPr>
            </w:pPr>
            <w:r>
              <w:rPr>
                <w:b/>
                <w:bCs/>
                <w:kern w:val="0"/>
                <w:szCs w:val="21"/>
              </w:rPr>
              <w:t>表2</w:t>
            </w:r>
            <w:r>
              <w:rPr>
                <w:rFonts w:hint="eastAsia"/>
                <w:b/>
                <w:bCs/>
                <w:kern w:val="0"/>
                <w:szCs w:val="21"/>
                <w:lang w:val="en-US" w:eastAsia="zh-CN"/>
              </w:rPr>
              <w:t>-12</w:t>
            </w:r>
            <w:r>
              <w:rPr>
                <w:b/>
                <w:bCs/>
                <w:kern w:val="0"/>
                <w:szCs w:val="21"/>
              </w:rPr>
              <w:t xml:space="preserve"> 本项目扩建后总用水及排水情况一览表  单位：m</w:t>
            </w:r>
            <w:r>
              <w:rPr>
                <w:b/>
                <w:bCs/>
                <w:kern w:val="0"/>
                <w:szCs w:val="21"/>
                <w:vertAlign w:val="superscript"/>
              </w:rPr>
              <w:t>3</w:t>
            </w:r>
            <w:r>
              <w:rPr>
                <w:b/>
                <w:bCs/>
                <w:kern w:val="0"/>
                <w:szCs w:val="21"/>
              </w:rPr>
              <w:t>/d</w:t>
            </w:r>
          </w:p>
          <w:tbl>
            <w:tblPr>
              <w:tblStyle w:val="41"/>
              <w:tblW w:w="497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6"/>
              <w:gridCol w:w="1859"/>
              <w:gridCol w:w="1174"/>
              <w:gridCol w:w="1453"/>
              <w:gridCol w:w="1186"/>
              <w:gridCol w:w="15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27" w:type="pct"/>
                  <w:noWrap w:val="0"/>
                  <w:vAlign w:val="center"/>
                </w:tcPr>
                <w:p>
                  <w:pPr>
                    <w:pStyle w:val="285"/>
                    <w:jc w:val="center"/>
                    <w:rPr>
                      <w:rFonts w:ascii="Times New Roman" w:hAnsi="Times New Roman" w:cs="Times New Roman"/>
                      <w:b/>
                      <w:sz w:val="21"/>
                      <w:szCs w:val="21"/>
                    </w:rPr>
                  </w:pPr>
                  <w:r>
                    <w:rPr>
                      <w:rFonts w:ascii="Times New Roman" w:hAnsi="Times New Roman" w:cs="Times New Roman"/>
                      <w:b/>
                      <w:sz w:val="21"/>
                      <w:szCs w:val="21"/>
                    </w:rPr>
                    <w:t>序号</w:t>
                  </w:r>
                </w:p>
              </w:tc>
              <w:tc>
                <w:tcPr>
                  <w:tcW w:w="1176" w:type="pct"/>
                  <w:noWrap w:val="0"/>
                  <w:vAlign w:val="center"/>
                </w:tcPr>
                <w:p>
                  <w:pPr>
                    <w:pStyle w:val="285"/>
                    <w:jc w:val="center"/>
                    <w:rPr>
                      <w:rFonts w:ascii="Times New Roman" w:hAnsi="Times New Roman" w:cs="Times New Roman"/>
                      <w:b/>
                      <w:sz w:val="21"/>
                      <w:szCs w:val="21"/>
                    </w:rPr>
                  </w:pPr>
                  <w:r>
                    <w:rPr>
                      <w:rFonts w:ascii="Times New Roman" w:hAnsi="Times New Roman" w:cs="Times New Roman"/>
                      <w:b/>
                      <w:sz w:val="21"/>
                      <w:szCs w:val="21"/>
                    </w:rPr>
                    <w:t>用水性质</w:t>
                  </w:r>
                </w:p>
              </w:tc>
              <w:tc>
                <w:tcPr>
                  <w:tcW w:w="743" w:type="pct"/>
                  <w:noWrap w:val="0"/>
                  <w:vAlign w:val="center"/>
                </w:tcPr>
                <w:p>
                  <w:pPr>
                    <w:pStyle w:val="285"/>
                    <w:jc w:val="center"/>
                    <w:rPr>
                      <w:rFonts w:ascii="Times New Roman" w:hAnsi="Times New Roman" w:cs="Times New Roman"/>
                      <w:b/>
                      <w:sz w:val="21"/>
                      <w:szCs w:val="21"/>
                    </w:rPr>
                  </w:pPr>
                  <w:r>
                    <w:rPr>
                      <w:rFonts w:ascii="Times New Roman" w:hAnsi="Times New Roman" w:cs="Times New Roman"/>
                      <w:b/>
                      <w:sz w:val="21"/>
                      <w:szCs w:val="21"/>
                    </w:rPr>
                    <w:t>规模</w:t>
                  </w:r>
                </w:p>
              </w:tc>
              <w:tc>
                <w:tcPr>
                  <w:tcW w:w="919" w:type="pct"/>
                  <w:noWrap w:val="0"/>
                  <w:vAlign w:val="center"/>
                </w:tcPr>
                <w:p>
                  <w:pPr>
                    <w:pStyle w:val="285"/>
                    <w:jc w:val="center"/>
                    <w:rPr>
                      <w:rFonts w:ascii="Times New Roman" w:hAnsi="Times New Roman" w:cs="Times New Roman"/>
                      <w:b/>
                      <w:sz w:val="21"/>
                      <w:szCs w:val="21"/>
                    </w:rPr>
                  </w:pPr>
                  <w:r>
                    <w:rPr>
                      <w:rFonts w:ascii="Times New Roman" w:hAnsi="Times New Roman" w:cs="Times New Roman"/>
                      <w:b/>
                      <w:sz w:val="21"/>
                      <w:szCs w:val="21"/>
                    </w:rPr>
                    <w:t>用水定额</w:t>
                  </w:r>
                </w:p>
              </w:tc>
              <w:tc>
                <w:tcPr>
                  <w:tcW w:w="750" w:type="pct"/>
                  <w:noWrap w:val="0"/>
                  <w:vAlign w:val="center"/>
                </w:tcPr>
                <w:p>
                  <w:pPr>
                    <w:pStyle w:val="285"/>
                    <w:jc w:val="center"/>
                    <w:rPr>
                      <w:rFonts w:ascii="Times New Roman" w:hAnsi="Times New Roman" w:cs="Times New Roman"/>
                      <w:b/>
                      <w:sz w:val="21"/>
                      <w:szCs w:val="21"/>
                    </w:rPr>
                  </w:pPr>
                  <w:r>
                    <w:rPr>
                      <w:rFonts w:ascii="Times New Roman" w:hAnsi="Times New Roman" w:cs="Times New Roman"/>
                      <w:b/>
                      <w:sz w:val="21"/>
                      <w:szCs w:val="21"/>
                    </w:rPr>
                    <w:t>用水量</w:t>
                  </w:r>
                </w:p>
              </w:tc>
              <w:tc>
                <w:tcPr>
                  <w:tcW w:w="981" w:type="pct"/>
                  <w:noWrap w:val="0"/>
                  <w:vAlign w:val="center"/>
                </w:tcPr>
                <w:p>
                  <w:pPr>
                    <w:pStyle w:val="285"/>
                    <w:jc w:val="center"/>
                    <w:rPr>
                      <w:rFonts w:ascii="Times New Roman" w:hAnsi="Times New Roman" w:cs="Times New Roman"/>
                      <w:b/>
                      <w:sz w:val="21"/>
                      <w:szCs w:val="21"/>
                    </w:rPr>
                  </w:pPr>
                  <w:r>
                    <w:rPr>
                      <w:rFonts w:ascii="Times New Roman" w:hAnsi="Times New Roman" w:cs="Times New Roman"/>
                      <w:b/>
                      <w:sz w:val="21"/>
                      <w:szCs w:val="21"/>
                    </w:rPr>
                    <w:t>废水量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27" w:type="pct"/>
                  <w:noWrap w:val="0"/>
                  <w:vAlign w:val="center"/>
                </w:tcPr>
                <w:p>
                  <w:pPr>
                    <w:pStyle w:val="15"/>
                    <w:spacing w:after="0"/>
                    <w:jc w:val="center"/>
                    <w:rPr>
                      <w:bCs/>
                      <w:sz w:val="21"/>
                      <w:szCs w:val="21"/>
                    </w:rPr>
                  </w:pPr>
                  <w:r>
                    <w:rPr>
                      <w:bCs/>
                      <w:sz w:val="21"/>
                      <w:szCs w:val="21"/>
                    </w:rPr>
                    <w:t>1</w:t>
                  </w:r>
                </w:p>
              </w:tc>
              <w:tc>
                <w:tcPr>
                  <w:tcW w:w="1176" w:type="pct"/>
                  <w:noWrap w:val="0"/>
                  <w:vAlign w:val="center"/>
                </w:tcPr>
                <w:p>
                  <w:pPr>
                    <w:pStyle w:val="15"/>
                    <w:spacing w:after="0" w:line="240" w:lineRule="auto"/>
                    <w:ind w:right="113" w:rightChars="0"/>
                    <w:jc w:val="center"/>
                    <w:rPr>
                      <w:bCs/>
                      <w:kern w:val="0"/>
                      <w:sz w:val="21"/>
                      <w:szCs w:val="21"/>
                      <w:lang w:val="en-US" w:eastAsia="zh-CN" w:bidi="ar-SA"/>
                    </w:rPr>
                  </w:pPr>
                  <w:r>
                    <w:rPr>
                      <w:bCs/>
                      <w:sz w:val="21"/>
                      <w:szCs w:val="21"/>
                    </w:rPr>
                    <w:t>住院病床用水</w:t>
                  </w:r>
                </w:p>
              </w:tc>
              <w:tc>
                <w:tcPr>
                  <w:tcW w:w="743" w:type="pct"/>
                  <w:noWrap w:val="0"/>
                  <w:vAlign w:val="center"/>
                </w:tcPr>
                <w:p>
                  <w:pPr>
                    <w:pStyle w:val="15"/>
                    <w:spacing w:after="0"/>
                    <w:jc w:val="center"/>
                    <w:rPr>
                      <w:bCs/>
                      <w:sz w:val="21"/>
                      <w:szCs w:val="21"/>
                    </w:rPr>
                  </w:pPr>
                  <w:r>
                    <w:rPr>
                      <w:rFonts w:hint="eastAsia"/>
                      <w:bCs/>
                      <w:sz w:val="21"/>
                      <w:szCs w:val="21"/>
                      <w:lang w:val="en-US" w:eastAsia="zh-CN"/>
                    </w:rPr>
                    <w:t>180</w:t>
                  </w:r>
                  <w:r>
                    <w:rPr>
                      <w:bCs/>
                      <w:sz w:val="21"/>
                      <w:szCs w:val="21"/>
                    </w:rPr>
                    <w:t>床</w:t>
                  </w:r>
                </w:p>
              </w:tc>
              <w:tc>
                <w:tcPr>
                  <w:tcW w:w="919" w:type="pct"/>
                  <w:noWrap w:val="0"/>
                  <w:vAlign w:val="center"/>
                </w:tcPr>
                <w:p>
                  <w:pPr>
                    <w:pStyle w:val="15"/>
                    <w:spacing w:after="0"/>
                    <w:jc w:val="center"/>
                    <w:rPr>
                      <w:bCs/>
                      <w:sz w:val="21"/>
                      <w:szCs w:val="21"/>
                    </w:rPr>
                  </w:pPr>
                  <w:r>
                    <w:rPr>
                      <w:rFonts w:hint="eastAsia"/>
                      <w:bCs/>
                      <w:sz w:val="21"/>
                      <w:szCs w:val="21"/>
                      <w:lang w:val="en-US" w:eastAsia="zh-CN"/>
                    </w:rPr>
                    <w:t>2</w:t>
                  </w:r>
                  <w:r>
                    <w:rPr>
                      <w:bCs/>
                      <w:sz w:val="21"/>
                      <w:szCs w:val="21"/>
                    </w:rPr>
                    <w:t>00L/床·d</w:t>
                  </w:r>
                </w:p>
              </w:tc>
              <w:tc>
                <w:tcPr>
                  <w:tcW w:w="750" w:type="pct"/>
                  <w:noWrap w:val="0"/>
                  <w:vAlign w:val="center"/>
                </w:tcPr>
                <w:p>
                  <w:pPr>
                    <w:pStyle w:val="15"/>
                    <w:spacing w:after="0"/>
                    <w:jc w:val="center"/>
                    <w:rPr>
                      <w:rFonts w:hint="default" w:eastAsia="宋体"/>
                      <w:bCs/>
                      <w:sz w:val="21"/>
                      <w:szCs w:val="21"/>
                      <w:lang w:val="en-US" w:eastAsia="zh-CN"/>
                    </w:rPr>
                  </w:pPr>
                  <w:r>
                    <w:rPr>
                      <w:rFonts w:hint="eastAsia"/>
                      <w:bCs/>
                      <w:sz w:val="21"/>
                      <w:szCs w:val="21"/>
                      <w:lang w:val="en-US" w:eastAsia="zh-CN"/>
                    </w:rPr>
                    <w:t>36.0</w:t>
                  </w:r>
                </w:p>
              </w:tc>
              <w:tc>
                <w:tcPr>
                  <w:tcW w:w="981" w:type="pct"/>
                  <w:noWrap w:val="0"/>
                  <w:vAlign w:val="center"/>
                </w:tcPr>
                <w:p>
                  <w:pPr>
                    <w:pStyle w:val="15"/>
                    <w:spacing w:after="0"/>
                    <w:jc w:val="center"/>
                    <w:rPr>
                      <w:rFonts w:hint="default" w:eastAsia="宋体"/>
                      <w:bCs/>
                      <w:sz w:val="21"/>
                      <w:szCs w:val="21"/>
                      <w:lang w:val="en-US" w:eastAsia="zh-CN"/>
                    </w:rPr>
                  </w:pPr>
                  <w:r>
                    <w:rPr>
                      <w:rFonts w:hint="eastAsia"/>
                      <w:bCs/>
                      <w:sz w:val="21"/>
                      <w:szCs w:val="21"/>
                      <w:lang w:val="en-US" w:eastAsia="zh-CN"/>
                    </w:rPr>
                    <w:t>28.8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27" w:type="pct"/>
                  <w:noWrap w:val="0"/>
                  <w:vAlign w:val="center"/>
                </w:tcPr>
                <w:p>
                  <w:pPr>
                    <w:pStyle w:val="15"/>
                    <w:spacing w:after="0"/>
                    <w:jc w:val="center"/>
                    <w:rPr>
                      <w:bCs/>
                      <w:sz w:val="21"/>
                      <w:szCs w:val="21"/>
                    </w:rPr>
                  </w:pPr>
                  <w:r>
                    <w:rPr>
                      <w:bCs/>
                      <w:sz w:val="21"/>
                      <w:szCs w:val="21"/>
                    </w:rPr>
                    <w:t>2</w:t>
                  </w:r>
                </w:p>
              </w:tc>
              <w:tc>
                <w:tcPr>
                  <w:tcW w:w="1176" w:type="pct"/>
                  <w:noWrap w:val="0"/>
                  <w:vAlign w:val="center"/>
                </w:tcPr>
                <w:p>
                  <w:pPr>
                    <w:pStyle w:val="15"/>
                    <w:spacing w:after="0" w:line="240" w:lineRule="auto"/>
                    <w:ind w:right="113" w:rightChars="0"/>
                    <w:jc w:val="center"/>
                    <w:rPr>
                      <w:bCs/>
                      <w:kern w:val="0"/>
                      <w:sz w:val="21"/>
                      <w:szCs w:val="21"/>
                      <w:lang w:val="en-US" w:eastAsia="zh-CN" w:bidi="ar-SA"/>
                    </w:rPr>
                  </w:pPr>
                  <w:r>
                    <w:rPr>
                      <w:bCs/>
                      <w:sz w:val="21"/>
                      <w:szCs w:val="21"/>
                    </w:rPr>
                    <w:t>门诊病人</w:t>
                  </w:r>
                </w:p>
              </w:tc>
              <w:tc>
                <w:tcPr>
                  <w:tcW w:w="743" w:type="pct"/>
                  <w:noWrap w:val="0"/>
                  <w:vAlign w:val="center"/>
                </w:tcPr>
                <w:p>
                  <w:pPr>
                    <w:pStyle w:val="15"/>
                    <w:spacing w:after="0"/>
                    <w:jc w:val="center"/>
                    <w:rPr>
                      <w:bCs/>
                      <w:sz w:val="21"/>
                      <w:szCs w:val="21"/>
                    </w:rPr>
                  </w:pPr>
                  <w:r>
                    <w:rPr>
                      <w:rFonts w:hint="eastAsia"/>
                      <w:bCs/>
                      <w:sz w:val="21"/>
                      <w:szCs w:val="21"/>
                      <w:lang w:val="en-US" w:eastAsia="zh-CN"/>
                    </w:rPr>
                    <w:t>5</w:t>
                  </w:r>
                  <w:r>
                    <w:rPr>
                      <w:bCs/>
                      <w:sz w:val="21"/>
                      <w:szCs w:val="21"/>
                    </w:rPr>
                    <w:t>人</w:t>
                  </w:r>
                </w:p>
              </w:tc>
              <w:tc>
                <w:tcPr>
                  <w:tcW w:w="919" w:type="pct"/>
                  <w:noWrap w:val="0"/>
                  <w:vAlign w:val="center"/>
                </w:tcPr>
                <w:p>
                  <w:pPr>
                    <w:pStyle w:val="15"/>
                    <w:spacing w:after="0"/>
                    <w:jc w:val="center"/>
                    <w:rPr>
                      <w:bCs/>
                      <w:sz w:val="21"/>
                      <w:szCs w:val="21"/>
                    </w:rPr>
                  </w:pPr>
                  <w:r>
                    <w:rPr>
                      <w:bCs/>
                      <w:sz w:val="21"/>
                      <w:szCs w:val="21"/>
                    </w:rPr>
                    <w:t>1</w:t>
                  </w:r>
                  <w:r>
                    <w:rPr>
                      <w:rFonts w:hint="eastAsia"/>
                      <w:bCs/>
                      <w:sz w:val="21"/>
                      <w:szCs w:val="21"/>
                      <w:lang w:val="en-US" w:eastAsia="zh-CN"/>
                    </w:rPr>
                    <w:t>0</w:t>
                  </w:r>
                  <w:r>
                    <w:rPr>
                      <w:bCs/>
                      <w:sz w:val="21"/>
                      <w:szCs w:val="21"/>
                    </w:rPr>
                    <w:t>L/d·次</w:t>
                  </w:r>
                </w:p>
              </w:tc>
              <w:tc>
                <w:tcPr>
                  <w:tcW w:w="750" w:type="pct"/>
                  <w:noWrap w:val="0"/>
                  <w:vAlign w:val="center"/>
                </w:tcPr>
                <w:p>
                  <w:pPr>
                    <w:pStyle w:val="15"/>
                    <w:spacing w:after="0"/>
                    <w:jc w:val="center"/>
                    <w:rPr>
                      <w:rFonts w:hint="default" w:eastAsia="宋体"/>
                      <w:bCs/>
                      <w:sz w:val="21"/>
                      <w:szCs w:val="21"/>
                      <w:lang w:val="en-US" w:eastAsia="zh-CN"/>
                    </w:rPr>
                  </w:pPr>
                  <w:r>
                    <w:rPr>
                      <w:rFonts w:hint="eastAsia"/>
                      <w:bCs/>
                      <w:sz w:val="21"/>
                      <w:szCs w:val="21"/>
                      <w:lang w:val="en-US" w:eastAsia="zh-CN"/>
                    </w:rPr>
                    <w:t>0.05</w:t>
                  </w:r>
                </w:p>
              </w:tc>
              <w:tc>
                <w:tcPr>
                  <w:tcW w:w="981" w:type="pct"/>
                  <w:noWrap w:val="0"/>
                  <w:vAlign w:val="center"/>
                </w:tcPr>
                <w:p>
                  <w:pPr>
                    <w:pStyle w:val="15"/>
                    <w:spacing w:after="0"/>
                    <w:jc w:val="center"/>
                    <w:rPr>
                      <w:rFonts w:hint="default" w:eastAsia="宋体"/>
                      <w:bCs/>
                      <w:sz w:val="21"/>
                      <w:szCs w:val="21"/>
                      <w:lang w:val="en-US" w:eastAsia="zh-CN"/>
                    </w:rPr>
                  </w:pPr>
                  <w:r>
                    <w:rPr>
                      <w:rFonts w:hint="eastAsia"/>
                      <w:bCs/>
                      <w:sz w:val="21"/>
                      <w:szCs w:val="21"/>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7" w:type="pct"/>
                  <w:noWrap w:val="0"/>
                  <w:vAlign w:val="center"/>
                </w:tcPr>
                <w:p>
                  <w:pPr>
                    <w:pStyle w:val="15"/>
                    <w:spacing w:after="0"/>
                    <w:jc w:val="center"/>
                    <w:rPr>
                      <w:bCs/>
                      <w:sz w:val="21"/>
                      <w:szCs w:val="21"/>
                    </w:rPr>
                  </w:pPr>
                  <w:r>
                    <w:rPr>
                      <w:bCs/>
                      <w:sz w:val="21"/>
                      <w:szCs w:val="21"/>
                    </w:rPr>
                    <w:t>3</w:t>
                  </w:r>
                </w:p>
              </w:tc>
              <w:tc>
                <w:tcPr>
                  <w:tcW w:w="1176" w:type="pct"/>
                  <w:noWrap w:val="0"/>
                  <w:vAlign w:val="center"/>
                </w:tcPr>
                <w:p>
                  <w:pPr>
                    <w:pStyle w:val="15"/>
                    <w:spacing w:after="0" w:line="240" w:lineRule="auto"/>
                    <w:ind w:right="113" w:rightChars="0"/>
                    <w:jc w:val="center"/>
                    <w:rPr>
                      <w:bCs/>
                      <w:kern w:val="0"/>
                      <w:sz w:val="21"/>
                      <w:szCs w:val="21"/>
                      <w:lang w:val="en-US" w:eastAsia="zh-CN" w:bidi="ar-SA"/>
                    </w:rPr>
                  </w:pPr>
                  <w:r>
                    <w:rPr>
                      <w:rFonts w:hint="eastAsia"/>
                      <w:bCs/>
                      <w:sz w:val="21"/>
                      <w:szCs w:val="21"/>
                    </w:rPr>
                    <w:t>医院职工用水</w:t>
                  </w:r>
                </w:p>
              </w:tc>
              <w:tc>
                <w:tcPr>
                  <w:tcW w:w="743" w:type="pct"/>
                  <w:noWrap w:val="0"/>
                  <w:vAlign w:val="center"/>
                </w:tcPr>
                <w:p>
                  <w:pPr>
                    <w:pStyle w:val="15"/>
                    <w:spacing w:after="0"/>
                    <w:jc w:val="center"/>
                    <w:rPr>
                      <w:bCs/>
                      <w:sz w:val="21"/>
                      <w:szCs w:val="21"/>
                    </w:rPr>
                  </w:pPr>
                  <w:r>
                    <w:rPr>
                      <w:rFonts w:hint="eastAsia"/>
                      <w:bCs/>
                      <w:sz w:val="21"/>
                      <w:szCs w:val="21"/>
                      <w:lang w:val="en-US" w:eastAsia="zh-CN"/>
                    </w:rPr>
                    <w:t>82</w:t>
                  </w:r>
                  <w:r>
                    <w:rPr>
                      <w:bCs/>
                      <w:sz w:val="21"/>
                      <w:szCs w:val="21"/>
                    </w:rPr>
                    <w:t>人</w:t>
                  </w:r>
                </w:p>
              </w:tc>
              <w:tc>
                <w:tcPr>
                  <w:tcW w:w="919" w:type="pct"/>
                  <w:noWrap w:val="0"/>
                  <w:vAlign w:val="center"/>
                </w:tcPr>
                <w:p>
                  <w:pPr>
                    <w:pStyle w:val="15"/>
                    <w:spacing w:after="0"/>
                    <w:jc w:val="center"/>
                    <w:rPr>
                      <w:bCs/>
                      <w:sz w:val="21"/>
                      <w:szCs w:val="21"/>
                    </w:rPr>
                  </w:pPr>
                  <w:r>
                    <w:rPr>
                      <w:rFonts w:hint="eastAsia"/>
                      <w:bCs/>
                      <w:sz w:val="21"/>
                      <w:szCs w:val="21"/>
                      <w:lang w:val="en-US" w:eastAsia="zh-CN"/>
                    </w:rPr>
                    <w:t>3</w:t>
                  </w:r>
                  <w:r>
                    <w:rPr>
                      <w:bCs/>
                      <w:sz w:val="21"/>
                      <w:szCs w:val="21"/>
                    </w:rPr>
                    <w:t>0L/d·人</w:t>
                  </w:r>
                </w:p>
              </w:tc>
              <w:tc>
                <w:tcPr>
                  <w:tcW w:w="750" w:type="pct"/>
                  <w:noWrap w:val="0"/>
                  <w:vAlign w:val="center"/>
                </w:tcPr>
                <w:p>
                  <w:pPr>
                    <w:pStyle w:val="15"/>
                    <w:spacing w:after="0"/>
                    <w:jc w:val="center"/>
                    <w:rPr>
                      <w:rFonts w:hint="default" w:eastAsia="宋体"/>
                      <w:bCs/>
                      <w:sz w:val="21"/>
                      <w:szCs w:val="21"/>
                      <w:lang w:val="en-US" w:eastAsia="zh-CN"/>
                    </w:rPr>
                  </w:pPr>
                  <w:r>
                    <w:rPr>
                      <w:rFonts w:hint="eastAsia"/>
                      <w:bCs/>
                      <w:sz w:val="21"/>
                      <w:szCs w:val="21"/>
                      <w:lang w:val="en-US" w:eastAsia="zh-CN"/>
                    </w:rPr>
                    <w:t>4.1</w:t>
                  </w:r>
                </w:p>
              </w:tc>
              <w:tc>
                <w:tcPr>
                  <w:tcW w:w="981" w:type="pct"/>
                  <w:noWrap w:val="0"/>
                  <w:vAlign w:val="center"/>
                </w:tcPr>
                <w:p>
                  <w:pPr>
                    <w:pStyle w:val="15"/>
                    <w:spacing w:after="0"/>
                    <w:jc w:val="center"/>
                    <w:rPr>
                      <w:rFonts w:hint="default" w:eastAsia="宋体"/>
                      <w:bCs/>
                      <w:sz w:val="21"/>
                      <w:szCs w:val="21"/>
                      <w:lang w:val="en-US" w:eastAsia="zh-CN"/>
                    </w:rPr>
                  </w:pPr>
                  <w:r>
                    <w:rPr>
                      <w:rFonts w:hint="eastAsia"/>
                      <w:bCs/>
                      <w:sz w:val="21"/>
                      <w:szCs w:val="21"/>
                      <w:lang w:val="en-US" w:eastAsia="zh-CN"/>
                    </w:rPr>
                    <w:t>3.28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27" w:type="pct"/>
                  <w:noWrap w:val="0"/>
                  <w:vAlign w:val="center"/>
                </w:tcPr>
                <w:p>
                  <w:pPr>
                    <w:pStyle w:val="15"/>
                    <w:spacing w:after="0"/>
                    <w:jc w:val="center"/>
                    <w:rPr>
                      <w:bCs/>
                      <w:sz w:val="21"/>
                      <w:szCs w:val="21"/>
                    </w:rPr>
                  </w:pPr>
                  <w:r>
                    <w:rPr>
                      <w:bCs/>
                      <w:sz w:val="21"/>
                      <w:szCs w:val="21"/>
                    </w:rPr>
                    <w:t>4</w:t>
                  </w:r>
                </w:p>
              </w:tc>
              <w:tc>
                <w:tcPr>
                  <w:tcW w:w="1176" w:type="pct"/>
                  <w:noWrap w:val="0"/>
                  <w:vAlign w:val="center"/>
                </w:tcPr>
                <w:p>
                  <w:pPr>
                    <w:pStyle w:val="15"/>
                    <w:spacing w:after="0" w:line="240" w:lineRule="auto"/>
                    <w:ind w:right="113" w:rightChars="0"/>
                    <w:jc w:val="center"/>
                    <w:rPr>
                      <w:bCs/>
                      <w:kern w:val="0"/>
                      <w:sz w:val="21"/>
                      <w:szCs w:val="21"/>
                      <w:lang w:val="en-US" w:eastAsia="zh-CN" w:bidi="ar-SA"/>
                    </w:rPr>
                  </w:pPr>
                  <w:r>
                    <w:rPr>
                      <w:bCs/>
                      <w:sz w:val="21"/>
                      <w:szCs w:val="21"/>
                    </w:rPr>
                    <w:t>检验</w:t>
                  </w:r>
                  <w:r>
                    <w:rPr>
                      <w:rFonts w:hint="eastAsia"/>
                      <w:bCs/>
                      <w:sz w:val="21"/>
                      <w:szCs w:val="21"/>
                      <w:lang w:eastAsia="zh-CN"/>
                    </w:rPr>
                    <w:t>室</w:t>
                  </w:r>
                  <w:r>
                    <w:rPr>
                      <w:bCs/>
                      <w:sz w:val="21"/>
                      <w:szCs w:val="21"/>
                    </w:rPr>
                    <w:t>用水</w:t>
                  </w:r>
                </w:p>
              </w:tc>
              <w:tc>
                <w:tcPr>
                  <w:tcW w:w="743" w:type="pct"/>
                  <w:noWrap w:val="0"/>
                  <w:vAlign w:val="center"/>
                </w:tcPr>
                <w:p>
                  <w:pPr>
                    <w:pStyle w:val="15"/>
                    <w:spacing w:after="0"/>
                    <w:jc w:val="center"/>
                    <w:rPr>
                      <w:bCs/>
                      <w:sz w:val="21"/>
                      <w:szCs w:val="21"/>
                    </w:rPr>
                  </w:pPr>
                  <w:r>
                    <w:rPr>
                      <w:bCs/>
                      <w:sz w:val="21"/>
                      <w:szCs w:val="21"/>
                    </w:rPr>
                    <w:t>/</w:t>
                  </w:r>
                </w:p>
              </w:tc>
              <w:tc>
                <w:tcPr>
                  <w:tcW w:w="919" w:type="pct"/>
                  <w:noWrap w:val="0"/>
                  <w:vAlign w:val="center"/>
                </w:tcPr>
                <w:p>
                  <w:pPr>
                    <w:pStyle w:val="15"/>
                    <w:spacing w:after="0"/>
                    <w:jc w:val="center"/>
                    <w:rPr>
                      <w:bCs/>
                      <w:sz w:val="21"/>
                      <w:szCs w:val="21"/>
                    </w:rPr>
                  </w:pPr>
                  <w:r>
                    <w:rPr>
                      <w:bCs/>
                      <w:sz w:val="21"/>
                      <w:szCs w:val="21"/>
                    </w:rPr>
                    <w:t>/</w:t>
                  </w:r>
                </w:p>
              </w:tc>
              <w:tc>
                <w:tcPr>
                  <w:tcW w:w="750" w:type="pct"/>
                  <w:noWrap w:val="0"/>
                  <w:vAlign w:val="center"/>
                </w:tcPr>
                <w:p>
                  <w:pPr>
                    <w:pStyle w:val="15"/>
                    <w:spacing w:after="0"/>
                    <w:jc w:val="center"/>
                    <w:rPr>
                      <w:rFonts w:hint="default" w:eastAsia="宋体"/>
                      <w:bCs/>
                      <w:sz w:val="21"/>
                      <w:szCs w:val="21"/>
                      <w:lang w:val="en-US" w:eastAsia="zh-CN"/>
                    </w:rPr>
                  </w:pPr>
                  <w:r>
                    <w:rPr>
                      <w:rFonts w:hint="eastAsia"/>
                      <w:bCs/>
                      <w:sz w:val="21"/>
                      <w:szCs w:val="21"/>
                      <w:lang w:val="en-US" w:eastAsia="zh-CN"/>
                    </w:rPr>
                    <w:t>0.01</w:t>
                  </w:r>
                </w:p>
              </w:tc>
              <w:tc>
                <w:tcPr>
                  <w:tcW w:w="981" w:type="pct"/>
                  <w:noWrap w:val="0"/>
                  <w:vAlign w:val="center"/>
                </w:tcPr>
                <w:p>
                  <w:pPr>
                    <w:pStyle w:val="15"/>
                    <w:spacing w:after="0"/>
                    <w:jc w:val="center"/>
                    <w:rPr>
                      <w:rFonts w:hint="default" w:eastAsia="宋体"/>
                      <w:bCs/>
                      <w:sz w:val="21"/>
                      <w:szCs w:val="21"/>
                      <w:lang w:val="en-US" w:eastAsia="zh-CN"/>
                    </w:rPr>
                  </w:pPr>
                  <w:r>
                    <w:rPr>
                      <w:rFonts w:hint="eastAsia"/>
                      <w:bCs/>
                      <w:sz w:val="21"/>
                      <w:szCs w:val="21"/>
                      <w:lang w:val="en-US" w:eastAsia="zh-CN"/>
                    </w:rPr>
                    <w:t>0.008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27" w:type="pct"/>
                  <w:noWrap w:val="0"/>
                  <w:vAlign w:val="center"/>
                </w:tcPr>
                <w:p>
                  <w:pPr>
                    <w:pStyle w:val="15"/>
                    <w:spacing w:after="0"/>
                    <w:jc w:val="center"/>
                    <w:rPr>
                      <w:bCs/>
                      <w:sz w:val="21"/>
                      <w:szCs w:val="21"/>
                    </w:rPr>
                  </w:pPr>
                  <w:r>
                    <w:rPr>
                      <w:bCs/>
                      <w:sz w:val="21"/>
                      <w:szCs w:val="21"/>
                    </w:rPr>
                    <w:t>5</w:t>
                  </w:r>
                </w:p>
              </w:tc>
              <w:tc>
                <w:tcPr>
                  <w:tcW w:w="1176" w:type="pct"/>
                  <w:noWrap w:val="0"/>
                  <w:vAlign w:val="center"/>
                </w:tcPr>
                <w:p>
                  <w:pPr>
                    <w:pStyle w:val="15"/>
                    <w:spacing w:after="0" w:line="240" w:lineRule="auto"/>
                    <w:ind w:right="113" w:rightChars="0"/>
                    <w:jc w:val="center"/>
                    <w:rPr>
                      <w:bCs/>
                      <w:kern w:val="0"/>
                      <w:sz w:val="21"/>
                      <w:szCs w:val="21"/>
                      <w:lang w:val="en-US" w:eastAsia="zh-CN" w:bidi="ar-SA"/>
                    </w:rPr>
                  </w:pPr>
                  <w:r>
                    <w:rPr>
                      <w:bCs/>
                      <w:sz w:val="21"/>
                      <w:szCs w:val="21"/>
                    </w:rPr>
                    <w:t>浆洗用水</w:t>
                  </w:r>
                </w:p>
              </w:tc>
              <w:tc>
                <w:tcPr>
                  <w:tcW w:w="743" w:type="pct"/>
                  <w:noWrap w:val="0"/>
                  <w:vAlign w:val="center"/>
                </w:tcPr>
                <w:p>
                  <w:pPr>
                    <w:pStyle w:val="15"/>
                    <w:spacing w:after="0"/>
                    <w:jc w:val="center"/>
                    <w:rPr>
                      <w:rFonts w:hint="eastAsia" w:eastAsia="宋体"/>
                      <w:bCs/>
                      <w:sz w:val="21"/>
                      <w:szCs w:val="21"/>
                      <w:lang w:eastAsia="zh-CN"/>
                    </w:rPr>
                  </w:pPr>
                  <w:r>
                    <w:rPr>
                      <w:rFonts w:hint="eastAsia"/>
                      <w:bCs/>
                      <w:sz w:val="21"/>
                      <w:szCs w:val="21"/>
                      <w:lang w:val="en-US" w:eastAsia="zh-CN"/>
                    </w:rPr>
                    <w:t>/</w:t>
                  </w:r>
                </w:p>
              </w:tc>
              <w:tc>
                <w:tcPr>
                  <w:tcW w:w="919" w:type="pct"/>
                  <w:noWrap w:val="0"/>
                  <w:vAlign w:val="center"/>
                </w:tcPr>
                <w:p>
                  <w:pPr>
                    <w:pStyle w:val="15"/>
                    <w:spacing w:after="0"/>
                    <w:jc w:val="center"/>
                    <w:rPr>
                      <w:bCs/>
                      <w:sz w:val="21"/>
                      <w:szCs w:val="21"/>
                    </w:rPr>
                  </w:pPr>
                  <w:r>
                    <w:rPr>
                      <w:rFonts w:hint="eastAsia"/>
                      <w:bCs/>
                      <w:sz w:val="21"/>
                      <w:szCs w:val="21"/>
                      <w:lang w:val="en-US" w:eastAsia="zh-CN"/>
                    </w:rPr>
                    <w:t>4</w:t>
                  </w:r>
                  <w:r>
                    <w:rPr>
                      <w:bCs/>
                      <w:sz w:val="21"/>
                      <w:szCs w:val="21"/>
                    </w:rPr>
                    <w:t>0L/kg</w:t>
                  </w:r>
                </w:p>
              </w:tc>
              <w:tc>
                <w:tcPr>
                  <w:tcW w:w="750" w:type="pct"/>
                  <w:noWrap w:val="0"/>
                  <w:vAlign w:val="center"/>
                </w:tcPr>
                <w:p>
                  <w:pPr>
                    <w:pStyle w:val="15"/>
                    <w:spacing w:after="0"/>
                    <w:jc w:val="center"/>
                    <w:rPr>
                      <w:rFonts w:hint="default" w:eastAsia="宋体"/>
                      <w:bCs/>
                      <w:sz w:val="21"/>
                      <w:szCs w:val="21"/>
                      <w:lang w:val="en-US" w:eastAsia="zh-CN"/>
                    </w:rPr>
                  </w:pPr>
                  <w:r>
                    <w:rPr>
                      <w:rFonts w:hint="eastAsia"/>
                      <w:bCs/>
                      <w:sz w:val="21"/>
                      <w:szCs w:val="21"/>
                      <w:lang w:val="en-US" w:eastAsia="zh-CN"/>
                    </w:rPr>
                    <w:t>14.4</w:t>
                  </w:r>
                </w:p>
              </w:tc>
              <w:tc>
                <w:tcPr>
                  <w:tcW w:w="981" w:type="pct"/>
                  <w:noWrap w:val="0"/>
                  <w:vAlign w:val="center"/>
                </w:tcPr>
                <w:p>
                  <w:pPr>
                    <w:pStyle w:val="15"/>
                    <w:spacing w:after="0"/>
                    <w:jc w:val="center"/>
                    <w:rPr>
                      <w:rFonts w:hint="default" w:eastAsia="宋体"/>
                      <w:bCs/>
                      <w:sz w:val="21"/>
                      <w:szCs w:val="21"/>
                      <w:lang w:val="en-US" w:eastAsia="zh-CN"/>
                    </w:rPr>
                  </w:pPr>
                  <w:r>
                    <w:rPr>
                      <w:rFonts w:hint="eastAsia"/>
                      <w:bCs/>
                      <w:sz w:val="21"/>
                      <w:szCs w:val="21"/>
                      <w:lang w:val="en-US" w:eastAsia="zh-CN"/>
                    </w:rPr>
                    <w:t>11.52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7" w:type="pct"/>
                  <w:noWrap w:val="0"/>
                  <w:vAlign w:val="center"/>
                </w:tcPr>
                <w:p>
                  <w:pPr>
                    <w:pStyle w:val="15"/>
                    <w:spacing w:after="0"/>
                    <w:jc w:val="center"/>
                    <w:rPr>
                      <w:bCs/>
                      <w:sz w:val="21"/>
                      <w:szCs w:val="21"/>
                    </w:rPr>
                  </w:pPr>
                  <w:r>
                    <w:rPr>
                      <w:bCs/>
                      <w:sz w:val="21"/>
                      <w:szCs w:val="21"/>
                    </w:rPr>
                    <w:t>6</w:t>
                  </w:r>
                </w:p>
              </w:tc>
              <w:tc>
                <w:tcPr>
                  <w:tcW w:w="1176" w:type="pct"/>
                  <w:noWrap w:val="0"/>
                  <w:vAlign w:val="center"/>
                </w:tcPr>
                <w:p>
                  <w:pPr>
                    <w:pStyle w:val="15"/>
                    <w:spacing w:after="0" w:line="240" w:lineRule="auto"/>
                    <w:ind w:right="113" w:rightChars="0"/>
                    <w:jc w:val="center"/>
                    <w:rPr>
                      <w:bCs/>
                      <w:kern w:val="0"/>
                      <w:sz w:val="21"/>
                      <w:szCs w:val="21"/>
                      <w:lang w:val="en-US" w:eastAsia="zh-CN" w:bidi="ar-SA"/>
                    </w:rPr>
                  </w:pPr>
                  <w:r>
                    <w:rPr>
                      <w:rFonts w:hint="eastAsia"/>
                      <w:bCs/>
                      <w:sz w:val="21"/>
                      <w:szCs w:val="21"/>
                      <w:lang w:eastAsia="zh-CN"/>
                    </w:rPr>
                    <w:t>厨房</w:t>
                  </w:r>
                  <w:r>
                    <w:rPr>
                      <w:bCs/>
                      <w:sz w:val="21"/>
                      <w:szCs w:val="21"/>
                    </w:rPr>
                    <w:t>用水</w:t>
                  </w:r>
                </w:p>
              </w:tc>
              <w:tc>
                <w:tcPr>
                  <w:tcW w:w="743" w:type="pct"/>
                  <w:noWrap w:val="0"/>
                  <w:vAlign w:val="center"/>
                </w:tcPr>
                <w:p>
                  <w:pPr>
                    <w:jc w:val="center"/>
                    <w:rPr>
                      <w:bCs/>
                      <w:sz w:val="21"/>
                      <w:szCs w:val="21"/>
                    </w:rPr>
                  </w:pPr>
                  <w:r>
                    <w:rPr>
                      <w:rFonts w:hint="eastAsia"/>
                      <w:bCs/>
                      <w:sz w:val="21"/>
                      <w:szCs w:val="21"/>
                      <w:lang w:val="en-US" w:eastAsia="zh-CN"/>
                    </w:rPr>
                    <w:t>262</w:t>
                  </w:r>
                  <w:r>
                    <w:rPr>
                      <w:bCs/>
                      <w:sz w:val="21"/>
                      <w:szCs w:val="21"/>
                    </w:rPr>
                    <w:t>人</w:t>
                  </w:r>
                </w:p>
              </w:tc>
              <w:tc>
                <w:tcPr>
                  <w:tcW w:w="919" w:type="pct"/>
                  <w:noWrap w:val="0"/>
                  <w:vAlign w:val="center"/>
                </w:tcPr>
                <w:p>
                  <w:pPr>
                    <w:jc w:val="center"/>
                    <w:rPr>
                      <w:bCs/>
                      <w:sz w:val="21"/>
                      <w:szCs w:val="21"/>
                    </w:rPr>
                  </w:pPr>
                  <w:r>
                    <w:rPr>
                      <w:bCs/>
                      <w:sz w:val="21"/>
                      <w:szCs w:val="21"/>
                    </w:rPr>
                    <w:t>20L/人·次</w:t>
                  </w:r>
                </w:p>
              </w:tc>
              <w:tc>
                <w:tcPr>
                  <w:tcW w:w="750" w:type="pct"/>
                  <w:noWrap w:val="0"/>
                  <w:vAlign w:val="center"/>
                </w:tcPr>
                <w:p>
                  <w:pPr>
                    <w:pStyle w:val="15"/>
                    <w:spacing w:after="0"/>
                    <w:jc w:val="center"/>
                    <w:rPr>
                      <w:rFonts w:hint="default" w:eastAsia="宋体"/>
                      <w:bCs/>
                      <w:sz w:val="21"/>
                      <w:szCs w:val="21"/>
                      <w:lang w:val="en-US" w:eastAsia="zh-CN"/>
                    </w:rPr>
                  </w:pPr>
                  <w:r>
                    <w:rPr>
                      <w:rFonts w:hint="eastAsia"/>
                      <w:bCs/>
                      <w:sz w:val="21"/>
                      <w:szCs w:val="21"/>
                      <w:lang w:val="en-US" w:eastAsia="zh-CN"/>
                    </w:rPr>
                    <w:t>5.24</w:t>
                  </w:r>
                </w:p>
              </w:tc>
              <w:tc>
                <w:tcPr>
                  <w:tcW w:w="981" w:type="pct"/>
                  <w:noWrap w:val="0"/>
                  <w:vAlign w:val="center"/>
                </w:tcPr>
                <w:p>
                  <w:pPr>
                    <w:pStyle w:val="15"/>
                    <w:spacing w:after="0"/>
                    <w:jc w:val="center"/>
                    <w:rPr>
                      <w:rFonts w:hint="default" w:eastAsia="宋体"/>
                      <w:bCs/>
                      <w:sz w:val="21"/>
                      <w:szCs w:val="21"/>
                      <w:lang w:val="en-US" w:eastAsia="zh-CN"/>
                    </w:rPr>
                  </w:pPr>
                  <w:r>
                    <w:rPr>
                      <w:rFonts w:hint="eastAsia"/>
                      <w:bCs/>
                      <w:sz w:val="21"/>
                      <w:szCs w:val="21"/>
                      <w:lang w:val="en-US" w:eastAsia="zh-CN"/>
                    </w:rPr>
                    <w:t>4.192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27" w:type="pct"/>
                  <w:noWrap w:val="0"/>
                  <w:vAlign w:val="center"/>
                </w:tcPr>
                <w:p>
                  <w:pPr>
                    <w:pStyle w:val="15"/>
                    <w:spacing w:after="0"/>
                    <w:jc w:val="center"/>
                    <w:rPr>
                      <w:bCs/>
                      <w:sz w:val="21"/>
                      <w:szCs w:val="21"/>
                    </w:rPr>
                  </w:pPr>
                  <w:r>
                    <w:rPr>
                      <w:bCs/>
                      <w:sz w:val="21"/>
                      <w:szCs w:val="21"/>
                    </w:rPr>
                    <w:t>7</w:t>
                  </w:r>
                </w:p>
              </w:tc>
              <w:tc>
                <w:tcPr>
                  <w:tcW w:w="1176" w:type="pct"/>
                  <w:noWrap w:val="0"/>
                  <w:vAlign w:val="center"/>
                </w:tcPr>
                <w:p>
                  <w:pPr>
                    <w:pStyle w:val="2"/>
                    <w:spacing w:after="0" w:line="240" w:lineRule="auto"/>
                    <w:ind w:left="0" w:leftChars="0"/>
                    <w:jc w:val="center"/>
                    <w:rPr>
                      <w:bCs/>
                      <w:kern w:val="2"/>
                      <w:sz w:val="21"/>
                      <w:szCs w:val="21"/>
                      <w:lang w:val="en-US" w:eastAsia="zh-CN" w:bidi="ar-SA"/>
                    </w:rPr>
                  </w:pPr>
                  <w:r>
                    <w:rPr>
                      <w:bCs/>
                      <w:sz w:val="21"/>
                      <w:szCs w:val="21"/>
                    </w:rPr>
                    <w:t>绿化用水</w:t>
                  </w:r>
                </w:p>
              </w:tc>
              <w:tc>
                <w:tcPr>
                  <w:tcW w:w="743" w:type="pct"/>
                  <w:noWrap w:val="0"/>
                  <w:vAlign w:val="center"/>
                </w:tcPr>
                <w:p>
                  <w:pPr>
                    <w:jc w:val="center"/>
                    <w:rPr>
                      <w:bCs/>
                      <w:sz w:val="21"/>
                      <w:szCs w:val="21"/>
                    </w:rPr>
                  </w:pPr>
                  <w:r>
                    <w:rPr>
                      <w:rFonts w:hint="eastAsia"/>
                      <w:bCs/>
                      <w:sz w:val="21"/>
                      <w:szCs w:val="21"/>
                      <w:lang w:val="en-US" w:eastAsia="zh-CN"/>
                    </w:rPr>
                    <w:t>50</w:t>
                  </w:r>
                  <w:r>
                    <w:rPr>
                      <w:bCs/>
                      <w:sz w:val="21"/>
                      <w:szCs w:val="21"/>
                    </w:rPr>
                    <w:t>m</w:t>
                  </w:r>
                  <w:r>
                    <w:rPr>
                      <w:bCs/>
                      <w:sz w:val="21"/>
                      <w:szCs w:val="21"/>
                      <w:vertAlign w:val="superscript"/>
                    </w:rPr>
                    <w:t>2</w:t>
                  </w:r>
                </w:p>
              </w:tc>
              <w:tc>
                <w:tcPr>
                  <w:tcW w:w="919" w:type="pct"/>
                  <w:noWrap w:val="0"/>
                  <w:vAlign w:val="center"/>
                </w:tcPr>
                <w:p>
                  <w:pPr>
                    <w:jc w:val="center"/>
                    <w:rPr>
                      <w:bCs/>
                      <w:sz w:val="21"/>
                      <w:szCs w:val="21"/>
                    </w:rPr>
                  </w:pPr>
                  <w:r>
                    <w:rPr>
                      <w:bCs/>
                      <w:sz w:val="21"/>
                      <w:szCs w:val="21"/>
                    </w:rPr>
                    <w:t>0.77m</w:t>
                  </w:r>
                  <w:r>
                    <w:rPr>
                      <w:bCs/>
                      <w:sz w:val="21"/>
                      <w:szCs w:val="21"/>
                      <w:vertAlign w:val="superscript"/>
                    </w:rPr>
                    <w:t>3</w:t>
                  </w:r>
                  <w:r>
                    <w:rPr>
                      <w:bCs/>
                      <w:sz w:val="21"/>
                      <w:szCs w:val="21"/>
                    </w:rPr>
                    <w:t>/(m</w:t>
                  </w:r>
                  <w:r>
                    <w:rPr>
                      <w:bCs/>
                      <w:sz w:val="21"/>
                      <w:szCs w:val="21"/>
                      <w:vertAlign w:val="superscript"/>
                    </w:rPr>
                    <w:t>2</w:t>
                  </w:r>
                  <w:r>
                    <w:rPr>
                      <w:bCs/>
                      <w:sz w:val="21"/>
                      <w:szCs w:val="21"/>
                    </w:rPr>
                    <w:t>·a)</w:t>
                  </w:r>
                </w:p>
              </w:tc>
              <w:tc>
                <w:tcPr>
                  <w:tcW w:w="750" w:type="pct"/>
                  <w:noWrap w:val="0"/>
                  <w:vAlign w:val="center"/>
                </w:tcPr>
                <w:p>
                  <w:pPr>
                    <w:pStyle w:val="15"/>
                    <w:spacing w:after="0"/>
                    <w:jc w:val="center"/>
                    <w:rPr>
                      <w:rFonts w:hint="default" w:eastAsia="宋体"/>
                      <w:bCs/>
                      <w:sz w:val="21"/>
                      <w:szCs w:val="21"/>
                      <w:lang w:val="en-US" w:eastAsia="zh-CN"/>
                    </w:rPr>
                  </w:pPr>
                  <w:r>
                    <w:rPr>
                      <w:rFonts w:hint="eastAsia"/>
                      <w:bCs/>
                      <w:sz w:val="21"/>
                      <w:szCs w:val="21"/>
                      <w:lang w:val="en-US" w:eastAsia="zh-CN"/>
                    </w:rPr>
                    <w:t>0.01</w:t>
                  </w:r>
                </w:p>
              </w:tc>
              <w:tc>
                <w:tcPr>
                  <w:tcW w:w="981" w:type="pct"/>
                  <w:noWrap w:val="0"/>
                  <w:vAlign w:val="center"/>
                </w:tcPr>
                <w:p>
                  <w:pPr>
                    <w:pStyle w:val="15"/>
                    <w:spacing w:after="0"/>
                    <w:jc w:val="center"/>
                    <w:rPr>
                      <w:rFonts w:hint="eastAsia" w:eastAsia="宋体"/>
                      <w:bCs/>
                      <w:sz w:val="21"/>
                      <w:szCs w:val="21"/>
                      <w:lang w:eastAsia="zh-CN"/>
                    </w:rPr>
                  </w:pPr>
                  <w:r>
                    <w:rPr>
                      <w:rFonts w:hint="eastAsia"/>
                      <w:bCs/>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27" w:type="pct"/>
                  <w:noWrap w:val="0"/>
                  <w:vAlign w:val="center"/>
                </w:tcPr>
                <w:p>
                  <w:pPr>
                    <w:pStyle w:val="15"/>
                    <w:spacing w:after="0"/>
                    <w:jc w:val="center"/>
                    <w:rPr>
                      <w:rFonts w:hint="eastAsia" w:eastAsia="宋体"/>
                      <w:bCs/>
                      <w:sz w:val="21"/>
                      <w:szCs w:val="21"/>
                      <w:lang w:eastAsia="zh-CN"/>
                    </w:rPr>
                  </w:pPr>
                  <w:r>
                    <w:rPr>
                      <w:rFonts w:hint="eastAsia"/>
                      <w:bCs/>
                      <w:sz w:val="21"/>
                      <w:szCs w:val="21"/>
                      <w:lang w:val="en-US" w:eastAsia="zh-CN"/>
                    </w:rPr>
                    <w:t>8</w:t>
                  </w:r>
                </w:p>
              </w:tc>
              <w:tc>
                <w:tcPr>
                  <w:tcW w:w="1176" w:type="pct"/>
                  <w:noWrap w:val="0"/>
                  <w:vAlign w:val="center"/>
                </w:tcPr>
                <w:p>
                  <w:pPr>
                    <w:pStyle w:val="2"/>
                    <w:spacing w:after="0" w:line="240" w:lineRule="auto"/>
                    <w:ind w:left="0" w:leftChars="0"/>
                    <w:jc w:val="center"/>
                    <w:rPr>
                      <w:bCs/>
                      <w:sz w:val="21"/>
                      <w:szCs w:val="21"/>
                    </w:rPr>
                  </w:pPr>
                  <w:r>
                    <w:rPr>
                      <w:bCs/>
                      <w:sz w:val="21"/>
                      <w:szCs w:val="21"/>
                    </w:rPr>
                    <w:t>未预见用水</w:t>
                  </w:r>
                </w:p>
              </w:tc>
              <w:tc>
                <w:tcPr>
                  <w:tcW w:w="1663" w:type="pct"/>
                  <w:gridSpan w:val="2"/>
                  <w:noWrap w:val="0"/>
                  <w:vAlign w:val="center"/>
                </w:tcPr>
                <w:p>
                  <w:pPr>
                    <w:pStyle w:val="2"/>
                    <w:spacing w:after="0" w:line="240" w:lineRule="auto"/>
                    <w:ind w:left="0" w:leftChars="0"/>
                    <w:jc w:val="center"/>
                    <w:rPr>
                      <w:bCs/>
                      <w:sz w:val="21"/>
                      <w:szCs w:val="21"/>
                    </w:rPr>
                  </w:pPr>
                  <w:r>
                    <w:rPr>
                      <w:bCs/>
                      <w:sz w:val="21"/>
                      <w:szCs w:val="21"/>
                    </w:rPr>
                    <w:t>按以上各用水总量的5%计</w:t>
                  </w:r>
                </w:p>
              </w:tc>
              <w:tc>
                <w:tcPr>
                  <w:tcW w:w="750" w:type="pct"/>
                  <w:noWrap w:val="0"/>
                  <w:vAlign w:val="center"/>
                </w:tcPr>
                <w:p>
                  <w:pPr>
                    <w:pStyle w:val="15"/>
                    <w:spacing w:after="0"/>
                    <w:jc w:val="center"/>
                    <w:rPr>
                      <w:rFonts w:hint="default" w:eastAsia="宋体"/>
                      <w:bCs/>
                      <w:sz w:val="21"/>
                      <w:szCs w:val="21"/>
                      <w:lang w:val="en-US" w:eastAsia="zh-CN"/>
                    </w:rPr>
                  </w:pPr>
                  <w:r>
                    <w:rPr>
                      <w:rFonts w:hint="eastAsia"/>
                      <w:bCs/>
                      <w:sz w:val="21"/>
                      <w:szCs w:val="21"/>
                      <w:lang w:val="en-US" w:eastAsia="zh-CN"/>
                    </w:rPr>
                    <w:t>2.9905</w:t>
                  </w:r>
                </w:p>
              </w:tc>
              <w:tc>
                <w:tcPr>
                  <w:tcW w:w="981" w:type="pct"/>
                  <w:noWrap w:val="0"/>
                  <w:vAlign w:val="center"/>
                </w:tcPr>
                <w:p>
                  <w:pPr>
                    <w:pStyle w:val="15"/>
                    <w:spacing w:after="0"/>
                    <w:jc w:val="center"/>
                    <w:rPr>
                      <w:bCs/>
                      <w:sz w:val="21"/>
                      <w:szCs w:val="21"/>
                    </w:rPr>
                  </w:pPr>
                  <w:r>
                    <w:rPr>
                      <w:bCs/>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3267" w:type="pct"/>
                  <w:gridSpan w:val="4"/>
                  <w:noWrap w:val="0"/>
                  <w:vAlign w:val="center"/>
                </w:tcPr>
                <w:p>
                  <w:pPr>
                    <w:pStyle w:val="15"/>
                    <w:spacing w:after="0"/>
                    <w:jc w:val="center"/>
                    <w:rPr>
                      <w:bCs/>
                      <w:sz w:val="21"/>
                      <w:szCs w:val="21"/>
                    </w:rPr>
                  </w:pPr>
                  <w:r>
                    <w:rPr>
                      <w:bCs/>
                      <w:sz w:val="21"/>
                      <w:szCs w:val="21"/>
                    </w:rPr>
                    <w:t>合计</w:t>
                  </w:r>
                </w:p>
              </w:tc>
              <w:tc>
                <w:tcPr>
                  <w:tcW w:w="750" w:type="pct"/>
                  <w:noWrap w:val="0"/>
                  <w:vAlign w:val="center"/>
                </w:tcPr>
                <w:p>
                  <w:pPr>
                    <w:pStyle w:val="15"/>
                    <w:spacing w:after="0"/>
                    <w:jc w:val="center"/>
                    <w:rPr>
                      <w:rFonts w:hint="default" w:eastAsia="宋体"/>
                      <w:bCs/>
                      <w:sz w:val="21"/>
                      <w:szCs w:val="21"/>
                      <w:lang w:val="en-US" w:eastAsia="zh-CN"/>
                    </w:rPr>
                  </w:pPr>
                  <w:r>
                    <w:rPr>
                      <w:rFonts w:hint="eastAsia"/>
                      <w:bCs/>
                      <w:sz w:val="21"/>
                      <w:szCs w:val="21"/>
                      <w:lang w:val="en-US" w:eastAsia="zh-CN"/>
                    </w:rPr>
                    <w:t>62.8005</w:t>
                  </w:r>
                </w:p>
              </w:tc>
              <w:tc>
                <w:tcPr>
                  <w:tcW w:w="981" w:type="pct"/>
                  <w:noWrap w:val="0"/>
                  <w:vAlign w:val="center"/>
                </w:tcPr>
                <w:p>
                  <w:pPr>
                    <w:pStyle w:val="15"/>
                    <w:spacing w:after="0"/>
                    <w:jc w:val="center"/>
                    <w:rPr>
                      <w:rFonts w:hint="default" w:eastAsia="宋体"/>
                      <w:bCs/>
                      <w:sz w:val="21"/>
                      <w:szCs w:val="21"/>
                      <w:lang w:val="en-US" w:eastAsia="zh-CN"/>
                    </w:rPr>
                  </w:pPr>
                  <w:r>
                    <w:rPr>
                      <w:rFonts w:hint="eastAsia"/>
                      <w:bCs/>
                      <w:sz w:val="21"/>
                      <w:szCs w:val="21"/>
                      <w:lang w:val="en-US" w:eastAsia="zh-CN"/>
                    </w:rPr>
                    <w:t>47.84</w:t>
                  </w:r>
                </w:p>
              </w:tc>
            </w:tr>
          </w:tbl>
          <w:p>
            <w:pPr>
              <w:autoSpaceDE w:val="0"/>
              <w:autoSpaceDN w:val="0"/>
              <w:adjustRightInd w:val="0"/>
              <w:snapToGrid w:val="0"/>
              <w:spacing w:line="360" w:lineRule="auto"/>
              <w:ind w:firstLine="480" w:firstLineChars="200"/>
              <w:rPr>
                <w:kern w:val="0"/>
                <w:sz w:val="24"/>
              </w:rPr>
            </w:pPr>
            <w:r>
              <w:rPr>
                <w:kern w:val="0"/>
                <w:sz w:val="24"/>
              </w:rPr>
              <w:t>综上，建成后全院废水排放量为</w:t>
            </w:r>
            <w:r>
              <w:rPr>
                <w:rFonts w:hint="eastAsia"/>
                <w:kern w:val="0"/>
                <w:sz w:val="24"/>
                <w:lang w:val="en-US" w:eastAsia="zh-CN"/>
              </w:rPr>
              <w:t>47.84</w:t>
            </w:r>
            <w:r>
              <w:rPr>
                <w:kern w:val="0"/>
                <w:sz w:val="24"/>
              </w:rPr>
              <w:t>m</w:t>
            </w:r>
            <w:r>
              <w:rPr>
                <w:kern w:val="0"/>
                <w:sz w:val="24"/>
                <w:vertAlign w:val="superscript"/>
              </w:rPr>
              <w:t>3</w:t>
            </w:r>
            <w:r>
              <w:rPr>
                <w:kern w:val="0"/>
                <w:sz w:val="24"/>
              </w:rPr>
              <w:t>/d，项目扩建后全</w:t>
            </w:r>
            <w:r>
              <w:rPr>
                <w:rFonts w:hint="eastAsia"/>
                <w:kern w:val="0"/>
                <w:sz w:val="24"/>
                <w:lang w:eastAsia="zh-CN"/>
              </w:rPr>
              <w:t>院</w:t>
            </w:r>
            <w:r>
              <w:rPr>
                <w:kern w:val="0"/>
                <w:sz w:val="24"/>
              </w:rPr>
              <w:t>用水平衡图如下：</w:t>
            </w:r>
          </w:p>
          <w:p>
            <w:pPr>
              <w:rPr>
                <w:rFonts w:hint="eastAsia"/>
              </w:rPr>
            </w:pPr>
            <w:r>
              <mc:AlternateContent>
                <mc:Choice Requires="wpc">
                  <w:drawing>
                    <wp:inline distT="0" distB="0" distL="114300" distR="114300">
                      <wp:extent cx="4978400" cy="4486275"/>
                      <wp:effectExtent l="0" t="0" r="12700" b="0"/>
                      <wp:docPr id="69" name="画布 6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 name="直接连接符 5"/>
                              <wps:cNvSpPr/>
                              <wps:spPr>
                                <a:xfrm>
                                  <a:off x="36922" y="1760856"/>
                                  <a:ext cx="644285" cy="0"/>
                                </a:xfrm>
                                <a:prstGeom prst="line">
                                  <a:avLst/>
                                </a:prstGeom>
                                <a:ln w="9525" cap="flat" cmpd="sng">
                                  <a:solidFill>
                                    <a:srgbClr val="000000"/>
                                  </a:solidFill>
                                  <a:prstDash val="solid"/>
                                  <a:headEnd type="none" w="med" len="med"/>
                                  <a:tailEnd type="triangle" w="med" len="med"/>
                                </a:ln>
                              </wps:spPr>
                              <wps:bodyPr upright="1"/>
                            </wps:wsp>
                            <wps:wsp>
                              <wps:cNvPr id="6" name="直接连接符 6"/>
                              <wps:cNvSpPr/>
                              <wps:spPr>
                                <a:xfrm>
                                  <a:off x="676910" y="369570"/>
                                  <a:ext cx="8255" cy="3918585"/>
                                </a:xfrm>
                                <a:prstGeom prst="line">
                                  <a:avLst/>
                                </a:prstGeom>
                                <a:ln w="9525" cap="flat" cmpd="sng">
                                  <a:solidFill>
                                    <a:srgbClr val="000000"/>
                                  </a:solidFill>
                                  <a:prstDash val="solid"/>
                                  <a:headEnd type="none" w="med" len="med"/>
                                  <a:tailEnd type="none" w="med" len="med"/>
                                </a:ln>
                              </wps:spPr>
                              <wps:bodyPr upright="1"/>
                            </wps:wsp>
                            <wps:wsp>
                              <wps:cNvPr id="7" name="直接连接符 7"/>
                              <wps:cNvSpPr/>
                              <wps:spPr>
                                <a:xfrm>
                                  <a:off x="676900" y="369570"/>
                                  <a:ext cx="321835" cy="0"/>
                                </a:xfrm>
                                <a:prstGeom prst="line">
                                  <a:avLst/>
                                </a:prstGeom>
                                <a:ln w="9525" cap="flat" cmpd="sng">
                                  <a:solidFill>
                                    <a:srgbClr val="000000"/>
                                  </a:solidFill>
                                  <a:prstDash val="solid"/>
                                  <a:headEnd type="none" w="med" len="med"/>
                                  <a:tailEnd type="triangle" w="med" len="med"/>
                                </a:ln>
                              </wps:spPr>
                              <wps:bodyPr upright="1"/>
                            </wps:wsp>
                            <wps:wsp>
                              <wps:cNvPr id="8" name="直接连接符 8"/>
                              <wps:cNvSpPr/>
                              <wps:spPr>
                                <a:xfrm>
                                  <a:off x="676900" y="2080896"/>
                                  <a:ext cx="321835" cy="634"/>
                                </a:xfrm>
                                <a:prstGeom prst="line">
                                  <a:avLst/>
                                </a:prstGeom>
                                <a:ln w="9525" cap="flat" cmpd="sng">
                                  <a:solidFill>
                                    <a:srgbClr val="000000"/>
                                  </a:solidFill>
                                  <a:prstDash val="solid"/>
                                  <a:headEnd type="none" w="med" len="med"/>
                                  <a:tailEnd type="triangle" w="med" len="med"/>
                                </a:ln>
                              </wps:spPr>
                              <wps:bodyPr upright="1"/>
                            </wps:wsp>
                            <wps:wsp>
                              <wps:cNvPr id="9" name="直接连接符 9"/>
                              <wps:cNvSpPr/>
                              <wps:spPr>
                                <a:xfrm>
                                  <a:off x="676900" y="1625601"/>
                                  <a:ext cx="321835" cy="635"/>
                                </a:xfrm>
                                <a:prstGeom prst="line">
                                  <a:avLst/>
                                </a:prstGeom>
                                <a:ln w="9525" cap="flat" cmpd="sng">
                                  <a:solidFill>
                                    <a:srgbClr val="000000"/>
                                  </a:solidFill>
                                  <a:prstDash val="solid"/>
                                  <a:headEnd type="none" w="med" len="med"/>
                                  <a:tailEnd type="triangle" w="med" len="med"/>
                                </a:ln>
                              </wps:spPr>
                              <wps:bodyPr upright="1"/>
                            </wps:wsp>
                            <wps:wsp>
                              <wps:cNvPr id="10" name="矩形 10"/>
                              <wps:cNvSpPr/>
                              <wps:spPr>
                                <a:xfrm>
                                  <a:off x="996889" y="271145"/>
                                  <a:ext cx="751359"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门诊病人</w:t>
                                    </w:r>
                                  </w:p>
                                </w:txbxContent>
                              </wps:txbx>
                              <wps:bodyPr upright="1"/>
                            </wps:wsp>
                            <wps:wsp>
                              <wps:cNvPr id="11" name="直接连接符 11"/>
                              <wps:cNvSpPr/>
                              <wps:spPr>
                                <a:xfrm flipV="1">
                                  <a:off x="1329185" y="184785"/>
                                  <a:ext cx="214762" cy="92711"/>
                                </a:xfrm>
                                <a:prstGeom prst="line">
                                  <a:avLst/>
                                </a:prstGeom>
                                <a:ln w="9525" cap="flat" cmpd="sng">
                                  <a:solidFill>
                                    <a:srgbClr val="000000"/>
                                  </a:solidFill>
                                  <a:prstDash val="dash"/>
                                  <a:headEnd type="none" w="med" len="med"/>
                                  <a:tailEnd type="triangle" w="med" len="med"/>
                                </a:ln>
                              </wps:spPr>
                              <wps:bodyPr upright="1"/>
                            </wps:wsp>
                            <wps:wsp>
                              <wps:cNvPr id="12" name="矩形 12"/>
                              <wps:cNvSpPr/>
                              <wps:spPr>
                                <a:xfrm>
                                  <a:off x="1329185" y="0"/>
                                  <a:ext cx="644285" cy="279400"/>
                                </a:xfrm>
                                <a:prstGeom prst="rect">
                                  <a:avLst/>
                                </a:prstGeom>
                                <a:solidFill>
                                  <a:srgbClr val="FFFFFF">
                                    <a:alpha val="0"/>
                                  </a:srgbClr>
                                </a:solidFill>
                                <a:ln>
                                  <a:noFill/>
                                </a:ln>
                              </wps:spPr>
                              <wps:txbx>
                                <w:txbxContent>
                                  <w:p>
                                    <w:pPr>
                                      <w:jc w:val="center"/>
                                      <w:rPr>
                                        <w:rFonts w:hint="eastAsia" w:eastAsia="宋体"/>
                                        <w:lang w:eastAsia="zh-CN"/>
                                      </w:rPr>
                                    </w:pPr>
                                    <w:r>
                                      <w:rPr>
                                        <w:rFonts w:hint="eastAsia"/>
                                      </w:rPr>
                                      <w:t>0.0</w:t>
                                    </w:r>
                                    <w:r>
                                      <w:rPr>
                                        <w:rFonts w:hint="eastAsia"/>
                                        <w:lang w:val="en-US" w:eastAsia="zh-CN"/>
                                      </w:rPr>
                                      <w:t>1</w:t>
                                    </w:r>
                                  </w:p>
                                </w:txbxContent>
                              </wps:txbx>
                              <wps:bodyPr upright="1"/>
                            </wps:wsp>
                            <wps:wsp>
                              <wps:cNvPr id="13" name="矩形 13"/>
                              <wps:cNvSpPr/>
                              <wps:spPr>
                                <a:xfrm>
                                  <a:off x="467360" y="153035"/>
                                  <a:ext cx="644525" cy="279400"/>
                                </a:xfrm>
                                <a:prstGeom prst="rect">
                                  <a:avLst/>
                                </a:prstGeom>
                                <a:solidFill>
                                  <a:srgbClr val="FFFFFF">
                                    <a:alpha val="0"/>
                                  </a:srgbClr>
                                </a:solidFill>
                                <a:ln>
                                  <a:noFill/>
                                </a:ln>
                              </wps:spPr>
                              <wps:txbx>
                                <w:txbxContent>
                                  <w:p>
                                    <w:pPr>
                                      <w:jc w:val="center"/>
                                      <w:rPr>
                                        <w:rFonts w:hint="default" w:eastAsia="宋体"/>
                                        <w:lang w:val="en-US" w:eastAsia="zh-CN"/>
                                      </w:rPr>
                                    </w:pPr>
                                    <w:r>
                                      <w:rPr>
                                        <w:rFonts w:hint="eastAsia"/>
                                        <w:lang w:val="en-US" w:eastAsia="zh-CN"/>
                                      </w:rPr>
                                      <w:t>0.05</w:t>
                                    </w:r>
                                  </w:p>
                                </w:txbxContent>
                              </wps:txbx>
                              <wps:bodyPr upright="1"/>
                            </wps:wsp>
                            <wps:wsp>
                              <wps:cNvPr id="14" name="矩形 14"/>
                              <wps:cNvSpPr/>
                              <wps:spPr>
                                <a:xfrm>
                                  <a:off x="504598" y="1391286"/>
                                  <a:ext cx="644285" cy="280035"/>
                                </a:xfrm>
                                <a:prstGeom prst="rect">
                                  <a:avLst/>
                                </a:prstGeom>
                                <a:solidFill>
                                  <a:srgbClr val="FFFFFF">
                                    <a:alpha val="0"/>
                                  </a:srgbClr>
                                </a:solidFill>
                                <a:ln>
                                  <a:noFill/>
                                </a:ln>
                              </wps:spPr>
                              <wps:txbx>
                                <w:txbxContent>
                                  <w:p>
                                    <w:pPr>
                                      <w:jc w:val="center"/>
                                      <w:rPr>
                                        <w:rFonts w:hint="default" w:eastAsia="宋体"/>
                                        <w:lang w:val="en-US" w:eastAsia="zh-CN"/>
                                      </w:rPr>
                                    </w:pPr>
                                    <w:r>
                                      <w:rPr>
                                        <w:rFonts w:hint="eastAsia" w:eastAsia="宋体"/>
                                        <w:lang w:val="en-US" w:eastAsia="zh-CN"/>
                                      </w:rPr>
                                      <w:t>0.01</w:t>
                                    </w:r>
                                  </w:p>
                                </w:txbxContent>
                              </wps:txbx>
                              <wps:bodyPr upright="1"/>
                            </wps:wsp>
                            <wps:wsp>
                              <wps:cNvPr id="15" name="直接连接符 15"/>
                              <wps:cNvSpPr/>
                              <wps:spPr>
                                <a:xfrm flipV="1">
                                  <a:off x="1267649" y="1367156"/>
                                  <a:ext cx="214762" cy="92710"/>
                                </a:xfrm>
                                <a:prstGeom prst="line">
                                  <a:avLst/>
                                </a:prstGeom>
                                <a:ln w="9525" cap="flat" cmpd="sng">
                                  <a:solidFill>
                                    <a:srgbClr val="000000"/>
                                  </a:solidFill>
                                  <a:prstDash val="dash"/>
                                  <a:headEnd type="none" w="med" len="med"/>
                                  <a:tailEnd type="triangle" w="med" len="med"/>
                                </a:ln>
                              </wps:spPr>
                              <wps:bodyPr upright="1"/>
                            </wps:wsp>
                            <wps:wsp>
                              <wps:cNvPr id="16" name="矩形 16"/>
                              <wps:cNvSpPr/>
                              <wps:spPr>
                                <a:xfrm>
                                  <a:off x="1301116" y="1183640"/>
                                  <a:ext cx="644525" cy="279401"/>
                                </a:xfrm>
                                <a:prstGeom prst="rect">
                                  <a:avLst/>
                                </a:prstGeom>
                                <a:solidFill>
                                  <a:srgbClr val="FFFFFF">
                                    <a:alpha val="0"/>
                                  </a:srgbClr>
                                </a:solidFill>
                                <a:ln>
                                  <a:noFill/>
                                </a:ln>
                              </wps:spPr>
                              <wps:txbx>
                                <w:txbxContent>
                                  <w:p>
                                    <w:pPr>
                                      <w:jc w:val="center"/>
                                      <w:rPr>
                                        <w:rFonts w:hint="eastAsia" w:eastAsia="宋体"/>
                                        <w:lang w:val="en-US" w:eastAsia="zh-CN"/>
                                      </w:rPr>
                                    </w:pPr>
                                    <w:r>
                                      <w:rPr>
                                        <w:rFonts w:hint="eastAsia"/>
                                      </w:rPr>
                                      <w:t>0.</w:t>
                                    </w:r>
                                    <w:r>
                                      <w:rPr>
                                        <w:rFonts w:hint="eastAsia"/>
                                        <w:lang w:val="en-US" w:eastAsia="zh-CN"/>
                                      </w:rPr>
                                      <w:t>002</w:t>
                                    </w:r>
                                  </w:p>
                                </w:txbxContent>
                              </wps:txbx>
                              <wps:bodyPr upright="1"/>
                            </wps:wsp>
                            <wps:wsp>
                              <wps:cNvPr id="17" name="直接连接符 17"/>
                              <wps:cNvSpPr/>
                              <wps:spPr>
                                <a:xfrm flipV="1">
                                  <a:off x="1267649" y="1847216"/>
                                  <a:ext cx="214762" cy="92710"/>
                                </a:xfrm>
                                <a:prstGeom prst="line">
                                  <a:avLst/>
                                </a:prstGeom>
                                <a:ln w="9525" cap="flat" cmpd="sng">
                                  <a:solidFill>
                                    <a:srgbClr val="000000"/>
                                  </a:solidFill>
                                  <a:prstDash val="dash"/>
                                  <a:headEnd type="none" w="med" len="med"/>
                                  <a:tailEnd type="triangle" w="med" len="med"/>
                                </a:ln>
                              </wps:spPr>
                              <wps:bodyPr upright="1"/>
                            </wps:wsp>
                            <wps:wsp>
                              <wps:cNvPr id="18" name="矩形 18"/>
                              <wps:cNvSpPr/>
                              <wps:spPr>
                                <a:xfrm>
                                  <a:off x="1292263" y="1699261"/>
                                  <a:ext cx="644285" cy="279400"/>
                                </a:xfrm>
                                <a:prstGeom prst="rect">
                                  <a:avLst/>
                                </a:prstGeom>
                                <a:solidFill>
                                  <a:srgbClr val="FFFFFF">
                                    <a:alpha val="0"/>
                                  </a:srgbClr>
                                </a:solidFill>
                                <a:ln>
                                  <a:noFill/>
                                </a:ln>
                              </wps:spPr>
                              <wps:txbx>
                                <w:txbxContent>
                                  <w:p>
                                    <w:pPr>
                                      <w:jc w:val="center"/>
                                      <w:rPr>
                                        <w:rFonts w:hint="default" w:eastAsia="宋体"/>
                                        <w:lang w:val="en-US" w:eastAsia="zh-CN"/>
                                      </w:rPr>
                                    </w:pPr>
                                    <w:r>
                                      <w:rPr>
                                        <w:rFonts w:hint="eastAsia"/>
                                        <w:lang w:val="en-US" w:eastAsia="zh-CN"/>
                                      </w:rPr>
                                      <w:t>2.88</w:t>
                                    </w:r>
                                  </w:p>
                                </w:txbxContent>
                              </wps:txbx>
                              <wps:bodyPr upright="1"/>
                            </wps:wsp>
                            <wps:wsp>
                              <wps:cNvPr id="19" name="矩形 19"/>
                              <wps:cNvSpPr/>
                              <wps:spPr>
                                <a:xfrm>
                                  <a:off x="529212" y="1847216"/>
                                  <a:ext cx="644285" cy="279400"/>
                                </a:xfrm>
                                <a:prstGeom prst="rect">
                                  <a:avLst/>
                                </a:prstGeom>
                                <a:solidFill>
                                  <a:srgbClr val="FFFFFF">
                                    <a:alpha val="0"/>
                                  </a:srgbClr>
                                </a:solidFill>
                                <a:ln>
                                  <a:noFill/>
                                </a:ln>
                              </wps:spPr>
                              <wps:txbx>
                                <w:txbxContent>
                                  <w:p>
                                    <w:pPr>
                                      <w:jc w:val="center"/>
                                      <w:rPr>
                                        <w:rFonts w:hint="default" w:eastAsia="宋体"/>
                                        <w:lang w:val="en-US" w:eastAsia="zh-CN"/>
                                      </w:rPr>
                                    </w:pPr>
                                    <w:r>
                                      <w:rPr>
                                        <w:rFonts w:hint="eastAsia"/>
                                        <w:lang w:val="en-US" w:eastAsia="zh-CN"/>
                                      </w:rPr>
                                      <w:t>14.4</w:t>
                                    </w:r>
                                  </w:p>
                                </w:txbxContent>
                              </wps:txbx>
                              <wps:bodyPr upright="1"/>
                            </wps:wsp>
                            <wps:wsp>
                              <wps:cNvPr id="20" name="直接连接符 20"/>
                              <wps:cNvSpPr/>
                              <wps:spPr>
                                <a:xfrm flipV="1">
                                  <a:off x="2379345" y="1792605"/>
                                  <a:ext cx="1202055" cy="9525"/>
                                </a:xfrm>
                                <a:prstGeom prst="line">
                                  <a:avLst/>
                                </a:prstGeom>
                                <a:ln w="9525" cap="flat" cmpd="sng">
                                  <a:solidFill>
                                    <a:srgbClr val="000000"/>
                                  </a:solidFill>
                                  <a:prstDash val="solid"/>
                                  <a:headEnd type="none" w="med" len="med"/>
                                  <a:tailEnd type="triangle" w="med" len="med"/>
                                </a:ln>
                              </wps:spPr>
                              <wps:bodyPr upright="1"/>
                            </wps:wsp>
                            <wps:wsp>
                              <wps:cNvPr id="21" name="矩形 21"/>
                              <wps:cNvSpPr/>
                              <wps:spPr>
                                <a:xfrm>
                                  <a:off x="3563620" y="1651000"/>
                                  <a:ext cx="1314450" cy="2990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jc w:val="center"/>
                                      <w:rPr>
                                        <w:rFonts w:hint="eastAsia"/>
                                      </w:rPr>
                                    </w:pPr>
                                    <w:r>
                                      <w:rPr>
                                        <w:rFonts w:hint="eastAsia"/>
                                      </w:rPr>
                                      <w:t>院内</w:t>
                                    </w:r>
                                    <w:r>
                                      <w:rPr>
                                        <w:rFonts w:hint="eastAsia" w:ascii="宋体" w:hAnsi="宋体" w:cs="宋体"/>
                                        <w:kern w:val="0"/>
                                        <w:szCs w:val="21"/>
                                        <w:lang w:bidi="ar"/>
                                      </w:rPr>
                                      <w:t>污水处理站</w:t>
                                    </w:r>
                                  </w:p>
                                </w:txbxContent>
                              </wps:txbx>
                              <wps:bodyPr upright="1"/>
                            </wps:wsp>
                            <wps:wsp>
                              <wps:cNvPr id="22" name="直接连接符 22"/>
                              <wps:cNvSpPr/>
                              <wps:spPr>
                                <a:xfrm>
                                  <a:off x="4209415" y="1952625"/>
                                  <a:ext cx="635" cy="391160"/>
                                </a:xfrm>
                                <a:prstGeom prst="line">
                                  <a:avLst/>
                                </a:prstGeom>
                                <a:ln w="9525" cap="flat" cmpd="sng">
                                  <a:solidFill>
                                    <a:srgbClr val="000000"/>
                                  </a:solidFill>
                                  <a:prstDash val="solid"/>
                                  <a:headEnd type="none" w="med" len="med"/>
                                  <a:tailEnd type="triangle" w="med" len="med"/>
                                </a:ln>
                              </wps:spPr>
                              <wps:bodyPr upright="1"/>
                            </wps:wsp>
                            <wps:wsp>
                              <wps:cNvPr id="23" name="矩形 23"/>
                              <wps:cNvSpPr/>
                              <wps:spPr>
                                <a:xfrm>
                                  <a:off x="1800225" y="233680"/>
                                  <a:ext cx="513715" cy="279400"/>
                                </a:xfrm>
                                <a:prstGeom prst="rect">
                                  <a:avLst/>
                                </a:prstGeom>
                                <a:solidFill>
                                  <a:srgbClr val="FFFFFF">
                                    <a:alpha val="0"/>
                                  </a:srgbClr>
                                </a:solidFill>
                                <a:ln>
                                  <a:noFill/>
                                </a:ln>
                              </wps:spPr>
                              <wps:txbx>
                                <w:txbxContent>
                                  <w:p>
                                    <w:pPr>
                                      <w:jc w:val="center"/>
                                      <w:rPr>
                                        <w:rFonts w:hint="default" w:eastAsia="宋体"/>
                                        <w:lang w:val="en-US" w:eastAsia="zh-CN"/>
                                      </w:rPr>
                                    </w:pPr>
                                    <w:r>
                                      <w:rPr>
                                        <w:rFonts w:hint="eastAsia"/>
                                        <w:lang w:val="en-US" w:eastAsia="zh-CN"/>
                                      </w:rPr>
                                      <w:t>0.04</w:t>
                                    </w:r>
                                  </w:p>
                                </w:txbxContent>
                              </wps:txbx>
                              <wps:bodyPr upright="1"/>
                            </wps:wsp>
                            <wps:wsp>
                              <wps:cNvPr id="24" name="矩形 24"/>
                              <wps:cNvSpPr/>
                              <wps:spPr>
                                <a:xfrm>
                                  <a:off x="1765935" y="1577340"/>
                                  <a:ext cx="644525" cy="279400"/>
                                </a:xfrm>
                                <a:prstGeom prst="rect">
                                  <a:avLst/>
                                </a:prstGeom>
                                <a:solidFill>
                                  <a:srgbClr val="FFFFFF">
                                    <a:alpha val="0"/>
                                  </a:srgbClr>
                                </a:solidFill>
                                <a:ln>
                                  <a:noFill/>
                                </a:ln>
                              </wps:spPr>
                              <wps:txbx>
                                <w:txbxContent>
                                  <w:p>
                                    <w:pPr>
                                      <w:jc w:val="center"/>
                                      <w:rPr>
                                        <w:rFonts w:hint="eastAsia" w:eastAsia="宋体"/>
                                        <w:lang w:val="en-US" w:eastAsia="zh-CN"/>
                                      </w:rPr>
                                    </w:pPr>
                                    <w:r>
                                      <w:rPr>
                                        <w:rFonts w:hint="eastAsia"/>
                                      </w:rPr>
                                      <w:t>0.</w:t>
                                    </w:r>
                                    <w:r>
                                      <w:rPr>
                                        <w:rFonts w:hint="eastAsia"/>
                                        <w:lang w:val="en-US" w:eastAsia="zh-CN"/>
                                      </w:rPr>
                                      <w:t>008</w:t>
                                    </w:r>
                                  </w:p>
                                </w:txbxContent>
                              </wps:txbx>
                              <wps:bodyPr upright="1"/>
                            </wps:wsp>
                            <wps:wsp>
                              <wps:cNvPr id="25" name="矩形 25"/>
                              <wps:cNvSpPr/>
                              <wps:spPr>
                                <a:xfrm>
                                  <a:off x="1744980" y="1841500"/>
                                  <a:ext cx="518160" cy="224790"/>
                                </a:xfrm>
                                <a:prstGeom prst="rect">
                                  <a:avLst/>
                                </a:prstGeom>
                                <a:solidFill>
                                  <a:srgbClr val="FFFFFF">
                                    <a:alpha val="0"/>
                                  </a:srgbClr>
                                </a:solidFill>
                                <a:ln>
                                  <a:noFill/>
                                </a:ln>
                              </wps:spPr>
                              <wps:txbx>
                                <w:txbxContent>
                                  <w:p>
                                    <w:pPr>
                                      <w:jc w:val="center"/>
                                      <w:rPr>
                                        <w:rFonts w:hint="default" w:eastAsia="宋体"/>
                                        <w:lang w:val="en-US" w:eastAsia="zh-CN"/>
                                      </w:rPr>
                                    </w:pPr>
                                    <w:r>
                                      <w:rPr>
                                        <w:rFonts w:hint="eastAsia"/>
                                        <w:lang w:val="en-US" w:eastAsia="zh-CN"/>
                                      </w:rPr>
                                      <w:t>11.52</w:t>
                                    </w:r>
                                  </w:p>
                                </w:txbxContent>
                              </wps:txbx>
                              <wps:bodyPr upright="1"/>
                            </wps:wsp>
                            <wps:wsp>
                              <wps:cNvPr id="26" name="矩形 26"/>
                              <wps:cNvSpPr/>
                              <wps:spPr>
                                <a:xfrm>
                                  <a:off x="1336675" y="2197736"/>
                                  <a:ext cx="644526" cy="279401"/>
                                </a:xfrm>
                                <a:prstGeom prst="rect">
                                  <a:avLst/>
                                </a:prstGeom>
                                <a:solidFill>
                                  <a:srgbClr val="FFFFFF">
                                    <a:alpha val="0"/>
                                  </a:srgbClr>
                                </a:solidFill>
                                <a:ln>
                                  <a:noFill/>
                                </a:ln>
                              </wps:spPr>
                              <wps:txbx>
                                <w:txbxContent>
                                  <w:p>
                                    <w:pPr>
                                      <w:jc w:val="center"/>
                                      <w:rPr>
                                        <w:rFonts w:hint="default" w:eastAsia="宋体"/>
                                        <w:lang w:val="en-US" w:eastAsia="zh-CN"/>
                                      </w:rPr>
                                    </w:pPr>
                                    <w:r>
                                      <w:rPr>
                                        <w:rFonts w:hint="eastAsia"/>
                                        <w:lang w:val="en-US" w:eastAsia="zh-CN"/>
                                      </w:rPr>
                                      <w:t>1.048</w:t>
                                    </w:r>
                                  </w:p>
                                </w:txbxContent>
                              </wps:txbx>
                              <wps:bodyPr upright="1"/>
                            </wps:wsp>
                            <wps:wsp>
                              <wps:cNvPr id="27" name="矩形 27"/>
                              <wps:cNvSpPr/>
                              <wps:spPr>
                                <a:xfrm>
                                  <a:off x="4321810" y="2081530"/>
                                  <a:ext cx="644525" cy="280035"/>
                                </a:xfrm>
                                <a:prstGeom prst="rect">
                                  <a:avLst/>
                                </a:prstGeom>
                                <a:solidFill>
                                  <a:srgbClr val="FFFFFF">
                                    <a:alpha val="0"/>
                                  </a:srgbClr>
                                </a:solidFill>
                                <a:ln>
                                  <a:noFill/>
                                </a:ln>
                              </wps:spPr>
                              <wps:txbx>
                                <w:txbxContent>
                                  <w:p>
                                    <w:pPr>
                                      <w:rPr>
                                        <w:rFonts w:hint="default" w:eastAsia="宋体"/>
                                        <w:lang w:val="en-US" w:eastAsia="zh-CN"/>
                                      </w:rPr>
                                    </w:pPr>
                                    <w:r>
                                      <w:rPr>
                                        <w:rFonts w:hint="eastAsia"/>
                                        <w:lang w:val="en-US" w:eastAsia="zh-CN"/>
                                      </w:rPr>
                                      <w:t>47.84</w:t>
                                    </w:r>
                                  </w:p>
                                </w:txbxContent>
                              </wps:txbx>
                              <wps:bodyPr upright="1"/>
                            </wps:wsp>
                            <wps:wsp>
                              <wps:cNvPr id="28" name="文本框 28"/>
                              <wps:cNvSpPr txBox="1"/>
                              <wps:spPr>
                                <a:xfrm>
                                  <a:off x="3573145" y="2362200"/>
                                  <a:ext cx="1343025" cy="4286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pacing w:line="240" w:lineRule="auto"/>
                                      <w:jc w:val="center"/>
                                      <w:rPr>
                                        <w:rFonts w:hint="eastAsia"/>
                                        <w:szCs w:val="21"/>
                                      </w:rPr>
                                    </w:pPr>
                                    <w:r>
                                      <w:rPr>
                                        <w:rFonts w:hint="eastAsia"/>
                                        <w:szCs w:val="21"/>
                                        <w:lang w:eastAsia="zh-CN"/>
                                      </w:rPr>
                                      <w:t>乐山市第三</w:t>
                                    </w:r>
                                    <w:r>
                                      <w:rPr>
                                        <w:rFonts w:hint="eastAsia"/>
                                        <w:szCs w:val="21"/>
                                      </w:rPr>
                                      <w:t>污水处理厂</w:t>
                                    </w:r>
                                  </w:p>
                                </w:txbxContent>
                              </wps:txbx>
                              <wps:bodyPr upright="1"/>
                            </wps:wsp>
                            <wps:wsp>
                              <wps:cNvPr id="29" name="矩形 29"/>
                              <wps:cNvSpPr/>
                              <wps:spPr>
                                <a:xfrm>
                                  <a:off x="2016125" y="2912745"/>
                                  <a:ext cx="568960" cy="279400"/>
                                </a:xfrm>
                                <a:prstGeom prst="rect">
                                  <a:avLst/>
                                </a:prstGeom>
                                <a:solidFill>
                                  <a:srgbClr val="FFFFFF">
                                    <a:alpha val="0"/>
                                  </a:srgbClr>
                                </a:solidFill>
                                <a:ln>
                                  <a:noFill/>
                                </a:ln>
                              </wps:spPr>
                              <wps:txbx>
                                <w:txbxContent>
                                  <w:p>
                                    <w:pPr>
                                      <w:rPr>
                                        <w:rFonts w:hint="default" w:eastAsia="宋体"/>
                                        <w:lang w:val="en-US" w:eastAsia="zh-CN"/>
                                      </w:rPr>
                                    </w:pPr>
                                    <w:r>
                                      <w:rPr>
                                        <w:rFonts w:hint="eastAsia"/>
                                        <w:lang w:val="en-US" w:eastAsia="zh-CN"/>
                                      </w:rPr>
                                      <w:t>3.28</w:t>
                                    </w:r>
                                  </w:p>
                                </w:txbxContent>
                              </wps:txbx>
                              <wps:bodyPr upright="1"/>
                            </wps:wsp>
                            <wps:wsp>
                              <wps:cNvPr id="30" name="矩形 30"/>
                              <wps:cNvSpPr/>
                              <wps:spPr>
                                <a:xfrm>
                                  <a:off x="996951" y="2487296"/>
                                  <a:ext cx="741680" cy="3028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lang w:eastAsia="zh-CN"/>
                                      </w:rPr>
                                      <w:t>厨房</w:t>
                                    </w:r>
                                    <w:r>
                                      <w:rPr>
                                        <w:rFonts w:hint="eastAsia"/>
                                      </w:rPr>
                                      <w:t>用水</w:t>
                                    </w:r>
                                  </w:p>
                                </w:txbxContent>
                              </wps:txbx>
                              <wps:bodyPr upright="1"/>
                            </wps:wsp>
                            <wps:wsp>
                              <wps:cNvPr id="31" name="直接连接符 31"/>
                              <wps:cNvSpPr/>
                              <wps:spPr>
                                <a:xfrm>
                                  <a:off x="676900" y="2585721"/>
                                  <a:ext cx="321835" cy="635"/>
                                </a:xfrm>
                                <a:prstGeom prst="line">
                                  <a:avLst/>
                                </a:prstGeom>
                                <a:ln w="9525" cap="flat" cmpd="sng">
                                  <a:solidFill>
                                    <a:srgbClr val="000000"/>
                                  </a:solidFill>
                                  <a:prstDash val="solid"/>
                                  <a:headEnd type="none" w="med" len="med"/>
                                  <a:tailEnd type="triangle" w="med" len="med"/>
                                </a:ln>
                              </wps:spPr>
                              <wps:bodyPr upright="1"/>
                            </wps:wsp>
                            <wps:wsp>
                              <wps:cNvPr id="32" name="矩形 32"/>
                              <wps:cNvSpPr/>
                              <wps:spPr>
                                <a:xfrm>
                                  <a:off x="504190" y="2377441"/>
                                  <a:ext cx="644526" cy="279400"/>
                                </a:xfrm>
                                <a:prstGeom prst="rect">
                                  <a:avLst/>
                                </a:prstGeom>
                                <a:solidFill>
                                  <a:srgbClr val="FFFFFF">
                                    <a:alpha val="0"/>
                                  </a:srgbClr>
                                </a:solidFill>
                                <a:ln>
                                  <a:noFill/>
                                </a:ln>
                              </wps:spPr>
                              <wps:txbx>
                                <w:txbxContent>
                                  <w:p>
                                    <w:pPr>
                                      <w:jc w:val="center"/>
                                      <w:rPr>
                                        <w:rFonts w:hint="default" w:eastAsia="宋体"/>
                                        <w:lang w:val="en-US" w:eastAsia="zh-CN"/>
                                      </w:rPr>
                                    </w:pPr>
                                    <w:r>
                                      <w:rPr>
                                        <w:rFonts w:hint="eastAsia"/>
                                        <w:lang w:val="en-US" w:eastAsia="zh-CN"/>
                                      </w:rPr>
                                      <w:t>5.24</w:t>
                                    </w:r>
                                  </w:p>
                                </w:txbxContent>
                              </wps:txbx>
                              <wps:bodyPr upright="1"/>
                            </wps:wsp>
                            <wps:wsp>
                              <wps:cNvPr id="33" name="矩形 33"/>
                              <wps:cNvSpPr/>
                              <wps:spPr>
                                <a:xfrm>
                                  <a:off x="996950" y="1933576"/>
                                  <a:ext cx="762635" cy="2870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浆洗用水</w:t>
                                    </w:r>
                                  </w:p>
                                </w:txbxContent>
                              </wps:txbx>
                              <wps:bodyPr upright="1"/>
                            </wps:wsp>
                            <wps:wsp>
                              <wps:cNvPr id="34" name="直接连接符 34"/>
                              <wps:cNvSpPr/>
                              <wps:spPr>
                                <a:xfrm flipV="1">
                                  <a:off x="1329185" y="2376806"/>
                                  <a:ext cx="214762" cy="92710"/>
                                </a:xfrm>
                                <a:prstGeom prst="line">
                                  <a:avLst/>
                                </a:prstGeom>
                                <a:ln w="9525" cap="flat" cmpd="sng">
                                  <a:solidFill>
                                    <a:srgbClr val="000000"/>
                                  </a:solidFill>
                                  <a:prstDash val="dash"/>
                                  <a:headEnd type="none" w="med" len="med"/>
                                  <a:tailEnd type="triangle" w="med" len="med"/>
                                </a:ln>
                              </wps:spPr>
                              <wps:bodyPr upright="1"/>
                            </wps:wsp>
                            <wps:wsp>
                              <wps:cNvPr id="35" name="矩形 35"/>
                              <wps:cNvSpPr/>
                              <wps:spPr>
                                <a:xfrm>
                                  <a:off x="0" y="1304290"/>
                                  <a:ext cx="792480" cy="467360"/>
                                </a:xfrm>
                                <a:prstGeom prst="rect">
                                  <a:avLst/>
                                </a:prstGeom>
                                <a:solidFill>
                                  <a:srgbClr val="FFFFFF">
                                    <a:alpha val="0"/>
                                  </a:srgbClr>
                                </a:solidFill>
                                <a:ln>
                                  <a:noFill/>
                                </a:ln>
                              </wps:spPr>
                              <wps:txbx>
                                <w:txbxContent>
                                  <w:p>
                                    <w:pPr>
                                      <w:jc w:val="left"/>
                                      <w:rPr>
                                        <w:rFonts w:hint="default" w:eastAsia="宋体"/>
                                        <w:lang w:val="en-US" w:eastAsia="zh-CN"/>
                                      </w:rPr>
                                    </w:pPr>
                                    <w:r>
                                      <w:rPr>
                                        <w:rFonts w:hint="eastAsia"/>
                                      </w:rPr>
                                      <w:t>项目用水量</w:t>
                                    </w:r>
                                    <w:r>
                                      <w:rPr>
                                        <w:rFonts w:hint="eastAsia"/>
                                        <w:lang w:val="en-US" w:eastAsia="zh-CN"/>
                                      </w:rPr>
                                      <w:t>62.8005</w:t>
                                    </w:r>
                                  </w:p>
                                </w:txbxContent>
                              </wps:txbx>
                              <wps:bodyPr upright="1"/>
                            </wps:wsp>
                            <wps:wsp>
                              <wps:cNvPr id="36" name="矩形 36"/>
                              <wps:cNvSpPr/>
                              <wps:spPr>
                                <a:xfrm>
                                  <a:off x="972185" y="886460"/>
                                  <a:ext cx="77597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7"/>
                                      <w:spacing w:before="0" w:beforeAutospacing="0" w:after="0" w:afterAutospacing="0"/>
                                      <w:jc w:val="center"/>
                                    </w:pPr>
                                    <w:r>
                                      <w:rPr>
                                        <w:rFonts w:hint="eastAsia" w:ascii="Times New Roman"/>
                                        <w:kern w:val="2"/>
                                        <w:sz w:val="21"/>
                                        <w:szCs w:val="21"/>
                                      </w:rPr>
                                      <w:t>住院病人</w:t>
                                    </w:r>
                                  </w:p>
                                </w:txbxContent>
                              </wps:txbx>
                              <wps:bodyPr upright="1"/>
                            </wps:wsp>
                            <wps:wsp>
                              <wps:cNvPr id="37" name="矩形 37"/>
                              <wps:cNvSpPr/>
                              <wps:spPr>
                                <a:xfrm>
                                  <a:off x="1641475" y="789305"/>
                                  <a:ext cx="644525" cy="279400"/>
                                </a:xfrm>
                                <a:prstGeom prst="rect">
                                  <a:avLst/>
                                </a:prstGeom>
                                <a:solidFill>
                                  <a:srgbClr val="FFFFFF">
                                    <a:alpha val="0"/>
                                  </a:srgbClr>
                                </a:solidFill>
                                <a:ln>
                                  <a:noFill/>
                                </a:ln>
                              </wps:spPr>
                              <wps:txbx>
                                <w:txbxContent>
                                  <w:p>
                                    <w:pPr>
                                      <w:pStyle w:val="37"/>
                                      <w:spacing w:before="0" w:beforeAutospacing="0" w:after="0" w:afterAutospacing="0"/>
                                      <w:jc w:val="center"/>
                                      <w:rPr>
                                        <w:rFonts w:hint="default" w:eastAsia="宋体"/>
                                        <w:lang w:val="en-US" w:eastAsia="zh-CN"/>
                                      </w:rPr>
                                    </w:pPr>
                                    <w:r>
                                      <w:rPr>
                                        <w:rFonts w:hint="eastAsia" w:ascii="Times New Roman" w:hAnsi="Times New Roman"/>
                                        <w:kern w:val="2"/>
                                        <w:sz w:val="21"/>
                                        <w:szCs w:val="21"/>
                                        <w:lang w:val="en-US" w:eastAsia="zh-CN"/>
                                      </w:rPr>
                                      <w:t>28.8</w:t>
                                    </w:r>
                                  </w:p>
                                </w:txbxContent>
                              </wps:txbx>
                              <wps:bodyPr upright="1"/>
                            </wps:wsp>
                            <wps:wsp>
                              <wps:cNvPr id="38" name="直接连接符 38"/>
                              <wps:cNvSpPr/>
                              <wps:spPr>
                                <a:xfrm>
                                  <a:off x="676900" y="1034415"/>
                                  <a:ext cx="321835" cy="635"/>
                                </a:xfrm>
                                <a:prstGeom prst="line">
                                  <a:avLst/>
                                </a:prstGeom>
                                <a:ln w="9525" cap="flat" cmpd="sng">
                                  <a:solidFill>
                                    <a:srgbClr val="000000"/>
                                  </a:solidFill>
                                  <a:prstDash val="solid"/>
                                  <a:headEnd type="none" w="med" len="med"/>
                                  <a:tailEnd type="triangle" w="med" len="med"/>
                                </a:ln>
                              </wps:spPr>
                              <wps:bodyPr upright="1"/>
                            </wps:wsp>
                            <wps:wsp>
                              <wps:cNvPr id="39" name="矩形 39"/>
                              <wps:cNvSpPr/>
                              <wps:spPr>
                                <a:xfrm>
                                  <a:off x="418465" y="814070"/>
                                  <a:ext cx="768985" cy="279401"/>
                                </a:xfrm>
                                <a:prstGeom prst="rect">
                                  <a:avLst/>
                                </a:prstGeom>
                                <a:solidFill>
                                  <a:srgbClr val="FFFFFF">
                                    <a:alpha val="0"/>
                                  </a:srgbClr>
                                </a:solidFill>
                                <a:ln>
                                  <a:noFill/>
                                </a:ln>
                              </wps:spPr>
                              <wps:txbx>
                                <w:txbxContent>
                                  <w:p>
                                    <w:pPr>
                                      <w:pStyle w:val="37"/>
                                      <w:spacing w:before="0" w:beforeAutospacing="0" w:after="0" w:afterAutospacing="0"/>
                                      <w:jc w:val="center"/>
                                      <w:rPr>
                                        <w:rFonts w:hint="default" w:eastAsia="宋体"/>
                                        <w:lang w:val="en-US" w:eastAsia="zh-CN"/>
                                      </w:rPr>
                                    </w:pPr>
                                    <w:r>
                                      <w:rPr>
                                        <w:rFonts w:hint="eastAsia" w:ascii="Times New Roman" w:hAnsi="Times New Roman"/>
                                        <w:kern w:val="2"/>
                                        <w:sz w:val="21"/>
                                        <w:szCs w:val="21"/>
                                        <w:lang w:val="en-US" w:eastAsia="zh-CN"/>
                                      </w:rPr>
                                      <w:t>36.0</w:t>
                                    </w:r>
                                  </w:p>
                                </w:txbxContent>
                              </wps:txbx>
                              <wps:bodyPr upright="1"/>
                            </wps:wsp>
                            <wps:wsp>
                              <wps:cNvPr id="40" name="直接连接符 40"/>
                              <wps:cNvSpPr/>
                              <wps:spPr>
                                <a:xfrm flipV="1">
                                  <a:off x="1267649" y="788035"/>
                                  <a:ext cx="214762" cy="93980"/>
                                </a:xfrm>
                                <a:prstGeom prst="line">
                                  <a:avLst/>
                                </a:prstGeom>
                                <a:ln w="9525" cap="flat" cmpd="sng">
                                  <a:solidFill>
                                    <a:srgbClr val="000000"/>
                                  </a:solidFill>
                                  <a:prstDash val="dash"/>
                                  <a:headEnd type="none" w="med" len="med"/>
                                  <a:tailEnd type="triangle" w="med" len="med"/>
                                </a:ln>
                              </wps:spPr>
                              <wps:bodyPr upright="1"/>
                            </wps:wsp>
                            <wps:wsp>
                              <wps:cNvPr id="41" name="矩形 41"/>
                              <wps:cNvSpPr/>
                              <wps:spPr>
                                <a:xfrm>
                                  <a:off x="1191260" y="603885"/>
                                  <a:ext cx="644526" cy="279401"/>
                                </a:xfrm>
                                <a:prstGeom prst="rect">
                                  <a:avLst/>
                                </a:prstGeom>
                                <a:solidFill>
                                  <a:srgbClr val="FFFFFF">
                                    <a:alpha val="0"/>
                                  </a:srgbClr>
                                </a:solidFill>
                                <a:ln>
                                  <a:noFill/>
                                </a:ln>
                              </wps:spPr>
                              <wps:txb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7.2</w:t>
                                    </w:r>
                                  </w:p>
                                </w:txbxContent>
                              </wps:txbx>
                              <wps:bodyPr upright="1"/>
                            </wps:wsp>
                            <wps:wsp>
                              <wps:cNvPr id="42" name="矩形 42"/>
                              <wps:cNvSpPr/>
                              <wps:spPr>
                                <a:xfrm>
                                  <a:off x="516905" y="2918462"/>
                                  <a:ext cx="644285" cy="274955"/>
                                </a:xfrm>
                                <a:prstGeom prst="rect">
                                  <a:avLst/>
                                </a:prstGeom>
                                <a:solidFill>
                                  <a:srgbClr val="FFFFFF">
                                    <a:alpha val="0"/>
                                  </a:srgbClr>
                                </a:solidFill>
                                <a:ln>
                                  <a:noFill/>
                                </a:ln>
                              </wps:spPr>
                              <wps:txbx>
                                <w:txbxContent>
                                  <w:p>
                                    <w:pPr>
                                      <w:jc w:val="center"/>
                                      <w:rPr>
                                        <w:rFonts w:hint="default" w:eastAsia="宋体"/>
                                        <w:lang w:val="en-US" w:eastAsia="zh-CN"/>
                                      </w:rPr>
                                    </w:pPr>
                                    <w:r>
                                      <w:rPr>
                                        <w:rFonts w:hint="eastAsia"/>
                                        <w:lang w:val="en-US" w:eastAsia="zh-CN"/>
                                      </w:rPr>
                                      <w:t>4.1</w:t>
                                    </w:r>
                                  </w:p>
                                </w:txbxContent>
                              </wps:txbx>
                              <wps:bodyPr upright="1"/>
                            </wps:wsp>
                            <wps:wsp>
                              <wps:cNvPr id="43" name="直接连接符 43"/>
                              <wps:cNvSpPr/>
                              <wps:spPr>
                                <a:xfrm>
                                  <a:off x="676900" y="3128012"/>
                                  <a:ext cx="321835" cy="0"/>
                                </a:xfrm>
                                <a:prstGeom prst="line">
                                  <a:avLst/>
                                </a:prstGeom>
                                <a:ln w="9525" cap="flat" cmpd="sng">
                                  <a:solidFill>
                                    <a:srgbClr val="000000"/>
                                  </a:solidFill>
                                  <a:prstDash val="solid"/>
                                  <a:headEnd type="none" w="med" len="med"/>
                                  <a:tailEnd type="triangle" w="med" len="med"/>
                                </a:ln>
                              </wps:spPr>
                              <wps:bodyPr upright="1"/>
                            </wps:wsp>
                            <wps:wsp>
                              <wps:cNvPr id="44" name="直接连接符 44"/>
                              <wps:cNvSpPr/>
                              <wps:spPr>
                                <a:xfrm flipV="1">
                                  <a:off x="1292263" y="2881631"/>
                                  <a:ext cx="214762" cy="83820"/>
                                </a:xfrm>
                                <a:prstGeom prst="line">
                                  <a:avLst/>
                                </a:prstGeom>
                                <a:ln w="9525" cap="flat" cmpd="sng">
                                  <a:solidFill>
                                    <a:srgbClr val="000000"/>
                                  </a:solidFill>
                                  <a:prstDash val="dash"/>
                                  <a:headEnd type="none" w="med" len="med"/>
                                  <a:tailEnd type="triangle" w="med" len="med"/>
                                </a:ln>
                              </wps:spPr>
                              <wps:bodyPr upright="1"/>
                            </wps:wsp>
                            <wps:wsp>
                              <wps:cNvPr id="45" name="矩形 45"/>
                              <wps:cNvSpPr/>
                              <wps:spPr>
                                <a:xfrm>
                                  <a:off x="1367790" y="2747011"/>
                                  <a:ext cx="573405" cy="274955"/>
                                </a:xfrm>
                                <a:prstGeom prst="rect">
                                  <a:avLst/>
                                </a:prstGeom>
                                <a:solidFill>
                                  <a:srgbClr val="FFFFFF">
                                    <a:alpha val="0"/>
                                  </a:srgbClr>
                                </a:solidFill>
                                <a:ln>
                                  <a:noFill/>
                                </a:ln>
                              </wps:spPr>
                              <wps:txbx>
                                <w:txbxContent>
                                  <w:p>
                                    <w:pPr>
                                      <w:jc w:val="center"/>
                                      <w:rPr>
                                        <w:rFonts w:hint="default" w:eastAsia="宋体"/>
                                        <w:lang w:val="en-US" w:eastAsia="zh-CN"/>
                                      </w:rPr>
                                    </w:pPr>
                                    <w:r>
                                      <w:rPr>
                                        <w:rFonts w:hint="eastAsia"/>
                                        <w:lang w:val="en-US" w:eastAsia="zh-CN"/>
                                      </w:rPr>
                                      <w:t>0.82</w:t>
                                    </w:r>
                                  </w:p>
                                </w:txbxContent>
                              </wps:txbx>
                              <wps:bodyPr upright="1"/>
                            </wps:wsp>
                            <wps:wsp>
                              <wps:cNvPr id="46" name="矩形 46"/>
                              <wps:cNvSpPr/>
                              <wps:spPr>
                                <a:xfrm>
                                  <a:off x="1651000" y="2406016"/>
                                  <a:ext cx="762000" cy="413385"/>
                                </a:xfrm>
                                <a:prstGeom prst="rect">
                                  <a:avLst/>
                                </a:prstGeom>
                                <a:solidFill>
                                  <a:srgbClr val="FFFFFF">
                                    <a:alpha val="0"/>
                                  </a:srgbClr>
                                </a:solidFill>
                                <a:ln>
                                  <a:noFill/>
                                </a:ln>
                              </wps:spPr>
                              <wps:txbx>
                                <w:txbxContent>
                                  <w:p>
                                    <w:pPr>
                                      <w:jc w:val="center"/>
                                      <w:rPr>
                                        <w:rFonts w:hint="default" w:eastAsia="宋体"/>
                                        <w:lang w:val="en-US" w:eastAsia="zh-CN"/>
                                      </w:rPr>
                                    </w:pPr>
                                    <w:r>
                                      <w:rPr>
                                        <w:rFonts w:hint="eastAsia"/>
                                      </w:rPr>
                                      <w:t>隔油处理</w:t>
                                    </w:r>
                                    <w:r>
                                      <w:rPr>
                                        <w:rFonts w:hint="eastAsia"/>
                                        <w:lang w:val="en-US" w:eastAsia="zh-CN"/>
                                      </w:rPr>
                                      <w:t>4.192</w:t>
                                    </w:r>
                                  </w:p>
                                </w:txbxContent>
                              </wps:txbx>
                              <wps:bodyPr upright="1"/>
                            </wps:wsp>
                            <wps:wsp>
                              <wps:cNvPr id="47" name="矩形 47"/>
                              <wps:cNvSpPr/>
                              <wps:spPr>
                                <a:xfrm>
                                  <a:off x="981075" y="1473200"/>
                                  <a:ext cx="866775"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7"/>
                                      <w:spacing w:before="0" w:beforeAutospacing="0" w:after="0" w:afterAutospacing="0"/>
                                      <w:jc w:val="center"/>
                                      <w:rPr>
                                        <w:rFonts w:hint="eastAsia"/>
                                      </w:rPr>
                                    </w:pPr>
                                    <w:r>
                                      <w:rPr>
                                        <w:rFonts w:hint="eastAsia"/>
                                        <w:sz w:val="21"/>
                                        <w:szCs w:val="16"/>
                                      </w:rPr>
                                      <w:t>检验室用水</w:t>
                                    </w:r>
                                  </w:p>
                                </w:txbxContent>
                              </wps:txbx>
                              <wps:bodyPr upright="1"/>
                            </wps:wsp>
                            <wps:wsp>
                              <wps:cNvPr id="48" name="矩形 48"/>
                              <wps:cNvSpPr/>
                              <wps:spPr>
                                <a:xfrm>
                                  <a:off x="989330" y="3620772"/>
                                  <a:ext cx="7620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rPr>
                                      <w:t>绿化用水</w:t>
                                    </w:r>
                                  </w:p>
                                </w:txbxContent>
                              </wps:txbx>
                              <wps:bodyPr upright="1"/>
                            </wps:wsp>
                            <wps:wsp>
                              <wps:cNvPr id="49" name="直接连接符 49"/>
                              <wps:cNvSpPr/>
                              <wps:spPr>
                                <a:xfrm>
                                  <a:off x="679450" y="3728086"/>
                                  <a:ext cx="317500" cy="0"/>
                                </a:xfrm>
                                <a:prstGeom prst="line">
                                  <a:avLst/>
                                </a:prstGeom>
                                <a:ln w="9525" cap="flat" cmpd="sng">
                                  <a:solidFill>
                                    <a:srgbClr val="000000"/>
                                  </a:solidFill>
                                  <a:prstDash val="solid"/>
                                  <a:headEnd type="none" w="med" len="med"/>
                                  <a:tailEnd type="triangle" w="med" len="med"/>
                                </a:ln>
                              </wps:spPr>
                              <wps:bodyPr upright="1"/>
                            </wps:wsp>
                            <wps:wsp>
                              <wps:cNvPr id="50" name="直接连接符 50"/>
                              <wps:cNvSpPr/>
                              <wps:spPr>
                                <a:xfrm flipV="1">
                                  <a:off x="1227455" y="3537586"/>
                                  <a:ext cx="203200" cy="76200"/>
                                </a:xfrm>
                                <a:prstGeom prst="line">
                                  <a:avLst/>
                                </a:prstGeom>
                                <a:ln w="9525" cap="flat" cmpd="sng">
                                  <a:solidFill>
                                    <a:srgbClr val="000000"/>
                                  </a:solidFill>
                                  <a:prstDash val="dash"/>
                                  <a:headEnd type="none" w="med" len="med"/>
                                  <a:tailEnd type="triangle" w="med" len="med"/>
                                </a:ln>
                              </wps:spPr>
                              <wps:bodyPr upright="1"/>
                            </wps:wsp>
                            <wps:wsp>
                              <wps:cNvPr id="51" name="矩形 51"/>
                              <wps:cNvSpPr/>
                              <wps:spPr>
                                <a:xfrm>
                                  <a:off x="1180465" y="3335021"/>
                                  <a:ext cx="635000" cy="314325"/>
                                </a:xfrm>
                                <a:prstGeom prst="rect">
                                  <a:avLst/>
                                </a:prstGeom>
                                <a:solidFill>
                                  <a:srgbClr val="FFFFFF">
                                    <a:alpha val="0"/>
                                  </a:srgbClr>
                                </a:solidFill>
                                <a:ln>
                                  <a:noFill/>
                                </a:ln>
                              </wps:spPr>
                              <wps:txbx>
                                <w:txbxContent>
                                  <w:p>
                                    <w:pPr>
                                      <w:jc w:val="center"/>
                                      <w:rPr>
                                        <w:rFonts w:hint="eastAsia" w:eastAsia="宋体"/>
                                        <w:lang w:eastAsia="zh-CN"/>
                                      </w:rPr>
                                    </w:pPr>
                                    <w:r>
                                      <w:rPr>
                                        <w:rFonts w:hint="eastAsia"/>
                                      </w:rPr>
                                      <w:t>0.</w:t>
                                    </w:r>
                                    <w:r>
                                      <w:rPr>
                                        <w:rFonts w:hint="eastAsia"/>
                                        <w:lang w:val="en-US" w:eastAsia="zh-CN"/>
                                      </w:rPr>
                                      <w:t>1</w:t>
                                    </w:r>
                                  </w:p>
                                </w:txbxContent>
                              </wps:txbx>
                              <wps:bodyPr upright="1"/>
                            </wps:wsp>
                            <wps:wsp>
                              <wps:cNvPr id="52" name="矩形 52"/>
                              <wps:cNvSpPr/>
                              <wps:spPr>
                                <a:xfrm>
                                  <a:off x="512445" y="3489325"/>
                                  <a:ext cx="635000" cy="266700"/>
                                </a:xfrm>
                                <a:prstGeom prst="rect">
                                  <a:avLst/>
                                </a:prstGeom>
                                <a:solidFill>
                                  <a:srgbClr val="FFFFFF">
                                    <a:alpha val="0"/>
                                  </a:srgbClr>
                                </a:solidFill>
                                <a:ln>
                                  <a:noFill/>
                                </a:ln>
                              </wps:spPr>
                              <wps:txbx>
                                <w:txbxContent>
                                  <w:p>
                                    <w:pPr>
                                      <w:jc w:val="center"/>
                                      <w:rPr>
                                        <w:rFonts w:hint="eastAsia" w:eastAsia="宋体"/>
                                        <w:lang w:val="en-US" w:eastAsia="zh-CN"/>
                                      </w:rPr>
                                    </w:pPr>
                                    <w:r>
                                      <w:rPr>
                                        <w:rFonts w:hint="eastAsia"/>
                                      </w:rPr>
                                      <w:t>0.</w:t>
                                    </w:r>
                                    <w:r>
                                      <w:rPr>
                                        <w:rFonts w:hint="eastAsia"/>
                                        <w:lang w:val="en-US" w:eastAsia="zh-CN"/>
                                      </w:rPr>
                                      <w:t>1</w:t>
                                    </w:r>
                                  </w:p>
                                </w:txbxContent>
                              </wps:txbx>
                              <wps:bodyPr upright="1"/>
                            </wps:wsp>
                            <wps:wsp>
                              <wps:cNvPr id="53" name="矩形 53"/>
                              <wps:cNvSpPr/>
                              <wps:spPr>
                                <a:xfrm>
                                  <a:off x="1675130" y="1316355"/>
                                  <a:ext cx="800100" cy="275590"/>
                                </a:xfrm>
                                <a:prstGeom prst="rect">
                                  <a:avLst/>
                                </a:prstGeom>
                                <a:solidFill>
                                  <a:srgbClr val="FFFFFF">
                                    <a:alpha val="0"/>
                                  </a:srgbClr>
                                </a:solidFill>
                                <a:ln>
                                  <a:noFill/>
                                </a:ln>
                              </wps:spPr>
                              <wps:txbx>
                                <w:txbxContent>
                                  <w:p>
                                    <w:pPr>
                                      <w:jc w:val="center"/>
                                    </w:pPr>
                                    <w:r>
                                      <w:rPr>
                                        <w:rFonts w:hint="eastAsia"/>
                                      </w:rPr>
                                      <w:t>中和处理</w:t>
                                    </w:r>
                                  </w:p>
                                </w:txbxContent>
                              </wps:txbx>
                              <wps:bodyPr upright="1"/>
                            </wps:wsp>
                            <wps:wsp>
                              <wps:cNvPr id="54" name="直接连接符 54"/>
                              <wps:cNvSpPr/>
                              <wps:spPr>
                                <a:xfrm>
                                  <a:off x="1746250" y="416560"/>
                                  <a:ext cx="628650" cy="635"/>
                                </a:xfrm>
                                <a:prstGeom prst="line">
                                  <a:avLst/>
                                </a:prstGeom>
                                <a:ln w="9525" cap="flat" cmpd="sng">
                                  <a:solidFill>
                                    <a:srgbClr val="000000"/>
                                  </a:solidFill>
                                  <a:prstDash val="solid"/>
                                  <a:headEnd type="none" w="med" len="med"/>
                                  <a:tailEnd type="none" w="med" len="med"/>
                                </a:ln>
                              </wps:spPr>
                              <wps:bodyPr upright="1"/>
                            </wps:wsp>
                            <wps:wsp>
                              <wps:cNvPr id="55" name="直接连接符 55"/>
                              <wps:cNvSpPr/>
                              <wps:spPr>
                                <a:xfrm flipH="1">
                                  <a:off x="1746250" y="1016635"/>
                                  <a:ext cx="631190" cy="635"/>
                                </a:xfrm>
                                <a:prstGeom prst="line">
                                  <a:avLst/>
                                </a:prstGeom>
                                <a:ln w="9525" cap="flat" cmpd="sng">
                                  <a:solidFill>
                                    <a:srgbClr val="000000"/>
                                  </a:solidFill>
                                  <a:prstDash val="solid"/>
                                  <a:headEnd type="none" w="med" len="med"/>
                                  <a:tailEnd type="none" w="med" len="med"/>
                                </a:ln>
                              </wps:spPr>
                              <wps:bodyPr upright="1"/>
                            </wps:wsp>
                            <wps:wsp>
                              <wps:cNvPr id="56" name="直接连接符 56"/>
                              <wps:cNvSpPr/>
                              <wps:spPr>
                                <a:xfrm flipH="1">
                                  <a:off x="1856105" y="1608455"/>
                                  <a:ext cx="546100" cy="635"/>
                                </a:xfrm>
                                <a:prstGeom prst="line">
                                  <a:avLst/>
                                </a:prstGeom>
                                <a:ln w="9525" cap="flat" cmpd="sng">
                                  <a:solidFill>
                                    <a:srgbClr val="000000"/>
                                  </a:solidFill>
                                  <a:prstDash val="solid"/>
                                  <a:headEnd type="none" w="med" len="med"/>
                                  <a:tailEnd type="none" w="med" len="med"/>
                                </a:ln>
                              </wps:spPr>
                              <wps:bodyPr upright="1"/>
                            </wps:wsp>
                            <wps:wsp>
                              <wps:cNvPr id="57" name="直接连接符 57"/>
                              <wps:cNvSpPr/>
                              <wps:spPr>
                                <a:xfrm flipH="1">
                                  <a:off x="1732280" y="2627631"/>
                                  <a:ext cx="645160" cy="635"/>
                                </a:xfrm>
                                <a:prstGeom prst="line">
                                  <a:avLst/>
                                </a:prstGeom>
                                <a:ln w="9525" cap="flat" cmpd="sng">
                                  <a:solidFill>
                                    <a:srgbClr val="000000"/>
                                  </a:solidFill>
                                  <a:prstDash val="solid"/>
                                  <a:headEnd type="none" w="med" len="med"/>
                                  <a:tailEnd type="none" w="med" len="med"/>
                                </a:ln>
                              </wps:spPr>
                              <wps:bodyPr upright="1"/>
                            </wps:wsp>
                            <wps:wsp>
                              <wps:cNvPr id="58" name="直接连接符 58"/>
                              <wps:cNvSpPr/>
                              <wps:spPr>
                                <a:xfrm flipH="1">
                                  <a:off x="1732280" y="3122931"/>
                                  <a:ext cx="654050" cy="635"/>
                                </a:xfrm>
                                <a:prstGeom prst="line">
                                  <a:avLst/>
                                </a:prstGeom>
                                <a:ln w="9525" cap="flat" cmpd="sng">
                                  <a:solidFill>
                                    <a:srgbClr val="000000"/>
                                  </a:solidFill>
                                  <a:prstDash val="solid"/>
                                  <a:headEnd type="none" w="med" len="med"/>
                                  <a:tailEnd type="none" w="med" len="med"/>
                                </a:ln>
                              </wps:spPr>
                              <wps:bodyPr upright="1"/>
                            </wps:wsp>
                            <wps:wsp>
                              <wps:cNvPr id="59" name="直接连接符 59"/>
                              <wps:cNvSpPr/>
                              <wps:spPr>
                                <a:xfrm flipH="1" flipV="1">
                                  <a:off x="1760855" y="2085340"/>
                                  <a:ext cx="615315" cy="635"/>
                                </a:xfrm>
                                <a:prstGeom prst="line">
                                  <a:avLst/>
                                </a:prstGeom>
                                <a:ln w="9525" cap="flat" cmpd="sng">
                                  <a:solidFill>
                                    <a:srgbClr val="000000"/>
                                  </a:solidFill>
                                  <a:prstDash val="solid"/>
                                  <a:headEnd type="none" w="med" len="med"/>
                                  <a:tailEnd type="none" w="med" len="med"/>
                                </a:ln>
                              </wps:spPr>
                              <wps:bodyPr upright="1"/>
                            </wps:wsp>
                            <wps:wsp>
                              <wps:cNvPr id="60" name="直接连接符 60"/>
                              <wps:cNvSpPr/>
                              <wps:spPr>
                                <a:xfrm flipH="1">
                                  <a:off x="2379345" y="420370"/>
                                  <a:ext cx="2540" cy="2719705"/>
                                </a:xfrm>
                                <a:prstGeom prst="line">
                                  <a:avLst/>
                                </a:prstGeom>
                                <a:ln w="9525" cap="flat" cmpd="sng">
                                  <a:solidFill>
                                    <a:srgbClr val="000000"/>
                                  </a:solidFill>
                                  <a:prstDash val="solid"/>
                                  <a:headEnd type="none" w="med" len="med"/>
                                  <a:tailEnd type="none" w="med" len="med"/>
                                </a:ln>
                              </wps:spPr>
                              <wps:bodyPr upright="1"/>
                            </wps:wsp>
                            <wps:wsp>
                              <wps:cNvPr id="61" name="矩形 61"/>
                              <wps:cNvSpPr/>
                              <wps:spPr>
                                <a:xfrm>
                                  <a:off x="2686685" y="1651635"/>
                                  <a:ext cx="6096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rPr>
                                      <w:t>化粪池</w:t>
                                    </w:r>
                                  </w:p>
                                </w:txbxContent>
                              </wps:txbx>
                              <wps:bodyPr upright="1"/>
                            </wps:wsp>
                            <wps:wsp>
                              <wps:cNvPr id="62" name="矩形 62"/>
                              <wps:cNvSpPr/>
                              <wps:spPr>
                                <a:xfrm>
                                  <a:off x="973455" y="2980055"/>
                                  <a:ext cx="1012825" cy="2984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lang w:eastAsia="zh-CN"/>
                                      </w:rPr>
                                      <w:t>职工</w:t>
                                    </w:r>
                                    <w:r>
                                      <w:rPr>
                                        <w:rFonts w:hint="eastAsia"/>
                                      </w:rPr>
                                      <w:t>生活污水</w:t>
                                    </w:r>
                                  </w:p>
                                </w:txbxContent>
                              </wps:txbx>
                              <wps:bodyPr upright="1"/>
                            </wps:wsp>
                            <wps:wsp>
                              <wps:cNvPr id="63" name="矩形 63"/>
                              <wps:cNvSpPr/>
                              <wps:spPr>
                                <a:xfrm>
                                  <a:off x="525145" y="4085590"/>
                                  <a:ext cx="635000" cy="266700"/>
                                </a:xfrm>
                                <a:prstGeom prst="rect">
                                  <a:avLst/>
                                </a:prstGeom>
                                <a:solidFill>
                                  <a:srgbClr val="FFFFFF">
                                    <a:alpha val="0"/>
                                  </a:srgbClr>
                                </a:solidFill>
                                <a:ln>
                                  <a:noFill/>
                                </a:ln>
                              </wps:spPr>
                              <wps:txbx>
                                <w:txbxContent>
                                  <w:p>
                                    <w:pPr>
                                      <w:jc w:val="center"/>
                                      <w:rPr>
                                        <w:rFonts w:hint="default" w:eastAsia="宋体"/>
                                        <w:lang w:val="en-US" w:eastAsia="zh-CN"/>
                                      </w:rPr>
                                    </w:pPr>
                                    <w:r>
                                      <w:rPr>
                                        <w:rFonts w:hint="eastAsia" w:eastAsia="宋体"/>
                                        <w:lang w:val="en-US" w:eastAsia="zh-CN"/>
                                      </w:rPr>
                                      <w:t>2.9905</w:t>
                                    </w:r>
                                  </w:p>
                                </w:txbxContent>
                              </wps:txbx>
                              <wps:bodyPr upright="1"/>
                            </wps:wsp>
                            <wps:wsp>
                              <wps:cNvPr id="64" name="直接连接符 64"/>
                              <wps:cNvSpPr/>
                              <wps:spPr>
                                <a:xfrm flipV="1">
                                  <a:off x="680085" y="4276725"/>
                                  <a:ext cx="408305" cy="10160"/>
                                </a:xfrm>
                                <a:prstGeom prst="line">
                                  <a:avLst/>
                                </a:prstGeom>
                                <a:ln w="9525" cap="flat" cmpd="sng">
                                  <a:solidFill>
                                    <a:srgbClr val="000000"/>
                                  </a:solidFill>
                                  <a:prstDash val="solid"/>
                                  <a:headEnd type="none" w="med" len="med"/>
                                  <a:tailEnd type="triangle" w="med" len="med"/>
                                </a:ln>
                              </wps:spPr>
                              <wps:bodyPr upright="1"/>
                            </wps:wsp>
                            <wps:wsp>
                              <wps:cNvPr id="65" name="矩形 65"/>
                              <wps:cNvSpPr/>
                              <wps:spPr>
                                <a:xfrm>
                                  <a:off x="1057910" y="4131945"/>
                                  <a:ext cx="904875"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未预见用水</w:t>
                                    </w:r>
                                  </w:p>
                                </w:txbxContent>
                              </wps:txbx>
                              <wps:bodyPr upright="1"/>
                            </wps:wsp>
                            <wps:wsp>
                              <wps:cNvPr id="66" name="矩形 66"/>
                              <wps:cNvSpPr/>
                              <wps:spPr>
                                <a:xfrm>
                                  <a:off x="1597660" y="3893820"/>
                                  <a:ext cx="622300" cy="304800"/>
                                </a:xfrm>
                                <a:prstGeom prst="rect">
                                  <a:avLst/>
                                </a:prstGeom>
                                <a:solidFill>
                                  <a:srgbClr val="FFFFFF">
                                    <a:alpha val="0"/>
                                  </a:srgbClr>
                                </a:solidFill>
                                <a:ln>
                                  <a:noFill/>
                                </a:ln>
                              </wps:spPr>
                              <wps:txbx>
                                <w:txbxContent>
                                  <w:p>
                                    <w:pPr>
                                      <w:jc w:val="center"/>
                                      <w:rPr>
                                        <w:rFonts w:hint="default" w:eastAsia="宋体"/>
                                        <w:lang w:val="en-US" w:eastAsia="zh-CN"/>
                                      </w:rPr>
                                    </w:pPr>
                                    <w:r>
                                      <w:rPr>
                                        <w:rFonts w:hint="eastAsia" w:eastAsia="宋体"/>
                                        <w:lang w:val="en-US" w:eastAsia="zh-CN"/>
                                      </w:rPr>
                                      <w:t>2.9905</w:t>
                                    </w:r>
                                  </w:p>
                                </w:txbxContent>
                              </wps:txbx>
                              <wps:bodyPr upright="1"/>
                            </wps:wsp>
                            <wps:wsp>
                              <wps:cNvPr id="67" name="直接连接符 67"/>
                              <wps:cNvSpPr/>
                              <wps:spPr>
                                <a:xfrm flipV="1">
                                  <a:off x="1457960" y="4048125"/>
                                  <a:ext cx="190500" cy="76200"/>
                                </a:xfrm>
                                <a:prstGeom prst="line">
                                  <a:avLst/>
                                </a:prstGeom>
                                <a:ln w="9525" cap="flat" cmpd="sng">
                                  <a:solidFill>
                                    <a:srgbClr val="000000"/>
                                  </a:solidFill>
                                  <a:prstDash val="dash"/>
                                  <a:headEnd type="none" w="med" len="med"/>
                                  <a:tailEnd type="triangle" w="med" len="med"/>
                                </a:ln>
                              </wps:spPr>
                              <wps:bodyPr upright="1"/>
                            </wps:wsp>
                            <wps:wsp>
                              <wps:cNvPr id="68" name="矩形 68"/>
                              <wps:cNvSpPr/>
                              <wps:spPr>
                                <a:xfrm>
                                  <a:off x="3132455" y="1417955"/>
                                  <a:ext cx="635000" cy="279400"/>
                                </a:xfrm>
                                <a:prstGeom prst="rect">
                                  <a:avLst/>
                                </a:prstGeom>
                                <a:solidFill>
                                  <a:srgbClr val="FFFFFF">
                                    <a:alpha val="0"/>
                                  </a:srgbClr>
                                </a:solidFill>
                                <a:ln>
                                  <a:noFill/>
                                </a:ln>
                              </wps:spPr>
                              <wps:txbx>
                                <w:txbxContent>
                                  <w:p>
                                    <w:pPr>
                                      <w:rPr>
                                        <w:rFonts w:hint="default" w:eastAsia="宋体"/>
                                        <w:lang w:val="en-US" w:eastAsia="zh-CN"/>
                                      </w:rPr>
                                    </w:pPr>
                                    <w:r>
                                      <w:rPr>
                                        <w:rFonts w:hint="eastAsia"/>
                                        <w:lang w:val="en-US" w:eastAsia="zh-CN"/>
                                      </w:rPr>
                                      <w:t>47.84</w:t>
                                    </w:r>
                                  </w:p>
                                </w:txbxContent>
                              </wps:txbx>
                              <wps:bodyPr upright="1"/>
                            </wps:wsp>
                          </wpc:wpc>
                        </a:graphicData>
                      </a:graphic>
                    </wp:inline>
                  </w:drawing>
                </mc:Choice>
                <mc:Fallback>
                  <w:pict>
                    <v:group id="_x0000_s1026" o:spid="_x0000_s1026" o:spt="203" style="height:353.25pt;width:392pt;" coordsize="4978400,4486275" editas="canvas" o:gfxdata="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">
                      <o:lock v:ext="edit" aspectratio="f"/>
                      <v:rect id="_x0000_s1026" o:spid="_x0000_s1026" o:spt="1" style="position:absolute;left:0;top:0;height:4486275;width:4978400;" filled="f" stroked="f" coordsize="21600,21600" o:gfxdata="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">
                        <v:fill on="f" focussize="0,0"/>
                        <v:stroke on="f"/>
                        <v:imagedata o:title=""/>
                        <o:lock v:ext="edit" rotation="t" aspectratio="t"/>
                      </v:rect>
                      <v:line id="_x0000_s1026" o:spid="_x0000_s1026" o:spt="20" style="position:absolute;left:36921;top:1760856;height:0;width:644285;"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2EucQAAADbAAAADwAAAGRycy9kb3ducmV2LnhtbESPQWsCMRSE70L/Q3iF3jSr1Kpbo0gX&#10;wYMV1NLz6+Z1s3TzsmzSNf57Uyh4HGbmG2a5jrYRPXW+dqxgPMpAEJdO11wp+Dhvh3MQPiBrbByT&#10;git5WK8eBkvMtbvwkfpTqESCsM9RgQmhzaX0pSGLfuRa4uR9u85iSLKrpO7wkuC2kZMse5EWa04L&#10;Blt6M1T+nH6tgpkpjnImi/35UPT1eBHf4+fXQqmnx7h5BREohnv4v73TCp6n8Pcl/QC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fYS5xAAAANsAAAAPAAAAAAAAAAAA&#10;AAAAAKECAABkcnMvZG93bnJldi54bWxQSwUGAAAAAAQABAD5AAAAkgMAAAAA&#10;">
                        <v:fill on="f" focussize="0,0"/>
                        <v:stroke color="#000000" joinstyle="round" endarrow="block"/>
                        <v:imagedata o:title=""/>
                        <o:lock v:ext="edit" aspectratio="f"/>
                      </v:line>
                      <v:line id="_x0000_s1026" o:spid="_x0000_s1026" o:spt="20" style="position:absolute;left:676910;top:369570;height:3918584;width:8254;"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cZesYAAADbAAAADwAAAGRycy9kb3ducmV2LnhtbESPT2vCQBTE74V+h+UJvdWNbQkSXUVa&#10;CupB6h/Q4zP7TGKzb8PumqTfvisUehxm5jfMdN6bWrTkfGVZwWiYgCDOra64UHDYfz6PQfiArLG2&#10;TAp+yMN89vgwxUzbjrfU7kIhIoR9hgrKEJpMSp+XZNAPbUMcvYt1BkOUrpDaYRfhppYvSZJKgxXH&#10;hRIbei8p/97djILN61faLlbrZX9cpef8Y3s+XTun1NOgX0xABOrDf/ivvdQK3lK4f4k/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3GXrGAAAA2wAAAA8AAAAAAAAA&#10;AAAAAAAAoQIAAGRycy9kb3ducmV2LnhtbFBLBQYAAAAABAAEAPkAAACUAwAAAAA=&#10;">
                        <v:fill on="f" focussize="0,0"/>
                        <v:stroke color="#000000" joinstyle="round"/>
                        <v:imagedata o:title=""/>
                        <o:lock v:ext="edit" aspectratio="f"/>
                      </v:line>
                      <v:line id="_x0000_s1026" o:spid="_x0000_s1026" o:spt="20" style="position:absolute;left:676899;top:369570;height:0;width:321835;"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O/VcQAAADbAAAADwAAAGRycy9kb3ducmV2LnhtbESPQWsCMRSE74X+h/AK3mrWUrq6NYq4&#10;FDxYQS09v26em8XNy7JJ1/jvm4LgcZiZb5j5MtpWDNT7xrGCyTgDQVw53XCt4Ov48TwF4QOyxtYx&#10;KbiSh+Xi8WGOhXYX3tNwCLVIEPYFKjAhdIWUvjJk0Y9dR5y8k+sthiT7WuoeLwluW/mSZW/SYsNp&#10;wWBHa0PV+fBrFeSm3MtcltvjrhyaySx+xu+fmVKjp7h6BxEohnv41t5oBa85/H9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479VxAAAANsAAAAPAAAAAAAAAAAA&#10;AAAAAKECAABkcnMvZG93bnJldi54bWxQSwUGAAAAAAQABAD5AAAAkgMAAAAA&#10;">
                        <v:fill on="f" focussize="0,0"/>
                        <v:stroke color="#000000" joinstyle="round" endarrow="block"/>
                        <v:imagedata o:title=""/>
                        <o:lock v:ext="edit" aspectratio="f"/>
                      </v:line>
                      <v:line id="_x0000_s1026" o:spid="_x0000_s1026" o:spt="20" style="position:absolute;left:676899;top:2080896;height:634;width:321835;"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wrJ8EAAADbAAAADwAAAGRycy9kb3ducmV2LnhtbERPz2vCMBS+C/4P4Qm72dQxptZGEctg&#10;h01Qx87P5q0pa15Kk9Xsv18OA48f3+9yF20nRhp861jBIstBENdOt9wo+Li8zFcgfEDW2DkmBb/k&#10;YbedTkostLvxicZzaEQKYV+gAhNCX0jpa0MWfeZ64sR9ucFiSHBopB7wlsJtJx/z/FlabDk1GOzp&#10;YKj+Pv9YBUtTneRSVm+XYzW2i3V8j5/XtVIPs7jfgAgUw138737VCp7S2P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fCsnwQAAANsAAAAPAAAAAAAAAAAAAAAA&#10;AKECAABkcnMvZG93bnJldi54bWxQSwUGAAAAAAQABAD5AAAAjwMAAAAA&#10;">
                        <v:fill on="f" focussize="0,0"/>
                        <v:stroke color="#000000" joinstyle="round" endarrow="block"/>
                        <v:imagedata o:title=""/>
                        <o:lock v:ext="edit" aspectratio="f"/>
                      </v:line>
                      <v:line id="_x0000_s1026" o:spid="_x0000_s1026" o:spt="20" style="position:absolute;left:676899;top:1625600;height:635;width:321835;"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COvMQAAADbAAAADwAAAGRycy9kb3ducmV2LnhtbESPzWrDMBCE74W8g9hAb42cEprYiRJK&#10;TaCHppAfct5YW8vUWhlLddS3rwKFHIeZ+YZZbaJtxUC9bxwrmE4yEMSV0w3XCk7H7dMChA/IGlvH&#10;pOCXPGzWo4cVFtpdeU/DIdQiQdgXqMCE0BVS+sqQRT9xHXHyvlxvMSTZ11L3eE1w28rnLHuRFhtO&#10;CwY7ejNUfR9+rIK5KfdyLsuP42c5NNM87uL5kiv1OI6vSxCBYriH/9vvWsEsh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MI68xAAAANsAAAAPAAAAAAAAAAAA&#10;AAAAAKECAABkcnMvZG93bnJldi54bWxQSwUGAAAAAAQABAD5AAAAkgMAAAAA&#10;">
                        <v:fill on="f" focussize="0,0"/>
                        <v:stroke color="#000000" joinstyle="round" endarrow="block"/>
                        <v:imagedata o:title=""/>
                        <o:lock v:ext="edit" aspectratio="f"/>
                      </v:line>
                      <v:rect id="_x0000_s1026" o:spid="_x0000_s1026" o:spt="1" style="position:absolute;left:996888;top:271145;height:279399;width:751358;"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fill on="t" focussize="0,0"/>
                        <v:stroke color="#000000" joinstyle="miter"/>
                        <v:imagedata o:title=""/>
                        <o:lock v:ext="edit" aspectratio="f"/>
                        <v:textbox>
                          <w:txbxContent>
                            <w:p>
                              <w:pPr>
                                <w:jc w:val="center"/>
                              </w:pPr>
                              <w:r>
                                <w:rPr>
                                  <w:rFonts w:hint="eastAsia"/>
                                </w:rPr>
                                <w:t>门诊病人</w:t>
                              </w:r>
                            </w:p>
                          </w:txbxContent>
                        </v:textbox>
                      </v:rect>
                      <v:line id="_x0000_s1026" o:spid="_x0000_s1026" o:spt="20" style="position:absolute;left:1329184;top:184784;flip:y;height:92710;width:21476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isjcQAAADbAAAADwAAAGRycy9kb3ducmV2LnhtbESPwWrDMBBE74X8g9hAbo0cg0txo4QQ&#10;KPRQGuzk0ONibWy31spYciz/fRQo9DjMzpud7T6YTtxocK1lBZt1AoK4srrlWsHl/P78CsJ5ZI2d&#10;ZVIwk4P9bvG0xVzbiQu6lb4WEcIuRwWN930upasaMujWtieO3tUOBn2UQy31gFOEm06mSfIiDbYc&#10;Gxrs6dhQ9VuOJr6Rjd05bMbPFL9DXdiv8nr6mZVaLcPhDYSn4P+P/9IfWkGWwmNLBID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mKyNxAAAANsAAAAPAAAAAAAAAAAA&#10;AAAAAKECAABkcnMvZG93bnJldi54bWxQSwUGAAAAAAQABAD5AAAAkgMAAAAA&#10;">
                        <v:fill on="f" focussize="0,0"/>
                        <v:stroke color="#000000" joinstyle="round" dashstyle="dash" endarrow="block"/>
                        <v:imagedata o:title=""/>
                        <o:lock v:ext="edit" aspectratio="f"/>
                      </v:line>
                      <v:rect id="_x0000_s1026" o:spid="_x0000_s1026" o:spt="1" style="position:absolute;left:1329184;top:0;height:279399;width:644285;"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tqZcMA&#10;AADbAAAADwAAAGRycy9kb3ducmV2LnhtbESPQYvCMBSE74L/ITxhb5qqrLhdo4ha0IMHWxevj+bZ&#10;lm1eSpPV+u83guBxmJlvmMWqM7W4UesqywrGowgEcW51xYWCc5YM5yCcR9ZYWyYFD3KwWvZ7C4y1&#10;vfOJbqkvRICwi1FB6X0TS+nykgy6kW2Ig3e1rUEfZFtI3eI9wE0tJ1E0kwYrDgslNrQpKf9N/4yC&#10;NPnRx6+Ln15slxS7w3Z73TWZUh+Dbv0NwlPn3+FXe68VfE7h+SX8AL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tqZcMAAADbAAAADwAAAAAAAAAAAAAAAACYAgAAZHJzL2Rv&#10;d25yZXYueG1sUEsFBgAAAAAEAAQA9QAAAIgDAAAAAA==&#10;">
                        <v:fill on="t" opacity="0f" focussize="0,0"/>
                        <v:stroke on="f"/>
                        <v:imagedata o:title=""/>
                        <o:lock v:ext="edit" aspectratio="f"/>
                        <v:textbox>
                          <w:txbxContent>
                            <w:p>
                              <w:pPr>
                                <w:jc w:val="center"/>
                                <w:rPr>
                                  <w:rFonts w:hint="eastAsia" w:eastAsia="宋体"/>
                                  <w:lang w:eastAsia="zh-CN"/>
                                </w:rPr>
                              </w:pPr>
                              <w:r>
                                <w:rPr>
                                  <w:rFonts w:hint="eastAsia"/>
                                </w:rPr>
                                <w:t>0.0</w:t>
                              </w:r>
                              <w:r>
                                <w:rPr>
                                  <w:rFonts w:hint="eastAsia"/>
                                  <w:lang w:val="en-US" w:eastAsia="zh-CN"/>
                                </w:rPr>
                                <w:t>1</w:t>
                              </w:r>
                            </w:p>
                          </w:txbxContent>
                        </v:textbox>
                      </v:rect>
                      <v:rect id="_x0000_s1026" o:spid="_x0000_s1026" o:spt="1" style="position:absolute;left:467360;top:153034;height:279399;width:644524;"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LyEcMA&#10;AADbAAAADwAAAGRycy9kb3ducmV2LnhtbESPQYvCMBSE78L+h/AW9qbpuqtoNcqiFvTgwap4fTTP&#10;tti8lCar9d8bQfA4zMw3zHTemkpcqXGlZQXfvQgEcWZ1ybmCwz7pjkA4j6yxskwK7uRgPvvoTDHW&#10;9sY7uqY+FwHCLkYFhfd1LKXLCjLoerYmDt7ZNgZ9kE0udYO3ADeV7EfRUBosOSwUWNOioOyS/hsF&#10;aXLU2/HJ/5xsm+SrzXJ5XtV7pb4+278JCE+tf4df7bVWMPiF55fwA+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5LyEcMAAADbAAAADwAAAAAAAAAAAAAAAACYAgAAZHJzL2Rv&#10;d25yZXYueG1sUEsFBgAAAAAEAAQA9QAAAIgDAAAAAA==&#10;">
                        <v:fill on="t" opacity="0f" focussize="0,0"/>
                        <v:stroke on="f"/>
                        <v:imagedata o:title=""/>
                        <o:lock v:ext="edit" aspectratio="f"/>
                        <v:textbox>
                          <w:txbxContent>
                            <w:p>
                              <w:pPr>
                                <w:jc w:val="center"/>
                                <w:rPr>
                                  <w:rFonts w:hint="default" w:eastAsia="宋体"/>
                                  <w:lang w:val="en-US" w:eastAsia="zh-CN"/>
                                </w:rPr>
                              </w:pPr>
                              <w:r>
                                <w:rPr>
                                  <w:rFonts w:hint="eastAsia"/>
                                  <w:lang w:val="en-US" w:eastAsia="zh-CN"/>
                                </w:rPr>
                                <w:t>0.05</w:t>
                              </w:r>
                            </w:p>
                          </w:txbxContent>
                        </v:textbox>
                      </v:rect>
                      <v:rect id="_x0000_s1026" o:spid="_x0000_s1026" o:spt="1" style="position:absolute;left:504597;top:1391286;height:280034;width:644285;"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5XisMA&#10;AADbAAAADwAAAGRycy9kb3ducmV2LnhtbESPQYvCMBSE74L/ITzBm6a6KFqNImphPezBqnh9NM+2&#10;2LyUJqv132+EBY/DzHzDLNetqcSDGldaVjAaRiCIM6tLzhWcT8lgBsJ5ZI2VZVLwIgfrVbezxFjb&#10;Jx/pkfpcBAi7GBUU3texlC4ryKAb2po4eDfbGPRBNrnUDT4D3FRyHEVTabDksFBgTduCsnv6axSk&#10;yUX/zK/+62rbJN8fdrvbvj4p1e+1mwUIT63/hP/b31rBZALvL+EH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5XisMAAADbAAAADwAAAAAAAAAAAAAAAACYAgAAZHJzL2Rv&#10;d25yZXYueG1sUEsFBgAAAAAEAAQA9QAAAIgDAAAAAA==&#10;">
                        <v:fill on="t" opacity="0f" focussize="0,0"/>
                        <v:stroke on="f"/>
                        <v:imagedata o:title=""/>
                        <o:lock v:ext="edit" aspectratio="f"/>
                        <v:textbox>
                          <w:txbxContent>
                            <w:p>
                              <w:pPr>
                                <w:jc w:val="center"/>
                                <w:rPr>
                                  <w:rFonts w:hint="default" w:eastAsia="宋体"/>
                                  <w:lang w:val="en-US" w:eastAsia="zh-CN"/>
                                </w:rPr>
                              </w:pPr>
                              <w:r>
                                <w:rPr>
                                  <w:rFonts w:hint="eastAsia" w:eastAsia="宋体"/>
                                  <w:lang w:val="en-US" w:eastAsia="zh-CN"/>
                                </w:rPr>
                                <w:t>0.01</w:t>
                              </w:r>
                            </w:p>
                          </w:txbxContent>
                        </v:textbox>
                      </v:rect>
                      <v:line id="_x0000_s1026" o:spid="_x0000_s1026" o:spt="20" style="position:absolute;left:1267648;top:1367155;flip:y;height:92709;width:21476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OqjsQAAADbAAAADwAAAGRycy9kb3ducmV2LnhtbESPzWrDMBCE74G+g9hCb4nsgENxI5tQ&#10;KPRQWuL00ONirX8aa2UsOVbevgoEehxm55udfRnMIC40ud6ygnSTgCCure65VfB9els/g3AeWeNg&#10;mRRcyUFZPKz2mGu78JEulW9FhLDLUUHn/ZhL6eqODLqNHYmj19jJoI9yaqWecIlwM8htkuykwZ5j&#10;Q4cjvXZUn6vZxDeyeTiFdP7Y4k9oj/azar5+r0o9PYbDCwhPwf8f39PvWkG2g9uWCABZ/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o6qOxAAAANsAAAAPAAAAAAAAAAAA&#10;AAAAAKECAABkcnMvZG93bnJldi54bWxQSwUGAAAAAAQABAD5AAAAkgMAAAAA&#10;">
                        <v:fill on="f" focussize="0,0"/>
                        <v:stroke color="#000000" joinstyle="round" dashstyle="dash" endarrow="block"/>
                        <v:imagedata o:title=""/>
                        <o:lock v:ext="edit" aspectratio="f"/>
                      </v:line>
                      <v:rect id="_x0000_s1026" o:spid="_x0000_s1026" o:spt="1" style="position:absolute;left:1301115;top:1183640;height:279400;width:644524;"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BsZsQA&#10;AADbAAAADwAAAGRycy9kb3ducmV2LnhtbESPT4vCMBTE78J+h/AW9qbpuqx/qlEWtaAHD1bF66N5&#10;tsXmpTRZrd/eCILHYWZ+w0znranElRpXWlbw3YtAEGdWl5wrOOyT7giE88gaK8uk4E4O5rOPzhRj&#10;bW+8o2vqcxEg7GJUUHhfx1K6rCCDrmdr4uCdbWPQB9nkUjd4C3BTyX4UDaTBksNCgTUtCsou6b9R&#10;kCZHvR2f/M/Jtkm+2iyX51W9V+rrs/2bgPDU+nf41V5rBb9DeH4JP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AbGbEAAAA2wAAAA8AAAAAAAAAAAAAAAAAmAIAAGRycy9k&#10;b3ducmV2LnhtbFBLBQYAAAAABAAEAPUAAACJAwAAAAA=&#10;">
                        <v:fill on="t" opacity="0f" focussize="0,0"/>
                        <v:stroke on="f"/>
                        <v:imagedata o:title=""/>
                        <o:lock v:ext="edit" aspectratio="f"/>
                        <v:textbox>
                          <w:txbxContent>
                            <w:p>
                              <w:pPr>
                                <w:jc w:val="center"/>
                                <w:rPr>
                                  <w:rFonts w:hint="eastAsia" w:eastAsia="宋体"/>
                                  <w:lang w:val="en-US" w:eastAsia="zh-CN"/>
                                </w:rPr>
                              </w:pPr>
                              <w:r>
                                <w:rPr>
                                  <w:rFonts w:hint="eastAsia"/>
                                </w:rPr>
                                <w:t>0.</w:t>
                              </w:r>
                              <w:r>
                                <w:rPr>
                                  <w:rFonts w:hint="eastAsia"/>
                                  <w:lang w:val="en-US" w:eastAsia="zh-CN"/>
                                </w:rPr>
                                <w:t>002</w:t>
                              </w:r>
                            </w:p>
                          </w:txbxContent>
                        </v:textbox>
                      </v:rect>
                      <v:line id="_x0000_s1026" o:spid="_x0000_s1026" o:spt="20" style="position:absolute;left:1267648;top:1847215;flip:y;height:92709;width:21476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w+/MQAAADbAAAADwAAAGRycy9kb3ducmV2LnhtbESPzWrDMBCE74G+g9hCb7GcgEPjRgml&#10;UOihNMTOocfFWv8k1spYcqy8fVUo9DjMzjc7u0MwvbjR6DrLClZJCoK4srrjRsG5fF8+g3AeWWNv&#10;mRTcycFh/7DYYa7tzCe6Fb4REcIuRwWt90MupataMugSOxBHr7ajQR/l2Eg94hzhppfrNN1Igx3H&#10;hhYHemupuhaTiW9kU1+G1fS5xu/QnOxXUR8vd6WeHsPrCwhPwf8f/6U/tIJsC79bIgD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PD78xAAAANsAAAAPAAAAAAAAAAAA&#10;AAAAAKECAABkcnMvZG93bnJldi54bWxQSwUGAAAAAAQABAD5AAAAkgMAAAAA&#10;">
                        <v:fill on="f" focussize="0,0"/>
                        <v:stroke color="#000000" joinstyle="round" dashstyle="dash" endarrow="block"/>
                        <v:imagedata o:title=""/>
                        <o:lock v:ext="edit" aspectratio="f"/>
                      </v:line>
                      <v:rect id="_x0000_s1026" o:spid="_x0000_s1026" o:spt="1" style="position:absolute;left:1292263;top:1699261;height:279399;width:644285;"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U+r8AA&#10;AADbAAAADwAAAGRycy9kb3ducmV2LnhtbERPy4rCMBTdC/5DuMLsNNUB0U6jiFoYFy5sZ3B7aW4f&#10;THNTmozWvzcLweXhvJPtYFpxo941lhXMZxEI4sLqhisFP3k6XYFwHllja5kUPMjBdjMeJRhre+cL&#10;3TJfiRDCLkYFtfddLKUrajLoZrYjDlxpe4M+wL6Susd7CDetXETRUhpsODTU2NG+puIv+zcKsvRX&#10;n9dX/3m1Q1odT4dDeexypT4mw+4LhKfBv8Uv97dWsAzrw5fwA+Tm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sU+r8AAAADbAAAADwAAAAAAAAAAAAAAAACYAgAAZHJzL2Rvd25y&#10;ZXYueG1sUEsFBgAAAAAEAAQA9QAAAIUDAAAAAA==&#10;">
                        <v:fill on="t" opacity="0f" focussize="0,0"/>
                        <v:stroke on="f"/>
                        <v:imagedata o:title=""/>
                        <o:lock v:ext="edit" aspectratio="f"/>
                        <v:textbox>
                          <w:txbxContent>
                            <w:p>
                              <w:pPr>
                                <w:jc w:val="center"/>
                                <w:rPr>
                                  <w:rFonts w:hint="default" w:eastAsia="宋体"/>
                                  <w:lang w:val="en-US" w:eastAsia="zh-CN"/>
                                </w:rPr>
                              </w:pPr>
                              <w:r>
                                <w:rPr>
                                  <w:rFonts w:hint="eastAsia"/>
                                  <w:lang w:val="en-US" w:eastAsia="zh-CN"/>
                                </w:rPr>
                                <w:t>2.88</w:t>
                              </w:r>
                            </w:p>
                          </w:txbxContent>
                        </v:textbox>
                      </v:rect>
                      <v:rect id="_x0000_s1026" o:spid="_x0000_s1026" o:spt="1" style="position:absolute;left:529212;top:1847215;height:279399;width:644285;"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44rMMA&#10;AADbAAAADwAAAGRycy9kb3ducmV2LnhtbESPT4vCMBTE7wt+h/AEb5r6B3G7RhG1oAcPVhevj+bZ&#10;lm1eShO1fnsjCHscZuY3zHzZmkrcqXGlZQXDQQSCOLO65FzB+ZT0ZyCcR9ZYWSYFT3KwXHS+5hhr&#10;++Aj3VOfiwBhF6OCwvs6ltJlBRl0A1sTB+9qG4M+yCaXusFHgJtKjqJoKg2WHBYKrGldUPaX3oyC&#10;NPnVh++LH19sm+Tb/WZz3dYnpXrddvUDwlPr/8Of9k4rmE7g/SX8AL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44rMMAAADbAAAADwAAAAAAAAAAAAAAAACYAgAAZHJzL2Rv&#10;d25yZXYueG1sUEsFBgAAAAAEAAQA9QAAAIgDAAAAAA==&#10;">
                        <v:fill on="t" opacity="0f" focussize="0,0"/>
                        <v:stroke on="f"/>
                        <v:imagedata o:title=""/>
                        <o:lock v:ext="edit" aspectratio="f"/>
                        <v:textbox>
                          <w:txbxContent>
                            <w:p>
                              <w:pPr>
                                <w:jc w:val="center"/>
                                <w:rPr>
                                  <w:rFonts w:hint="default" w:eastAsia="宋体"/>
                                  <w:lang w:val="en-US" w:eastAsia="zh-CN"/>
                                </w:rPr>
                              </w:pPr>
                              <w:r>
                                <w:rPr>
                                  <w:rFonts w:hint="eastAsia"/>
                                  <w:lang w:val="en-US" w:eastAsia="zh-CN"/>
                                </w:rPr>
                                <w:t>14.4</w:t>
                              </w:r>
                            </w:p>
                          </w:txbxContent>
                        </v:textbox>
                      </v:rect>
                      <v:line id="_x0000_s1026" o:spid="_x0000_s1026" o:spt="20" style="position:absolute;left:2379344;top:1792605;flip:y;height:9524;width:1202054;" filled="f" stroked="t" coordsize="21600,21600" o:gfxdata="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AKBM3VAAAABQEAAA8AAAAAAAAAAQAg&#10;AAAAIgAAAGRycy9kb3ducmV2LnhtbFBLAQIUABQAAAAIAIdO4kCO2nVSEQIAAAMEAAAOAAAAAAAA&#10;AAEAIAAAACQBAABkcnMvZTJvRG9jLnhtbFBLBQYAAAAABgAGAFkBAACnBQAAAAA=&#10;">
                        <v:fill on="f" focussize="0,0"/>
                        <v:stroke color="#000000" joinstyle="round" endarrow="block"/>
                        <v:imagedata o:title=""/>
                        <o:lock v:ext="edit" aspectratio="f"/>
                      </v:line>
                      <v:rect id="_x0000_s1026" o:spid="_x0000_s1026" o:spt="1" style="position:absolute;left:3563619;top:1651000;height:299085;width:1314450;"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I2ScIA&#10;AADbAAAADwAAAGRycy9kb3ducmV2LnhtbESPQYvCMBSE74L/ITzBm6YqrGs1iijK7lHrxduzebbV&#10;5qU0Uau/3iwIexxm5htmtmhMKe5Uu8KygkE/AkGcWl1wpuCQbHrfIJxH1lhaJgVPcrCYt1szjLV9&#10;8I7ue5+JAGEXo4Lc+yqW0qU5GXR9WxEH72xrgz7IOpO6xkeAm1IOo+hLGiw4LORY0Sqn9Lq/GQWn&#10;YnjA1y7ZRmayGfnfJrncjmulup1mOQXhqfH/4U/7RysYj+DvS/gB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ojZJwgAAANsAAAAPAAAAAAAAAAAAAAAAAJgCAABkcnMvZG93&#10;bnJldi54bWxQSwUGAAAAAAQABAD1AAAAhwMAAAAA&#10;">
                        <v:fill on="t" focussize="0,0"/>
                        <v:stroke color="#000000" joinstyle="miter"/>
                        <v:imagedata o:title=""/>
                        <o:lock v:ext="edit" aspectratio="f"/>
                        <v:textbox>
                          <w:txbxContent>
                            <w:p>
                              <w:pPr>
                                <w:spacing w:line="240" w:lineRule="auto"/>
                                <w:jc w:val="center"/>
                                <w:rPr>
                                  <w:rFonts w:hint="eastAsia"/>
                                </w:rPr>
                              </w:pPr>
                              <w:r>
                                <w:rPr>
                                  <w:rFonts w:hint="eastAsia"/>
                                </w:rPr>
                                <w:t>院内</w:t>
                              </w:r>
                              <w:r>
                                <w:rPr>
                                  <w:rFonts w:hint="eastAsia" w:ascii="宋体" w:hAnsi="宋体" w:cs="宋体"/>
                                  <w:kern w:val="0"/>
                                  <w:szCs w:val="21"/>
                                  <w:lang w:bidi="ar"/>
                                </w:rPr>
                                <w:t>污水处理站</w:t>
                              </w:r>
                            </w:p>
                          </w:txbxContent>
                        </v:textbox>
                      </v:rect>
                      <v:line id="_x0000_s1026" o:spid="_x0000_s1026" o:spt="20" style="position:absolute;left:4209414;top:1952625;height:391160;width:634;"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3rn8QAAADbAAAADwAAAGRycy9kb3ducmV2LnhtbESPQWsCMRSE74L/ITyhN81aSt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XeufxAAAANsAAAAPAAAAAAAAAAAA&#10;AAAAAKECAABkcnMvZG93bnJldi54bWxQSwUGAAAAAAQABAD5AAAAkgMAAAAA&#10;">
                        <v:fill on="f" focussize="0,0"/>
                        <v:stroke color="#000000" joinstyle="round" endarrow="block"/>
                        <v:imagedata o:title=""/>
                        <o:lock v:ext="edit" aspectratio="f"/>
                      </v:line>
                      <v:rect id="_x0000_s1026" o:spid="_x0000_s1026" o:spt="1" style="position:absolute;left:1800224;top:233679;height:279399;width:513715;"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mVncMA&#10;AADbAAAADwAAAGRycy9kb3ducmV2LnhtbESPT4vCMBTE74LfITzBm6a64J9qFFEL62EPVsXro3m2&#10;xealNFmt334jLHgcZuY3zHLdmko8qHGlZQWjYQSCOLO65FzB+ZQMZiCcR9ZYWSYFL3KwXnU7S4y1&#10;ffKRHqnPRYCwi1FB4X0dS+myggy6oa2Jg3ezjUEfZJNL3eAzwE0lx1E0kQZLDgsF1rQtKLunv0ZB&#10;mlz0z/zqv662TfL9Ybe77euTUv1eu1mA8NT6T/i//a0VTCfw/hJ+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7mVncMAAADbAAAADwAAAAAAAAAAAAAAAACYAgAAZHJzL2Rv&#10;d25yZXYueG1sUEsFBgAAAAAEAAQA9QAAAIgDAAAAAA==&#10;">
                        <v:fill on="t" opacity="0f" focussize="0,0"/>
                        <v:stroke on="f"/>
                        <v:imagedata o:title=""/>
                        <o:lock v:ext="edit" aspectratio="f"/>
                        <v:textbox>
                          <w:txbxContent>
                            <w:p>
                              <w:pPr>
                                <w:jc w:val="center"/>
                                <w:rPr>
                                  <w:rFonts w:hint="default" w:eastAsia="宋体"/>
                                  <w:lang w:val="en-US" w:eastAsia="zh-CN"/>
                                </w:rPr>
                              </w:pPr>
                              <w:r>
                                <w:rPr>
                                  <w:rFonts w:hint="eastAsia"/>
                                  <w:lang w:val="en-US" w:eastAsia="zh-CN"/>
                                </w:rPr>
                                <w:t>0.04</w:t>
                              </w:r>
                            </w:p>
                          </w:txbxContent>
                        </v:textbox>
                      </v:rect>
                      <v:rect id="_x0000_s1026" o:spid="_x0000_s1026" o:spt="1" style="position:absolute;left:1765934;top:1577339;height:279399;width:644524;"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UwBsMA&#10;AADbAAAADwAAAGRycy9kb3ducmV2LnhtbESPQYvCMBSE7wv+h/AEb5qqoG7XKKIW9ODB6uL10Tzb&#10;ss1LaaLWf28EYY/DzHzDzJetqcSdGldaVjAcRCCIM6tLzhWcT0l/BsJ5ZI2VZVLwJAfLRedrjrG2&#10;Dz7SPfW5CBB2MSoovK9jKV1WkEE3sDVx8K62MeiDbHKpG3wEuKnkKIom0mDJYaHAmtYFZX/pzShI&#10;k199+L748cW2Sb7dbzbXbX1SqtdtVz8gPLX+P/xp77SC6RTeX8IP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UwBsMAAADbAAAADwAAAAAAAAAAAAAAAACYAgAAZHJzL2Rv&#10;d25yZXYueG1sUEsFBgAAAAAEAAQA9QAAAIgDAAAAAA==&#10;">
                        <v:fill on="t" opacity="0f" focussize="0,0"/>
                        <v:stroke on="f"/>
                        <v:imagedata o:title=""/>
                        <o:lock v:ext="edit" aspectratio="f"/>
                        <v:textbox>
                          <w:txbxContent>
                            <w:p>
                              <w:pPr>
                                <w:jc w:val="center"/>
                                <w:rPr>
                                  <w:rFonts w:hint="eastAsia" w:eastAsia="宋体"/>
                                  <w:lang w:val="en-US" w:eastAsia="zh-CN"/>
                                </w:rPr>
                              </w:pPr>
                              <w:r>
                                <w:rPr>
                                  <w:rFonts w:hint="eastAsia"/>
                                </w:rPr>
                                <w:t>0.</w:t>
                              </w:r>
                              <w:r>
                                <w:rPr>
                                  <w:rFonts w:hint="eastAsia"/>
                                  <w:lang w:val="en-US" w:eastAsia="zh-CN"/>
                                </w:rPr>
                                <w:t>008</w:t>
                              </w:r>
                            </w:p>
                          </w:txbxContent>
                        </v:textbox>
                      </v:rect>
                      <v:rect id="_x0000_s1026" o:spid="_x0000_s1026" o:spt="1" style="position:absolute;left:1744979;top:1841499;height:224789;width:518160;"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qkdMIA&#10;AADbAAAADwAAAGRycy9kb3ducmV2LnhtbERPu2rDMBTdA/kHcQvdErktNKkT2YTahnbIECcl68W6&#10;fhDryliq4/59NRQ6Hs57n86mFxONrrOs4GkdgSCurO64UXA5F6stCOeRNfaWScEPOUiT5WKPsbZ3&#10;PtFU+kaEEHYxKmi9H2IpXdWSQbe2A3Hgajsa9AGOjdQj3kO46eVzFL1Kgx2HhhYHem+pupXfRkFZ&#10;fOnj29W/XO1cNPlnltX5cFbq8WE+7EB4mv2/+M/9oRVswtjwJfwAm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aqR0wgAAANsAAAAPAAAAAAAAAAAAAAAAAJgCAABkcnMvZG93&#10;bnJldi54bWxQSwUGAAAAAAQABAD1AAAAhwMAAAAA&#10;">
                        <v:fill on="t" opacity="0f" focussize="0,0"/>
                        <v:stroke on="f"/>
                        <v:imagedata o:title=""/>
                        <o:lock v:ext="edit" aspectratio="f"/>
                        <v:textbox>
                          <w:txbxContent>
                            <w:p>
                              <w:pPr>
                                <w:jc w:val="center"/>
                                <w:rPr>
                                  <w:rFonts w:hint="default" w:eastAsia="宋体"/>
                                  <w:lang w:val="en-US" w:eastAsia="zh-CN"/>
                                </w:rPr>
                              </w:pPr>
                              <w:r>
                                <w:rPr>
                                  <w:rFonts w:hint="eastAsia"/>
                                  <w:lang w:val="en-US" w:eastAsia="zh-CN"/>
                                </w:rPr>
                                <w:t>11.52</w:t>
                              </w:r>
                            </w:p>
                          </w:txbxContent>
                        </v:textbox>
                      </v:rect>
                      <v:rect id="_x0000_s1026" o:spid="_x0000_s1026" o:spt="1" style="position:absolute;left:1336674;top:2197735;height:279400;width:644525;"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YB78QA&#10;AADbAAAADwAAAGRycy9kb3ducmV2LnhtbESPQWvCQBSE7wX/w/KE3pqNFtomuoqoAXvowVjx+sg+&#10;k2D2bdhdNf77bqHQ4zAz3zDz5WA6cSPnW8sKJkkKgriyuuVawfehePkA4QOyxs4yKXiQh+Vi9DTH&#10;XNs77+lWhlpECPscFTQh9LmUvmrIoE9sTxy9s3UGQ5SultrhPcJNJ6dp+iYNthwXGuxp3VB1Ka9G&#10;QVkc9Vd2Cq8nOxT19nOzOW/7g1LP42E1AxFoCP/hv/ZOK3jP4PdL/AFy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mAe/EAAAA2wAAAA8AAAAAAAAAAAAAAAAAmAIAAGRycy9k&#10;b3ducmV2LnhtbFBLBQYAAAAABAAEAPUAAACJAwAAAAA=&#10;">
                        <v:fill on="t" opacity="0f" focussize="0,0"/>
                        <v:stroke on="f"/>
                        <v:imagedata o:title=""/>
                        <o:lock v:ext="edit" aspectratio="f"/>
                        <v:textbox>
                          <w:txbxContent>
                            <w:p>
                              <w:pPr>
                                <w:jc w:val="center"/>
                                <w:rPr>
                                  <w:rFonts w:hint="default" w:eastAsia="宋体"/>
                                  <w:lang w:val="en-US" w:eastAsia="zh-CN"/>
                                </w:rPr>
                              </w:pPr>
                              <w:r>
                                <w:rPr>
                                  <w:rFonts w:hint="eastAsia"/>
                                  <w:lang w:val="en-US" w:eastAsia="zh-CN"/>
                                </w:rPr>
                                <w:t>1.048</w:t>
                              </w:r>
                            </w:p>
                          </w:txbxContent>
                        </v:textbox>
                      </v:rect>
                      <v:rect id="_x0000_s1026" o:spid="_x0000_s1026" o:spt="1" style="position:absolute;left:4321810;top:2081529;height:280034;width:644524;"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fjucMA&#10;AADbAAAADwAAAGRycy9kb3ducmV2LnhtbESPT4vCMBTE74LfITxhb5quC6JdU1lWC3rwYFW8PprX&#10;P2zzUpqs1m9vBMHjMDO/YZar3jTiSp2rLSv4nEQgiHOray4VnI7peA7CeWSNjWVScCcHq2Q4WGKs&#10;7Y0PdM18KQKEXYwKKu/bWEqXV2TQTWxLHLzCdgZ9kF0pdYe3ADeNnEbRTBqsOSxU2NJvRflf9m8U&#10;ZOlZ7xcX/3WxfVpudut1sWmPSn2M+p9vEJ56/w6/2lutYD6F55fwA2T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fjucMAAADbAAAADwAAAAAAAAAAAAAAAACYAgAAZHJzL2Rv&#10;d25yZXYueG1sUEsFBgAAAAAEAAQA9QAAAIgDAAAAAA==&#10;">
                        <v:fill on="t" opacity="0f" focussize="0,0"/>
                        <v:stroke on="f"/>
                        <v:imagedata o:title=""/>
                        <o:lock v:ext="edit" aspectratio="f"/>
                        <v:textbox>
                          <w:txbxContent>
                            <w:p>
                              <w:pPr>
                                <w:rPr>
                                  <w:rFonts w:hint="default" w:eastAsia="宋体"/>
                                  <w:lang w:val="en-US" w:eastAsia="zh-CN"/>
                                </w:rPr>
                              </w:pPr>
                              <w:r>
                                <w:rPr>
                                  <w:rFonts w:hint="eastAsia"/>
                                  <w:lang w:val="en-US" w:eastAsia="zh-CN"/>
                                </w:rPr>
                                <w:t>47.84</w:t>
                              </w:r>
                            </w:p>
                          </w:txbxContent>
                        </v:textbox>
                      </v:rect>
                      <v:shape id="_x0000_s1026" o:spid="_x0000_s1026" o:spt="202" type="#_x0000_t202" style="position:absolute;left:3573144;top:2362199;height:428624;width:1343025;"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JsQA&#10;AADbAAAADwAAAGRycy9kb3ducmV2LnhtbESPT2sCMRTE74V+h/AKvRQ3WxW1W6OI0GJvVkWvj83b&#10;P3Tzsibpun57UxB6HGZ+M8x82ZtGdOR8bVnBa5KCIM6trrlUcNh/DGYgfEDW2FgmBVfysFw8Pswx&#10;0/bC39TtQiliCfsMFVQhtJmUPq/IoE9sSxy9wjqDIUpXSu3wEstNI4dpOpEGa44LFba0rij/2f0a&#10;BbPxpjv5r9H2mE+K5i28TLvPs1Pq+alfvYMI1If/8J3e6MiN4O9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vhybEAAAA2wAAAA8AAAAAAAAAAAAAAAAAmAIAAGRycy9k&#10;b3ducmV2LnhtbFBLBQYAAAAABAAEAPUAAACJAwAAAAA=&#10;">
                        <v:fill on="t" focussize="0,0"/>
                        <v:stroke color="#000000" joinstyle="miter"/>
                        <v:imagedata o:title=""/>
                        <o:lock v:ext="edit" aspectratio="f"/>
                        <v:textbox>
                          <w:txbxContent>
                            <w:p>
                              <w:pPr>
                                <w:adjustRightInd w:val="0"/>
                                <w:spacing w:line="240" w:lineRule="auto"/>
                                <w:jc w:val="center"/>
                                <w:rPr>
                                  <w:rFonts w:hint="eastAsia"/>
                                  <w:szCs w:val="21"/>
                                </w:rPr>
                              </w:pPr>
                              <w:r>
                                <w:rPr>
                                  <w:rFonts w:hint="eastAsia"/>
                                  <w:szCs w:val="21"/>
                                  <w:lang w:eastAsia="zh-CN"/>
                                </w:rPr>
                                <w:t>乐山市第三</w:t>
                              </w:r>
                              <w:r>
                                <w:rPr>
                                  <w:rFonts w:hint="eastAsia"/>
                                  <w:szCs w:val="21"/>
                                </w:rPr>
                                <w:t>污水处理厂</w:t>
                              </w:r>
                            </w:p>
                          </w:txbxContent>
                        </v:textbox>
                      </v:shape>
                      <v:rect id="_x0000_s1026" o:spid="_x0000_s1026" o:spt="1" style="position:absolute;left:2016125;top:2912744;height:279399;width:568960;"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57zcMA&#10;AADbAAAADwAAAGRycy9kb3ducmV2LnhtbESPQYvCMBSE7wv+h/AEb2uqorhdo4ha0IMHq4vXR/Ns&#10;yzYvpYla/70RBI/DzHzDzBatqcSNGldaVjDoRyCIM6tLzhWcjsn3FITzyBory6TgQQ4W887XDGNt&#10;73ygW+pzESDsYlRQeF/HUrqsIIOub2vi4F1sY9AH2eRSN3gPcFPJYRRNpMGSw0KBNa0Kyv7Tq1GQ&#10;Jn96/3P2o7Ntk3yzW68vm/qoVK/bLn9BeGr9J/xub7WC6RheX8IP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57zcMAAADbAAAADwAAAAAAAAAAAAAAAACYAgAAZHJzL2Rv&#10;d25yZXYueG1sUEsFBgAAAAAEAAQA9QAAAIgDAAAAAA==&#10;">
                        <v:fill on="t" opacity="0f" focussize="0,0"/>
                        <v:stroke on="f"/>
                        <v:imagedata o:title=""/>
                        <o:lock v:ext="edit" aspectratio="f"/>
                        <v:textbox>
                          <w:txbxContent>
                            <w:p>
                              <w:pPr>
                                <w:rPr>
                                  <w:rFonts w:hint="default" w:eastAsia="宋体"/>
                                  <w:lang w:val="en-US" w:eastAsia="zh-CN"/>
                                </w:rPr>
                              </w:pPr>
                              <w:r>
                                <w:rPr>
                                  <w:rFonts w:hint="eastAsia"/>
                                  <w:lang w:val="en-US" w:eastAsia="zh-CN"/>
                                </w:rPr>
                                <w:t>3.28</w:t>
                              </w:r>
                            </w:p>
                          </w:txbxContent>
                        </v:textbox>
                      </v:rect>
                      <v:rect id="_x0000_s1026" o:spid="_x0000_s1026" o:spt="1" style="position:absolute;left:996950;top:2487296;height:302895;width:741679;"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Dl9sMA&#10;AADbAAAADwAAAGRycy9kb3ducmV2LnhtbESPQYvCMBSE78L+h/AW9qapFcStxiKKsnvUevH2bJ5t&#10;tXkpTdTqr98Iwh6HmfmGmaWdqcWNWldZVjAcRCCIc6srLhTss3V/AsJ5ZI21ZVLwIAfp/KM3w0Tb&#10;O2/ptvOFCBB2CSoovW8SKV1ekkE3sA1x8E62NeiDbAupW7wHuKllHEVjabDisFBiQ8uS8svuahQc&#10;q3iPz222icz3euR/u+x8PayU+vrsFlMQnjr/H363f7SCyRheX8IP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Dl9sMAAADbAAAADwAAAAAAAAAAAAAAAACYAgAAZHJzL2Rv&#10;d25yZXYueG1sUEsFBgAAAAAEAAQA9QAAAIgDAAAAAA==&#10;">
                        <v:fill on="t" focussize="0,0"/>
                        <v:stroke color="#000000" joinstyle="miter"/>
                        <v:imagedata o:title=""/>
                        <o:lock v:ext="edit" aspectratio="f"/>
                        <v:textbox>
                          <w:txbxContent>
                            <w:p>
                              <w:pPr>
                                <w:rPr>
                                  <w:rFonts w:hint="eastAsia"/>
                                </w:rPr>
                              </w:pPr>
                              <w:r>
                                <w:rPr>
                                  <w:rFonts w:hint="eastAsia"/>
                                  <w:lang w:eastAsia="zh-CN"/>
                                </w:rPr>
                                <w:t>厨房</w:t>
                              </w:r>
                              <w:r>
                                <w:rPr>
                                  <w:rFonts w:hint="eastAsia"/>
                                </w:rPr>
                                <w:t>用水</w:t>
                              </w:r>
                            </w:p>
                          </w:txbxContent>
                        </v:textbox>
                      </v:rect>
                      <v:line id="_x0000_s1026" o:spid="_x0000_s1026" o:spt="20" style="position:absolute;left:676899;top:2585721;height:635;width:321835;"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oFz8QAAADbAAAADwAAAGRycy9kb3ducmV2LnhtbESPQWvCQBSE74L/YXlCb7rRQ6Opq4hB&#10;6KEWjKXn1+xrNjT7NmS3cfvv3UKhx2FmvmG2+2g7MdLgW8cKlosMBHHtdMuNgrfrab4G4QOyxs4x&#10;KfghD/vddLLFQrsbX2isQiMShH2BCkwIfSGlrw1Z9AvXEyfv0w0WQ5JDI/WAtwS3nVxl2aO02HJa&#10;MNjT0VD9VX1bBbkpLzKX5cv1tRzb5Sae4/vHRqmHWTw8gQgUw3/4r/2sFaxz+P2SfoD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WgXPxAAAANsAAAAPAAAAAAAAAAAA&#10;AAAAAKECAABkcnMvZG93bnJldi54bWxQSwUGAAAAAAQABAD5AAAAkgMAAAAA&#10;">
                        <v:fill on="f" focussize="0,0"/>
                        <v:stroke color="#000000" joinstyle="round" endarrow="block"/>
                        <v:imagedata o:title=""/>
                        <o:lock v:ext="edit" aspectratio="f"/>
                      </v:line>
                      <v:rect id="_x0000_s1026" o:spid="_x0000_s1026" o:spt="1" style="position:absolute;left:504189;top:2377441;height:279399;width:644525;"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UU8EA&#10;AADbAAAADwAAAGRycy9kb3ducmV2LnhtbERPTWvCQBC9F/wPywi9NRsVRFNXETVQDx4aW3IdsmMS&#10;mp0N2TWJ/949CD0+3vdmN5pG9NS52rKCWRSDIC6srrlU8HNNP1YgnEfW2FgmBQ9ysNtO3jaYaDvw&#10;N/WZL0UIYZeggsr7NpHSFRUZdJFtiQN3s51BH2BXSt3hEMJNI+dxvJQGaw4NFbZ0qKj4y+5GQZb+&#10;6ss694vcjml5Oh+Pt1N7Vep9Ou4/QXga/b/45f7SClZhbPgSfoD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1FPBAAAA2wAAAA8AAAAAAAAAAAAAAAAAmAIAAGRycy9kb3du&#10;cmV2LnhtbFBLBQYAAAAABAAEAPUAAACGAwAAAAA=&#10;">
                        <v:fill on="t" opacity="0f" focussize="0,0"/>
                        <v:stroke on="f"/>
                        <v:imagedata o:title=""/>
                        <o:lock v:ext="edit" aspectratio="f"/>
                        <v:textbox>
                          <w:txbxContent>
                            <w:p>
                              <w:pPr>
                                <w:jc w:val="center"/>
                                <w:rPr>
                                  <w:rFonts w:hint="default" w:eastAsia="宋体"/>
                                  <w:lang w:val="en-US" w:eastAsia="zh-CN"/>
                                </w:rPr>
                              </w:pPr>
                              <w:r>
                                <w:rPr>
                                  <w:rFonts w:hint="eastAsia"/>
                                  <w:lang w:val="en-US" w:eastAsia="zh-CN"/>
                                </w:rPr>
                                <w:t>5.24</w:t>
                              </w:r>
                            </w:p>
                          </w:txbxContent>
                        </v:textbox>
                      </v:rect>
                      <v:rect id="_x0000_s1026" o:spid="_x0000_s1026" o:spt="1" style="position:absolute;left:996949;top:1933575;height:287020;width:762634;"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DrX8QA&#10;AADbAAAADwAAAGRycy9kb3ducmV2LnhtbESPQWvCQBSE70L/w/IKvelGC6WmbkJRLO0xiRdvr9ln&#10;Ept9G7JrEv313ULB4zAz3zCbdDKtGKh3jWUFy0UEgri0uuFKwaHYz19BOI+ssbVMCq7kIE0eZhuM&#10;tR05oyH3lQgQdjEqqL3vYildWZNBt7AdcfBOtjfog+wrqXscA9y0chVFL9Jgw2Ghxo62NZU/+cUo&#10;+G5WB7xlxUdk1vtn/zUV58txp9TT4/T+BsLT5O/h//anVrBewt+X8ANk8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w61/EAAAA2wAAAA8AAAAAAAAAAAAAAAAAmAIAAGRycy9k&#10;b3ducmV2LnhtbFBLBQYAAAAABAAEAPUAAACJAwAAAAA=&#10;">
                        <v:fill on="t" focussize="0,0"/>
                        <v:stroke color="#000000" joinstyle="miter"/>
                        <v:imagedata o:title=""/>
                        <o:lock v:ext="edit" aspectratio="f"/>
                        <v:textbox>
                          <w:txbxContent>
                            <w:p>
                              <w:pPr>
                                <w:jc w:val="center"/>
                                <w:rPr>
                                  <w:rFonts w:hint="eastAsia"/>
                                </w:rPr>
                              </w:pPr>
                              <w:r>
                                <w:rPr>
                                  <w:rFonts w:hint="eastAsia"/>
                                </w:rPr>
                                <w:t>浆洗用水</w:t>
                              </w:r>
                            </w:p>
                          </w:txbxContent>
                        </v:textbox>
                      </v:rect>
                      <v:line id="_x0000_s1026" o:spid="_x0000_s1026" o:spt="20" style="position:absolute;left:1329184;top:2376806;flip:y;height:92709;width:21476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EWF8MAAADbAAAADwAAAGRycy9kb3ducmV2LnhtbESPQYvCMBCF7wv+hzCCtzW14KLVKCII&#10;e1h2sXrwODRjW20mpUk1/vuNIHh8vHnfm7dcB9OIG3WutqxgMk5AEBdW11wqOB52nzMQziNrbCyT&#10;ggc5WK8GH0vMtL3znm65L0WEsMtQQeV9m0npiooMurFtiaN3tp1BH2VXSt3hPcJNI9Mk+ZIGa44N&#10;Fba0rai45r2Jb0z75hAm/U+Kp1Du7W9+/rs8lBoNw2YBwlPw7+NX+lsrmKfw3BIBIF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hFhfDAAAA2wAAAA8AAAAAAAAAAAAA&#10;AAAAoQIAAGRycy9kb3ducmV2LnhtbFBLBQYAAAAABAAEAPkAAACRAwAAAAA=&#10;">
                        <v:fill on="f" focussize="0,0"/>
                        <v:stroke color="#000000" joinstyle="round" dashstyle="dash" endarrow="block"/>
                        <v:imagedata o:title=""/>
                        <o:lock v:ext="edit" aspectratio="f"/>
                      </v:line>
                      <v:rect id="_x0000_s1026" o:spid="_x0000_s1026" o:spt="1" style="position:absolute;left:0;top:1304290;height:467360;width:792480;"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LQ/8QA&#10;AADbAAAADwAAAGRycy9kb3ducmV2LnhtbESPQWvCQBSE74L/YXmF3nRTA6VGVxGTQHvooVHx+sg+&#10;k2D2bciuMf57t1DocZiZb5j1djStGKh3jWUFb/MIBHFpdcOVguMhn32AcB5ZY2uZFDzIwXYznawx&#10;0fbOPzQUvhIBwi5BBbX3XSKlK2sy6Oa2Iw7exfYGfZB9JXWP9wA3rVxE0bs02HBYqLGjfU3ltbgZ&#10;BUV+0t/Ls4/Pdsyr7CtNL1l3UOr1ZdytQHga/X/4r/2pFSxj+P0SfoD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C0P/EAAAA2wAAAA8AAAAAAAAAAAAAAAAAmAIAAGRycy9k&#10;b3ducmV2LnhtbFBLBQYAAAAABAAEAPUAAACJAwAAAAA=&#10;">
                        <v:fill on="t" opacity="0f" focussize="0,0"/>
                        <v:stroke on="f"/>
                        <v:imagedata o:title=""/>
                        <o:lock v:ext="edit" aspectratio="f"/>
                        <v:textbox>
                          <w:txbxContent>
                            <w:p>
                              <w:pPr>
                                <w:jc w:val="left"/>
                                <w:rPr>
                                  <w:rFonts w:hint="default" w:eastAsia="宋体"/>
                                  <w:lang w:val="en-US" w:eastAsia="zh-CN"/>
                                </w:rPr>
                              </w:pPr>
                              <w:r>
                                <w:rPr>
                                  <w:rFonts w:hint="eastAsia"/>
                                </w:rPr>
                                <w:t>项目用水量</w:t>
                              </w:r>
                              <w:r>
                                <w:rPr>
                                  <w:rFonts w:hint="eastAsia"/>
                                  <w:lang w:val="en-US" w:eastAsia="zh-CN"/>
                                </w:rPr>
                                <w:t>62.8005</w:t>
                              </w:r>
                            </w:p>
                          </w:txbxContent>
                        </v:textbox>
                      </v:rect>
                      <v:rect id="_x0000_s1026" o:spid="_x0000_s1026" o:spt="1" style="position:absolute;left:972184;top:886460;height:279399;width:775970;"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I38MUA&#10;AADcAAAADwAAAGRycy9kb3ducmV2LnhtbESPzW7CMBCE70h9B2sr9QYO6Y9KiIMQFRU9QnLhtsTb&#10;JCVeR7GBlKfHSJV6HM3MN5p0MZhWnKl3jWUF00kEgri0uuFKQZGvx+8gnEfW2FomBb/kYJE9jFJM&#10;tL3wls47X4kAYZeggtr7LpHSlTUZdBPbEQfv2/YGfZB9JXWPlwA3rYyj6E0abDgs1NjRqqbyuDsZ&#10;BYcmLvC6zT8jM1s/+68h/zntP5R6ehyWcxCeBv8f/mtvtIL49QXuZ8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AjfwxQAAANwAAAAPAAAAAAAAAAAAAAAAAJgCAABkcnMv&#10;ZG93bnJldi54bWxQSwUGAAAAAAQABAD1AAAAigMAAAAA&#10;">
                        <v:fill on="t" focussize="0,0"/>
                        <v:stroke color="#000000" joinstyle="miter"/>
                        <v:imagedata o:title=""/>
                        <o:lock v:ext="edit" aspectratio="f"/>
                        <v:textbox>
                          <w:txbxContent>
                            <w:p>
                              <w:pPr>
                                <w:pStyle w:val="37"/>
                                <w:spacing w:before="0" w:beforeAutospacing="0" w:after="0" w:afterAutospacing="0"/>
                                <w:jc w:val="center"/>
                              </w:pPr>
                              <w:r>
                                <w:rPr>
                                  <w:rFonts w:hint="eastAsia" w:ascii="Times New Roman"/>
                                  <w:kern w:val="2"/>
                                  <w:sz w:val="21"/>
                                  <w:szCs w:val="21"/>
                                </w:rPr>
                                <w:t>住院病人</w:t>
                              </w:r>
                            </w:p>
                          </w:txbxContent>
                        </v:textbox>
                      </v:rect>
                      <v:rect id="_x0000_s1026" o:spid="_x0000_s1026" o:spt="1" style="position:absolute;left:1641475;top:789304;height:279399;width:644524;"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lk8QA&#10;AADcAAAADwAAAGRycy9kb3ducmV2LnhtbESPQYvCMBSE78L+h/AWvGm6iuJ2jSJqQQ8ebHfx+mie&#10;bdnmpTRR6783guBxmJlvmPmyM7W4Uusqywq+hhEI4tzqigsFv1kymIFwHlljbZkU3MnBcvHRm2Os&#10;7Y2PdE19IQKEXYwKSu+bWEqXl2TQDW1DHLyzbQ36INtC6hZvAW5qOYqiqTRYcVgosaF1Sfl/ejEK&#10;0uRPH75PfnyyXVJs95vNedtkSvU/u9UPCE+df4df7Z1WMJpM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CJZPEAAAA3AAAAA8AAAAAAAAAAAAAAAAAmAIAAGRycy9k&#10;b3ducmV2LnhtbFBLBQYAAAAABAAEAPUAAACJAwAAAAA=&#10;">
                        <v:fill on="t" opacity="0f" focussize="0,0"/>
                        <v:stroke on="f"/>
                        <v:imagedata o:title=""/>
                        <o:lock v:ext="edit" aspectratio="f"/>
                        <v:textbox>
                          <w:txbxContent>
                            <w:p>
                              <w:pPr>
                                <w:pStyle w:val="37"/>
                                <w:spacing w:before="0" w:beforeAutospacing="0" w:after="0" w:afterAutospacing="0"/>
                                <w:jc w:val="center"/>
                                <w:rPr>
                                  <w:rFonts w:hint="default" w:eastAsia="宋体"/>
                                  <w:lang w:val="en-US" w:eastAsia="zh-CN"/>
                                </w:rPr>
                              </w:pPr>
                              <w:r>
                                <w:rPr>
                                  <w:rFonts w:hint="eastAsia" w:ascii="Times New Roman" w:hAnsi="Times New Roman"/>
                                  <w:kern w:val="2"/>
                                  <w:sz w:val="21"/>
                                  <w:szCs w:val="21"/>
                                  <w:lang w:val="en-US" w:eastAsia="zh-CN"/>
                                </w:rPr>
                                <w:t>28.8</w:t>
                              </w:r>
                            </w:p>
                          </w:txbxContent>
                        </v:textbox>
                      </v:rect>
                      <v:line id="_x0000_s1026" o:spid="_x0000_s1026" o:spt="20" style="position:absolute;left:676899;top:1034415;height:635;width:321835;"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4GX8UAAADcAAAADwAAAGRycy9kb3ducmV2LnhtbESPQWsCMRSE74X+h/AKvdWsgt26GqW4&#10;CD1oQS09v26em6Wbl2UT1/jvG6HgcZiZb5jFKtpWDNT7xrGC8SgDQVw53XCt4Ou4eXkD4QOyxtYx&#10;KbiSh9Xy8WGBhXYX3tNwCLVIEPYFKjAhdIWUvjJk0Y9cR5y8k+sthiT7WuoeLwluWznJsldpseG0&#10;YLCjtaHq93C2CnJT7mUuy+3xsxya8Szu4vfPTKnnp/g+BxEohnv4v/2hFUymOdzOpCM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b4GX8UAAADcAAAADwAAAAAAAAAA&#10;AAAAAAChAgAAZHJzL2Rvd25yZXYueG1sUEsFBgAAAAAEAAQA+QAAAJMDAAAAAA==&#10;">
                        <v:fill on="f" focussize="0,0"/>
                        <v:stroke color="#000000" joinstyle="round" endarrow="block"/>
                        <v:imagedata o:title=""/>
                        <o:lock v:ext="edit" aspectratio="f"/>
                      </v:line>
                      <v:rect id="_x0000_s1026" o:spid="_x0000_s1026" o:spt="1" style="position:absolute;left:418465;top:814070;height:279400;width:768985;"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EUesIA&#10;AADcAAAADwAAAGRycy9kb3ducmV2LnhtbERPz2vCMBS+D/wfwhO8ranKxqxGEbWwHXZYq3h9NM+2&#10;2LyUJGr975fDYMeP7/dqM5hO3Mn51rKCaZKCIK6sbrlWcCzz1w8QPiBr7CyTgid52KxHLyvMtH3w&#10;D92LUIsYwj5DBU0IfSalrxoy6BPbE0fuYp3BEKGrpXb4iOGmk7M0fZcGW44NDfa0a6i6FjejoMhP&#10;+ntxDvOzHfL68LXfXw59qdRkPGyXIAIN4V/85/7UCmZvcW08E4+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0RR6wgAAANwAAAAPAAAAAAAAAAAAAAAAAJgCAABkcnMvZG93&#10;bnJldi54bWxQSwUGAAAAAAQABAD1AAAAhwMAAAAA&#10;">
                        <v:fill on="t" opacity="0f" focussize="0,0"/>
                        <v:stroke on="f"/>
                        <v:imagedata o:title=""/>
                        <o:lock v:ext="edit" aspectratio="f"/>
                        <v:textbox>
                          <w:txbxContent>
                            <w:p>
                              <w:pPr>
                                <w:pStyle w:val="37"/>
                                <w:spacing w:before="0" w:beforeAutospacing="0" w:after="0" w:afterAutospacing="0"/>
                                <w:jc w:val="center"/>
                                <w:rPr>
                                  <w:rFonts w:hint="default" w:eastAsia="宋体"/>
                                  <w:lang w:val="en-US" w:eastAsia="zh-CN"/>
                                </w:rPr>
                              </w:pPr>
                              <w:r>
                                <w:rPr>
                                  <w:rFonts w:hint="eastAsia" w:ascii="Times New Roman" w:hAnsi="Times New Roman"/>
                                  <w:kern w:val="2"/>
                                  <w:sz w:val="21"/>
                                  <w:szCs w:val="21"/>
                                  <w:lang w:val="en-US" w:eastAsia="zh-CN"/>
                                </w:rPr>
                                <w:t>36.0</w:t>
                              </w:r>
                            </w:p>
                          </w:txbxContent>
                        </v:textbox>
                      </v:rect>
                      <v:line id="_x0000_s1026" o:spid="_x0000_s1026" o:spt="20" style="position:absolute;left:1267648;top:788035;flip:y;height:93980;width:21476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au8sQAAADcAAAADwAAAGRycy9kb3ducmV2LnhtbESPQYvCMBCF7wv+hzCCtzW1oKzVKCIs&#10;7EEUqwePQzO21WZSmlTjvzcLC3t8vHnfm7dcB9OIB3WutqxgMk5AEBdW11wqOJ++P79AOI+ssbFM&#10;Cl7kYL0afCwx0/bJR3rkvhQRwi5DBZX3bSalKyoy6Ma2JY7e1XYGfZRdKXWHzwg3jUyTZCYN1hwb&#10;KmxpW1Fxz3sT35j2zSlM+l2Kl1Ae7T6/Hm4vpUbDsFmA8BT8//Ff+kcrSKdz+B0TCSBX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Zq7yxAAAANwAAAAPAAAAAAAAAAAA&#10;AAAAAKECAABkcnMvZG93bnJldi54bWxQSwUGAAAAAAQABAD5AAAAkgMAAAAA&#10;">
                        <v:fill on="f" focussize="0,0"/>
                        <v:stroke color="#000000" joinstyle="round" dashstyle="dash" endarrow="block"/>
                        <v:imagedata o:title=""/>
                        <o:lock v:ext="edit" aspectratio="f"/>
                      </v:line>
                      <v:rect id="_x0000_s1026" o:spid="_x0000_s1026" o:spt="1" style="position:absolute;left:1191260;top:603884;height:279400;width:644525;"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d3WsUA&#10;AADcAAAADwAAAGRycy9kb3ducmV2LnhtbESPQWvCQBSE7wX/w/IEb3WjQmijq4gmYA89NFa8PrLP&#10;JJh9G7JrEv99t1DocZiZb5jNbjSN6KlztWUFi3kEgriwuuZSwfc5e30D4TyyxsYyKXiSg9128rLB&#10;RNuBv6jPfSkChF2CCirv20RKV1Rk0M1tSxy8m+0M+iC7UuoOhwA3jVxGUSwN1hwWKmzpUFFxzx9G&#10;QZ5d9Of71a+udszK9ON4vKXtWanZdNyvQXga/X/4r33SCpbxAn7PhCM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h3daxQAAANwAAAAPAAAAAAAAAAAAAAAAAJgCAABkcnMv&#10;ZG93bnJldi54bWxQSwUGAAAAAAQABAD1AAAAigMAAAAA&#10;">
                        <v:fill on="t" opacity="0f" focussize="0,0"/>
                        <v:stroke on="f"/>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7.2</w:t>
                              </w:r>
                            </w:p>
                          </w:txbxContent>
                        </v:textbox>
                      </v:rect>
                      <v:rect id="_x0000_s1026" o:spid="_x0000_s1026" o:spt="1" style="position:absolute;left:516905;top:2918461;height:274955;width:644285;"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UU8EA&#10;AADbAAAADwAAAGRycy9kb3ducmV2LnhtbERPTWvCQBC9F/wPywi9NRsVRFNXETVQDx4aW3IdsmMS&#10;mp0N2TWJ/949CD0+3vdmN5pG9NS52rKCWRSDIC6srrlU8HNNP1YgnEfW2FgmBQ9ysNtO3jaYaDvw&#10;N/WZL0UIYZeggsr7NpHSFRUZdJFtiQN3s51BH2BXSt3hEMJNI+dxvJQGaw4NFbZ0qKj4y+5GQZb+&#10;6ss694vcjml5Oh+Pt1N7Vep9Ou4/QXga/b/45f7SClZhbPgSfoD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1FPBAAAA2wAAAA8AAAAAAAAAAAAAAAAAmAIAAGRycy9kb3du&#10;cmV2LnhtbFBLBQYAAAAABAAEAPUAAACGAwAAAAA=&#10;">
                        <v:fill on="t" opacity="0f" focussize="0,0"/>
                        <v:stroke on="f"/>
                        <v:imagedata o:title=""/>
                        <o:lock v:ext="edit" aspectratio="f"/>
                        <v:textbox>
                          <w:txbxContent>
                            <w:p>
                              <w:pPr>
                                <w:jc w:val="center"/>
                                <w:rPr>
                                  <w:rFonts w:hint="default" w:eastAsia="宋体"/>
                                  <w:lang w:val="en-US" w:eastAsia="zh-CN"/>
                                </w:rPr>
                              </w:pPr>
                              <w:r>
                                <w:rPr>
                                  <w:rFonts w:hint="eastAsia"/>
                                  <w:lang w:val="en-US" w:eastAsia="zh-CN"/>
                                </w:rPr>
                                <w:t>4.1</w:t>
                              </w:r>
                            </w:p>
                          </w:txbxContent>
                        </v:textbox>
                      </v:rect>
                      <v:line id="_x0000_s1026" o:spid="_x0000_s1026" o:spt="20" style="position:absolute;left:676899;top:3128011;height:0;width:321835;"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oFz8QAAADbAAAADwAAAGRycy9kb3ducmV2LnhtbESPQWvCQBSE74L/YXlCb7rRQ6Opq4hB&#10;6KEWjKXn1+xrNjT7NmS3cfvv3UKhx2FmvmG2+2g7MdLgW8cKlosMBHHtdMuNgrfrab4G4QOyxs4x&#10;KfghD/vddLLFQrsbX2isQiMShH2BCkwIfSGlrw1Z9AvXEyfv0w0WQ5JDI/WAtwS3nVxl2aO02HJa&#10;MNjT0VD9VX1bBbkpLzKX5cv1tRzb5Sae4/vHRqmHWTw8gQgUw3/4r/2sFaxz+P2SfoD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WgXPxAAAANsAAAAPAAAAAAAAAAAA&#10;AAAAAKECAABkcnMvZG93bnJldi54bWxQSwUGAAAAAAQABAD5AAAAkgMAAAAA&#10;">
                        <v:fill on="f" focussize="0,0"/>
                        <v:stroke color="#000000" joinstyle="round" endarrow="block"/>
                        <v:imagedata o:title=""/>
                        <o:lock v:ext="edit" aspectratio="f"/>
                      </v:line>
                      <v:line id="_x0000_s1026" o:spid="_x0000_s1026" o:spt="20" style="position:absolute;left:1292263;top:2881631;flip:y;height:83820;width:21476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EWF8MAAADbAAAADwAAAGRycy9kb3ducmV2LnhtbESPQYvCMBCF7wv+hzCCtzW14KLVKCII&#10;e1h2sXrwODRjW20mpUk1/vuNIHh8vHnfm7dcB9OIG3WutqxgMk5AEBdW11wqOB52nzMQziNrbCyT&#10;ggc5WK8GH0vMtL3znm65L0WEsMtQQeV9m0npiooMurFtiaN3tp1BH2VXSt3hPcJNI9Mk+ZIGa44N&#10;Fba0rai45r2Jb0z75hAm/U+Kp1Du7W9+/rs8lBoNw2YBwlPw7+NX+lsrmKfw3BIBIF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hFhfDAAAA2wAAAA8AAAAAAAAAAAAA&#10;AAAAoQIAAGRycy9kb3ducmV2LnhtbFBLBQYAAAAABAAEAPkAAACRAwAAAAA=&#10;">
                        <v:fill on="f" focussize="0,0"/>
                        <v:stroke color="#000000" joinstyle="round" dashstyle="dash" endarrow="block"/>
                        <v:imagedata o:title=""/>
                        <o:lock v:ext="edit" aspectratio="f"/>
                      </v:line>
                      <v:rect id="_x0000_s1026" o:spid="_x0000_s1026" o:spt="1" style="position:absolute;left:1367789;top:2747010;height:274955;width:573405;"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YB78QA&#10;AADbAAAADwAAAGRycy9kb3ducmV2LnhtbESPQWvCQBSE7wX/w/KE3pqNFtomuoqoAXvowVjx+sg+&#10;k2D2bdhdNf77bqHQ4zAz3zDz5WA6cSPnW8sKJkkKgriyuuVawfehePkA4QOyxs4yKXiQh+Vi9DTH&#10;XNs77+lWhlpECPscFTQh9LmUvmrIoE9sTxy9s3UGQ5SultrhPcJNJ6dp+iYNthwXGuxp3VB1Ka9G&#10;QVkc9Vd2Cq8nOxT19nOzOW/7g1LP42E1AxFoCP/hv/ZOK3jP4PdL/AFy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mAe/EAAAA2wAAAA8AAAAAAAAAAAAAAAAAmAIAAGRycy9k&#10;b3ducmV2LnhtbFBLBQYAAAAABAAEAPUAAACJAwAAAAA=&#10;">
                        <v:fill on="t" opacity="0f" focussize="0,0"/>
                        <v:stroke on="f"/>
                        <v:imagedata o:title=""/>
                        <o:lock v:ext="edit" aspectratio="f"/>
                        <v:textbox>
                          <w:txbxContent>
                            <w:p>
                              <w:pPr>
                                <w:jc w:val="center"/>
                                <w:rPr>
                                  <w:rFonts w:hint="default" w:eastAsia="宋体"/>
                                  <w:lang w:val="en-US" w:eastAsia="zh-CN"/>
                                </w:rPr>
                              </w:pPr>
                              <w:r>
                                <w:rPr>
                                  <w:rFonts w:hint="eastAsia"/>
                                  <w:lang w:val="en-US" w:eastAsia="zh-CN"/>
                                </w:rPr>
                                <w:t>0.82</w:t>
                              </w:r>
                            </w:p>
                          </w:txbxContent>
                        </v:textbox>
                      </v:rect>
                      <v:rect id="_x0000_s1026" o:spid="_x0000_s1026" o:spt="1" style="position:absolute;left:1650999;top:2406015;height:413385;width:762000;"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xyMQA&#10;AADbAAAADwAAAGRycy9kb3ducmV2LnhtbESPQWvCQBSE7wX/w/IEb3VjhaLRVcQkYA89NCpeH9ln&#10;Esy+DdltEv99t1DocZiZb5jtfjSN6KlztWUFi3kEgriwuuZSweWcva5AOI+ssbFMCp7kYL+bvGwx&#10;1nbgL+pzX4oAYRejgsr7NpbSFRUZdHPbEgfvbjuDPsiulLrDIcBNI9+i6F0arDksVNjSsaLikX8b&#10;BXl21Z/rm1/e7JiV6UeS3NP2rNRsOh42IDyN/j/81z5pBas1/H4JP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ccjEAAAA2wAAAA8AAAAAAAAAAAAAAAAAmAIAAGRycy9k&#10;b3ducmV2LnhtbFBLBQYAAAAABAAEAPUAAACJAwAAAAA=&#10;">
                        <v:fill on="t" opacity="0f" focussize="0,0"/>
                        <v:stroke on="f"/>
                        <v:imagedata o:title=""/>
                        <o:lock v:ext="edit" aspectratio="f"/>
                        <v:textbox>
                          <w:txbxContent>
                            <w:p>
                              <w:pPr>
                                <w:jc w:val="center"/>
                                <w:rPr>
                                  <w:rFonts w:hint="default" w:eastAsia="宋体"/>
                                  <w:lang w:val="en-US" w:eastAsia="zh-CN"/>
                                </w:rPr>
                              </w:pPr>
                              <w:r>
                                <w:rPr>
                                  <w:rFonts w:hint="eastAsia"/>
                                </w:rPr>
                                <w:t>隔油处理</w:t>
                              </w:r>
                              <w:r>
                                <w:rPr>
                                  <w:rFonts w:hint="eastAsia"/>
                                  <w:lang w:val="en-US" w:eastAsia="zh-CN"/>
                                </w:rPr>
                                <w:t>4.192</w:t>
                              </w:r>
                            </w:p>
                          </w:txbxContent>
                        </v:textbox>
                      </v:rect>
                      <v:rect id="_x0000_s1026" o:spid="_x0000_s1026" o:spt="1" style="position:absolute;left:981075;top:1473199;height:279399;width:866774;"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I38MUA&#10;AADcAAAADwAAAGRycy9kb3ducmV2LnhtbESPzW7CMBCE70h9B2sr9QYO6Y9KiIMQFRU9QnLhtsTb&#10;JCVeR7GBlKfHSJV6HM3MN5p0MZhWnKl3jWUF00kEgri0uuFKQZGvx+8gnEfW2FomBb/kYJE9jFJM&#10;tL3wls47X4kAYZeggtr7LpHSlTUZdBPbEQfv2/YGfZB9JXWPlwA3rYyj6E0abDgs1NjRqqbyuDsZ&#10;BYcmLvC6zT8jM1s/+68h/zntP5R6ehyWcxCeBv8f/mtvtIL49QXuZ8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AjfwxQAAANwAAAAPAAAAAAAAAAAAAAAAAJgCAABkcnMv&#10;ZG93bnJldi54bWxQSwUGAAAAAAQABAD1AAAAigMAAAAA&#10;">
                        <v:fill on="t" focussize="0,0"/>
                        <v:stroke color="#000000" joinstyle="miter"/>
                        <v:imagedata o:title=""/>
                        <o:lock v:ext="edit" aspectratio="f"/>
                        <v:textbox>
                          <w:txbxContent>
                            <w:p>
                              <w:pPr>
                                <w:pStyle w:val="37"/>
                                <w:spacing w:before="0" w:beforeAutospacing="0" w:after="0" w:afterAutospacing="0"/>
                                <w:jc w:val="center"/>
                                <w:rPr>
                                  <w:rFonts w:hint="eastAsia"/>
                                </w:rPr>
                              </w:pPr>
                              <w:r>
                                <w:rPr>
                                  <w:rFonts w:hint="eastAsia"/>
                                  <w:sz w:val="21"/>
                                  <w:szCs w:val="16"/>
                                </w:rPr>
                                <w:t>检验室用水</w:t>
                              </w:r>
                            </w:p>
                          </w:txbxContent>
                        </v:textbox>
                      </v:rect>
                      <v:rect id="_x0000_s1026" o:spid="_x0000_s1026" o:spt="1" style="position:absolute;left:989329;top:3620771;height:292100;width:762000;"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Dl9sMA&#10;AADbAAAADwAAAGRycy9kb3ducmV2LnhtbESPQYvCMBSE78L+h/AW9qapFcStxiKKsnvUevH2bJ5t&#10;tXkpTdTqr98Iwh6HmfmGmaWdqcWNWldZVjAcRCCIc6srLhTss3V/AsJ5ZI21ZVLwIAfp/KM3w0Tb&#10;O2/ptvOFCBB2CSoovW8SKV1ekkE3sA1x8E62NeiDbAupW7wHuKllHEVjabDisFBiQ8uS8svuahQc&#10;q3iPz222icz3euR/u+x8PayU+vrsFlMQnjr/H363f7SCyRheX8IP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Dl9sMAAADbAAAADwAAAAAAAAAAAAAAAACYAgAAZHJzL2Rv&#10;d25yZXYueG1sUEsFBgAAAAAEAAQA9QAAAIgDAAAAAA==&#10;">
                        <v:fill on="t" focussize="0,0"/>
                        <v:stroke color="#000000" joinstyle="miter"/>
                        <v:imagedata o:title=""/>
                        <o:lock v:ext="edit" aspectratio="f"/>
                        <v:textbox>
                          <w:txbxContent>
                            <w:p>
                              <w:pPr>
                                <w:rPr>
                                  <w:rFonts w:hint="eastAsia"/>
                                </w:rPr>
                              </w:pPr>
                              <w:r>
                                <w:rPr>
                                  <w:rFonts w:hint="eastAsia"/>
                                </w:rPr>
                                <w:t>绿化用水</w:t>
                              </w:r>
                            </w:p>
                          </w:txbxContent>
                        </v:textbox>
                      </v:rect>
                      <v:line id="_x0000_s1026" o:spid="_x0000_s1026" o:spt="20" style="position:absolute;left:679450;top:3728086;height:0;width:31750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oFz8QAAADbAAAADwAAAGRycy9kb3ducmV2LnhtbESPQWvCQBSE74L/YXlCb7rRQ6Opq4hB&#10;6KEWjKXn1+xrNjT7NmS3cfvv3UKhx2FmvmG2+2g7MdLgW8cKlosMBHHtdMuNgrfrab4G4QOyxs4x&#10;KfghD/vddLLFQrsbX2isQiMShH2BCkwIfSGlrw1Z9AvXEyfv0w0WQ5JDI/WAtwS3nVxl2aO02HJa&#10;MNjT0VD9VX1bBbkpLzKX5cv1tRzb5Sae4/vHRqmHWTw8gQgUw3/4r/2sFaxz+P2SfoD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WgXPxAAAANsAAAAPAAAAAAAAAAAA&#10;AAAAAKECAABkcnMvZG93bnJldi54bWxQSwUGAAAAAAQABAD5AAAAkgMAAAAA&#10;">
                        <v:fill on="f" focussize="0,0"/>
                        <v:stroke color="#000000" joinstyle="round" endarrow="block"/>
                        <v:imagedata o:title=""/>
                        <o:lock v:ext="edit" aspectratio="f"/>
                      </v:line>
                      <v:line id="_x0000_s1026" o:spid="_x0000_s1026" o:spt="20" style="position:absolute;left:1227455;top:3537586;flip:y;height:76199;width:203199;"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EWF8MAAADbAAAADwAAAGRycy9kb3ducmV2LnhtbESPQYvCMBCF7wv+hzCCtzW14KLVKCII&#10;e1h2sXrwODRjW20mpUk1/vuNIHh8vHnfm7dcB9OIG3WutqxgMk5AEBdW11wqOB52nzMQziNrbCyT&#10;ggc5WK8GH0vMtL3znm65L0WEsMtQQeV9m0npiooMurFtiaN3tp1BH2VXSt3hPcJNI9Mk+ZIGa44N&#10;Fba0rai45r2Jb0z75hAm/U+Kp1Du7W9+/rs8lBoNw2YBwlPw7+NX+lsrmKfw3BIBIF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hFhfDAAAA2wAAAA8AAAAAAAAAAAAA&#10;AAAAoQIAAGRycy9kb3ducmV2LnhtbFBLBQYAAAAABAAEAPkAAACRAwAAAAA=&#10;">
                        <v:fill on="f" focussize="0,0"/>
                        <v:stroke color="#000000" joinstyle="round" dashstyle="dash" endarrow="block"/>
                        <v:imagedata o:title=""/>
                        <o:lock v:ext="edit" aspectratio="f"/>
                      </v:line>
                      <v:rect id="_x0000_s1026" o:spid="_x0000_s1026" o:spt="1" style="position:absolute;left:1180464;top:3335020;height:314325;width:634999;"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YB78QA&#10;AADbAAAADwAAAGRycy9kb3ducmV2LnhtbESPQWvCQBSE7wX/w/KE3pqNFtomuoqoAXvowVjx+sg+&#10;k2D2bdhdNf77bqHQ4zAz3zDz5WA6cSPnW8sKJkkKgriyuuVawfehePkA4QOyxs4yKXiQh+Vi9DTH&#10;XNs77+lWhlpECPscFTQh9LmUvmrIoE9sTxy9s3UGQ5SultrhPcJNJ6dp+iYNthwXGuxp3VB1Ka9G&#10;QVkc9Vd2Cq8nOxT19nOzOW/7g1LP42E1AxFoCP/hv/ZOK3jP4PdL/AFy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mAe/EAAAA2wAAAA8AAAAAAAAAAAAAAAAAmAIAAGRycy9k&#10;b3ducmV2LnhtbFBLBQYAAAAABAAEAPUAAACJAwAAAAA=&#10;">
                        <v:fill on="t" opacity="0f" focussize="0,0"/>
                        <v:stroke on="f"/>
                        <v:imagedata o:title=""/>
                        <o:lock v:ext="edit" aspectratio="f"/>
                        <v:textbox>
                          <w:txbxContent>
                            <w:p>
                              <w:pPr>
                                <w:jc w:val="center"/>
                                <w:rPr>
                                  <w:rFonts w:hint="eastAsia" w:eastAsia="宋体"/>
                                  <w:lang w:eastAsia="zh-CN"/>
                                </w:rPr>
                              </w:pPr>
                              <w:r>
                                <w:rPr>
                                  <w:rFonts w:hint="eastAsia"/>
                                </w:rPr>
                                <w:t>0.</w:t>
                              </w:r>
                              <w:r>
                                <w:rPr>
                                  <w:rFonts w:hint="eastAsia"/>
                                  <w:lang w:val="en-US" w:eastAsia="zh-CN"/>
                                </w:rPr>
                                <w:t>1</w:t>
                              </w:r>
                            </w:p>
                          </w:txbxContent>
                        </v:textbox>
                      </v:rect>
                      <v:rect id="_x0000_s1026" o:spid="_x0000_s1026" o:spt="1" style="position:absolute;left:512444;top:3489324;height:266700;width:634999;"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UU8EA&#10;AADbAAAADwAAAGRycy9kb3ducmV2LnhtbERPTWvCQBC9F/wPywi9NRsVRFNXETVQDx4aW3IdsmMS&#10;mp0N2TWJ/949CD0+3vdmN5pG9NS52rKCWRSDIC6srrlU8HNNP1YgnEfW2FgmBQ9ysNtO3jaYaDvw&#10;N/WZL0UIYZeggsr7NpHSFRUZdJFtiQN3s51BH2BXSt3hEMJNI+dxvJQGaw4NFbZ0qKj4y+5GQZb+&#10;6ss694vcjml5Oh+Pt1N7Vep9Ou4/QXga/b/45f7SClZhbPgSfoD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1FPBAAAA2wAAAA8AAAAAAAAAAAAAAAAAmAIAAGRycy9kb3du&#10;cmV2LnhtbFBLBQYAAAAABAAEAPUAAACGAwAAAAA=&#10;">
                        <v:fill on="t" opacity="0f" focussize="0,0"/>
                        <v:stroke on="f"/>
                        <v:imagedata o:title=""/>
                        <o:lock v:ext="edit" aspectratio="f"/>
                        <v:textbox>
                          <w:txbxContent>
                            <w:p>
                              <w:pPr>
                                <w:jc w:val="center"/>
                                <w:rPr>
                                  <w:rFonts w:hint="eastAsia" w:eastAsia="宋体"/>
                                  <w:lang w:val="en-US" w:eastAsia="zh-CN"/>
                                </w:rPr>
                              </w:pPr>
                              <w:r>
                                <w:rPr>
                                  <w:rFonts w:hint="eastAsia"/>
                                </w:rPr>
                                <w:t>0.</w:t>
                              </w:r>
                              <w:r>
                                <w:rPr>
                                  <w:rFonts w:hint="eastAsia"/>
                                  <w:lang w:val="en-US" w:eastAsia="zh-CN"/>
                                </w:rPr>
                                <w:t>1</w:t>
                              </w:r>
                            </w:p>
                          </w:txbxContent>
                        </v:textbox>
                      </v:rect>
                      <v:rect id="_x0000_s1026" o:spid="_x0000_s1026" o:spt="1" style="position:absolute;left:1675129;top:1316355;height:275590;width:800100;"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xyMQA&#10;AADbAAAADwAAAGRycy9kb3ducmV2LnhtbESPQWvCQBSE7wX/w/IEb3VjhaLRVcQkYA89NCpeH9ln&#10;Esy+DdltEv99t1DocZiZb5jtfjSN6KlztWUFi3kEgriwuuZSweWcva5AOI+ssbFMCp7kYL+bvGwx&#10;1nbgL+pzX4oAYRejgsr7NpbSFRUZdHPbEgfvbjuDPsiulLrDIcBNI9+i6F0arDksVNjSsaLikX8b&#10;BXl21Z/rm1/e7JiV6UeS3NP2rNRsOh42IDyN/j/81z5pBas1/H4JP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ccjEAAAA2wAAAA8AAAAAAAAAAAAAAAAAmAIAAGRycy9k&#10;b3ducmV2LnhtbFBLBQYAAAAABAAEAPUAAACJAwAAAAA=&#10;">
                        <v:fill on="t" opacity="0f" focussize="0,0"/>
                        <v:stroke on="f"/>
                        <v:imagedata o:title=""/>
                        <o:lock v:ext="edit" aspectratio="f"/>
                        <v:textbox>
                          <w:txbxContent>
                            <w:p>
                              <w:pPr>
                                <w:jc w:val="center"/>
                              </w:pPr>
                              <w:r>
                                <w:rPr>
                                  <w:rFonts w:hint="eastAsia"/>
                                </w:rPr>
                                <w:t>中和处理</w:t>
                              </w:r>
                            </w:p>
                          </w:txbxContent>
                        </v:textbox>
                      </v:rect>
                      <v:line id="_x0000_s1026" o:spid="_x0000_s1026" o:spt="20" style="position:absolute;left:1746250;top:416559;height:635;width:628650;" filled="f" stroked="t" coordsize="21600,21600" o:gfxdata="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OsWMv7UAAAABQEAAA8AAAAAAAAAAQAgAAAAIgAAAGRycy9kb3ducmV2&#10;LnhtbFBLAQIUABQAAAAIAIdO4kDXLh+rAAIAAPIDAAAOAAAAAAAAAAEAIAAAACMBAABkcnMvZTJv&#10;RG9jLnhtbFBLBQYAAAAABgAGAFkBAACVBQAAAAA=&#10;">
                        <v:fill on="f" focussize="0,0"/>
                        <v:stroke color="#000000" joinstyle="round"/>
                        <v:imagedata o:title=""/>
                        <o:lock v:ext="edit" aspectratio="f"/>
                      </v:line>
                      <v:line id="_x0000_s1026" o:spid="_x0000_s1026" o:spt="20" style="position:absolute;left:1746250;top:1016634;flip:x;height:635;width:631190;" filled="f" stroked="t" coordsize="21600,21600" o:gfxdata="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nID1Q1AAAAAUBAAAPAAAAAAAAAAEAIAAAACIAAABk&#10;cnMvZG93bnJldi54bWxQSwECFAAUAAAACACHTuJAupbh5AoCAAD9AwAADgAAAAAAAAABACAAAAAj&#10;AQAAZHJzL2Uyb0RvYy54bWxQSwUGAAAAAAYABgBZAQAAnwUAAAAA&#10;">
                        <v:fill on="f" focussize="0,0"/>
                        <v:stroke color="#000000" joinstyle="round"/>
                        <v:imagedata o:title=""/>
                        <o:lock v:ext="edit" aspectratio="f"/>
                      </v:line>
                      <v:line id="_x0000_s1026" o:spid="_x0000_s1026" o:spt="20" style="position:absolute;left:1856105;top:1608454;flip:x;height:635;width:546099;" filled="f" stroked="t" coordsize="21600,21600" o:gfxdata="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5yA9UNQAAAAFAQAADwAAAAAAAAABACAAAAAiAAAA&#10;ZHJzL2Rvd25yZXYueG1sUEsBAhQAFAAAAAgAh07iQFQB7JgLAgAA/QMAAA4AAAAAAAAAAQAgAAAA&#10;IwEAAGRycy9lMm9Eb2MueG1sUEsFBgAAAAAGAAYAWQEAAKAFAAAAAA==&#10;">
                        <v:fill on="f" focussize="0,0"/>
                        <v:stroke color="#000000" joinstyle="round"/>
                        <v:imagedata o:title=""/>
                        <o:lock v:ext="edit" aspectratio="f"/>
                      </v:line>
                      <v:line id="_x0000_s1026" o:spid="_x0000_s1026" o:spt="20" style="position:absolute;left:1732279;top:2627630;flip:x;height:635;width:645159;" filled="f" stroked="t" coordsize="21600,21600" o:gfxdata="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nID1Q1AAAAAUBAAAPAAAAAAAAAAEAIAAAACIAAABk&#10;cnMvZG93bnJldi54bWxQSwECFAAUAAAACACHTuJAUgI9pgoCAAD9AwAADgAAAAAAAAABACAAAAAj&#10;AQAAZHJzL2Uyb0RvYy54bWxQSwUGAAAAAAYABgBZAQAAnwUAAAAA&#10;">
                        <v:fill on="f" focussize="0,0"/>
                        <v:stroke color="#000000" joinstyle="round"/>
                        <v:imagedata o:title=""/>
                        <o:lock v:ext="edit" aspectratio="f"/>
                      </v:line>
                      <v:line id="_x0000_s1026" o:spid="_x0000_s1026" o:spt="20" style="position:absolute;left:1732279;top:3122930;flip:x;height:635;width:654049;" filled="f" stroked="t" coordsize="21600,21600" o:gfxdata="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5yA9UNQAAAAFAQAADwAAAAAAAAABACAAAAAiAAAA&#10;ZHJzL2Rvd25yZXYueG1sUEsBAhQAFAAAAAgAh07iQPlTlPMLAgAA/QMAAA4AAAAAAAAAAQAgAAAA&#10;IwEAAGRycy9lMm9Eb2MueG1sUEsFBgAAAAAGAAYAWQEAAKAFAAAAAA==&#10;">
                        <v:fill on="f" focussize="0,0"/>
                        <v:stroke color="#000000" joinstyle="round"/>
                        <v:imagedata o:title=""/>
                        <o:lock v:ext="edit" aspectratio="f"/>
                      </v:line>
                      <v:line id="_x0000_s1026" o:spid="_x0000_s1026" o:spt="20" style="position:absolute;left:1760854;top:2085340;flip:x y;height:635;width:615314;" filled="f" stroked="t" coordsize="21600,21600" o:gfxdata="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yPro/RAAAABQEAAA8AAAAAAAAAAQAgAAAAIgAAAGRy&#10;cy9kb3ducmV2LnhtbFBLAQIUABQAAAAIAIdO4kDrC/9QDAIAAAcEAAAOAAAAAAAAAAEAIAAAACAB&#10;AABkcnMvZTJvRG9jLnhtbFBLBQYAAAAABgAGAFkBAACeBQAAAAA=&#10;">
                        <v:fill on="f" focussize="0,0"/>
                        <v:stroke color="#000000" joinstyle="round"/>
                        <v:imagedata o:title=""/>
                        <o:lock v:ext="edit" aspectratio="f"/>
                      </v:line>
                      <v:line id="_x0000_s1026" o:spid="_x0000_s1026" o:spt="20" style="position:absolute;left:2379344;top:420370;flip:x;height:2719704;width:2539;" filled="f" stroked="t" coordsize="21600,21600" o:gfxdata="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cgPVDUAAAABQEAAA8AAAAAAAAAAQAgAAAAIgAA&#10;AGRycy9kb3ducmV2LnhtbFBLAQIUABQAAAAIAIdO4kC47fRTDAIAAP4DAAAOAAAAAAAAAAEAIAAA&#10;ACMBAABkcnMvZTJvRG9jLnhtbFBLBQYAAAAABgAGAFkBAAChBQAAAAA=&#10;">
                        <v:fill on="f" focussize="0,0"/>
                        <v:stroke color="#000000" joinstyle="round"/>
                        <v:imagedata o:title=""/>
                        <o:lock v:ext="edit" aspectratio="f"/>
                      </v:line>
                      <v:rect id="_x0000_s1026" o:spid="_x0000_s1026" o:spt="1" style="position:absolute;left:2686685;top:1651635;height:292100;width:609600;"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Dl9sMA&#10;AADbAAAADwAAAGRycy9kb3ducmV2LnhtbESPQYvCMBSE78L+h/AW9qapFcStxiKKsnvUevH2bJ5t&#10;tXkpTdTqr98Iwh6HmfmGmaWdqcWNWldZVjAcRCCIc6srLhTss3V/AsJ5ZI21ZVLwIAfp/KM3w0Tb&#10;O2/ptvOFCBB2CSoovW8SKV1ekkE3sA1x8E62NeiDbAupW7wHuKllHEVjabDisFBiQ8uS8svuahQc&#10;q3iPz222icz3euR/u+x8PayU+vrsFlMQnjr/H363f7SCyRheX8IP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Dl9sMAAADbAAAADwAAAAAAAAAAAAAAAACYAgAAZHJzL2Rv&#10;d25yZXYueG1sUEsFBgAAAAAEAAQA9QAAAIgDAAAAAA==&#10;">
                        <v:fill on="t" focussize="0,0"/>
                        <v:stroke color="#000000" joinstyle="miter"/>
                        <v:imagedata o:title=""/>
                        <o:lock v:ext="edit" aspectratio="f"/>
                        <v:textbox>
                          <w:txbxContent>
                            <w:p>
                              <w:pPr>
                                <w:rPr>
                                  <w:rFonts w:hint="eastAsia"/>
                                </w:rPr>
                              </w:pPr>
                              <w:r>
                                <w:rPr>
                                  <w:rFonts w:hint="eastAsia"/>
                                </w:rPr>
                                <w:t>化粪池</w:t>
                              </w:r>
                            </w:p>
                          </w:txbxContent>
                        </v:textbox>
                      </v:rect>
                      <v:rect id="_x0000_s1026" o:spid="_x0000_s1026" o:spt="1" style="position:absolute;left:973455;top:2980055;height:298450;width:1012825;"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Dl9sMA&#10;AADbAAAADwAAAGRycy9kb3ducmV2LnhtbESPQYvCMBSE78L+h/AW9qapFcStxiKKsnvUevH2bJ5t&#10;tXkpTdTqr98Iwh6HmfmGmaWdqcWNWldZVjAcRCCIc6srLhTss3V/AsJ5ZI21ZVLwIAfp/KM3w0Tb&#10;O2/ptvOFCBB2CSoovW8SKV1ekkE3sA1x8E62NeiDbAupW7wHuKllHEVjabDisFBiQ8uS8svuahQc&#10;q3iPz222icz3euR/u+x8PayU+vrsFlMQnjr/H363f7SCyRheX8IP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Dl9sMAAADbAAAADwAAAAAAAAAAAAAAAACYAgAAZHJzL2Rv&#10;d25yZXYueG1sUEsFBgAAAAAEAAQA9QAAAIgDAAAAAA==&#10;">
                        <v:fill on="t" focussize="0,0"/>
                        <v:stroke color="#000000" joinstyle="miter"/>
                        <v:imagedata o:title=""/>
                        <o:lock v:ext="edit" aspectratio="f"/>
                        <v:textbox>
                          <w:txbxContent>
                            <w:p>
                              <w:pPr>
                                <w:rPr>
                                  <w:rFonts w:hint="eastAsia"/>
                                </w:rPr>
                              </w:pPr>
                              <w:r>
                                <w:rPr>
                                  <w:rFonts w:hint="eastAsia"/>
                                  <w:lang w:eastAsia="zh-CN"/>
                                </w:rPr>
                                <w:t>职工</w:t>
                              </w:r>
                              <w:r>
                                <w:rPr>
                                  <w:rFonts w:hint="eastAsia"/>
                                </w:rPr>
                                <w:t>生活污水</w:t>
                              </w:r>
                            </w:p>
                          </w:txbxContent>
                        </v:textbox>
                      </v:rect>
                      <v:rect id="_x0000_s1026" o:spid="_x0000_s1026" o:spt="1" style="position:absolute;left:525145;top:4085590;height:266700;width:634999;"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UU8EA&#10;AADbAAAADwAAAGRycy9kb3ducmV2LnhtbERPTWvCQBC9F/wPywi9NRsVRFNXETVQDx4aW3IdsmMS&#10;mp0N2TWJ/949CD0+3vdmN5pG9NS52rKCWRSDIC6srrlU8HNNP1YgnEfW2FgmBQ9ysNtO3jaYaDvw&#10;N/WZL0UIYZeggsr7NpHSFRUZdJFtiQN3s51BH2BXSt3hEMJNI+dxvJQGaw4NFbZ0qKj4y+5GQZb+&#10;6ss694vcjml5Oh+Pt1N7Vep9Ou4/QXga/b/45f7SClZhbPgSfoD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1FPBAAAA2wAAAA8AAAAAAAAAAAAAAAAAmAIAAGRycy9kb3du&#10;cmV2LnhtbFBLBQYAAAAABAAEAPUAAACGAwAAAAA=&#10;">
                        <v:fill on="t" opacity="0f" focussize="0,0"/>
                        <v:stroke on="f"/>
                        <v:imagedata o:title=""/>
                        <o:lock v:ext="edit" aspectratio="f"/>
                        <v:textbox>
                          <w:txbxContent>
                            <w:p>
                              <w:pPr>
                                <w:jc w:val="center"/>
                                <w:rPr>
                                  <w:rFonts w:hint="default" w:eastAsia="宋体"/>
                                  <w:lang w:val="en-US" w:eastAsia="zh-CN"/>
                                </w:rPr>
                              </w:pPr>
                              <w:r>
                                <w:rPr>
                                  <w:rFonts w:hint="eastAsia" w:eastAsia="宋体"/>
                                  <w:lang w:val="en-US" w:eastAsia="zh-CN"/>
                                </w:rPr>
                                <w:t>2.9905</w:t>
                              </w:r>
                            </w:p>
                          </w:txbxContent>
                        </v:textbox>
                      </v:rect>
                      <v:line id="_x0000_s1026" o:spid="_x0000_s1026" o:spt="20" style="position:absolute;left:680085;top:4276724;flip:y;height:10159;width:408304;" filled="f" stroked="t" coordsize="21600,21600" o:gfxdata="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QCgTN1QAAAAUBAAAPAAAAAAAA&#10;AAEAIAAAACIAAABkcnMvZG93bnJldi54bWxQSwECFAAUAAAACACHTuJAsTRD0xUCAAACBAAADgAA&#10;AAAAAAABACAAAAAkAQAAZHJzL2Uyb0RvYy54bWxQSwUGAAAAAAYABgBZAQAAqwUAAAAA&#10;">
                        <v:fill on="f" focussize="0,0"/>
                        <v:stroke color="#000000" joinstyle="round" endarrow="block"/>
                        <v:imagedata o:title=""/>
                        <o:lock v:ext="edit" aspectratio="f"/>
                      </v:line>
                      <v:rect id="_x0000_s1026" o:spid="_x0000_s1026" o:spt="1" style="position:absolute;left:1057910;top:4131944;height:292100;width:904874;"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Dl9sMA&#10;AADbAAAADwAAAGRycy9kb3ducmV2LnhtbESPQYvCMBSE78L+h/AW9qapFcStxiKKsnvUevH2bJ5t&#10;tXkpTdTqr98Iwh6HmfmGmaWdqcWNWldZVjAcRCCIc6srLhTss3V/AsJ5ZI21ZVLwIAfp/KM3w0Tb&#10;O2/ptvOFCBB2CSoovW8SKV1ekkE3sA1x8E62NeiDbAupW7wHuKllHEVjabDisFBiQ8uS8svuahQc&#10;q3iPz222icz3euR/u+x8PayU+vrsFlMQnjr/H363f7SCyRheX8IP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Dl9sMAAADbAAAADwAAAAAAAAAAAAAAAACYAgAAZHJzL2Rv&#10;d25yZXYueG1sUEsFBgAAAAAEAAQA9QAAAIgDAAAAAA==&#10;">
                        <v:fill on="t" focussize="0,0"/>
                        <v:stroke color="#000000" joinstyle="miter"/>
                        <v:imagedata o:title=""/>
                        <o:lock v:ext="edit" aspectratio="f"/>
                        <v:textbox>
                          <w:txbxContent>
                            <w:p>
                              <w:pPr>
                                <w:rPr>
                                  <w:rFonts w:hint="eastAsia" w:eastAsia="宋体"/>
                                  <w:lang w:eastAsia="zh-CN"/>
                                </w:rPr>
                              </w:pPr>
                              <w:r>
                                <w:rPr>
                                  <w:rFonts w:hint="eastAsia"/>
                                  <w:lang w:eastAsia="zh-CN"/>
                                </w:rPr>
                                <w:t>未预见用水</w:t>
                              </w:r>
                            </w:p>
                          </w:txbxContent>
                        </v:textbox>
                      </v:rect>
                      <v:rect id="_x0000_s1026" o:spid="_x0000_s1026" o:spt="1" style="position:absolute;left:1597659;top:3893820;height:304800;width:622300;"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YB78QA&#10;AADbAAAADwAAAGRycy9kb3ducmV2LnhtbESPQWvCQBSE7wX/w/KE3pqNFtomuoqoAXvowVjx+sg+&#10;k2D2bdhdNf77bqHQ4zAz3zDz5WA6cSPnW8sKJkkKgriyuuVawfehePkA4QOyxs4yKXiQh+Vi9DTH&#10;XNs77+lWhlpECPscFTQh9LmUvmrIoE9sTxy9s3UGQ5SultrhPcJNJ6dp+iYNthwXGuxp3VB1Ka9G&#10;QVkc9Vd2Cq8nOxT19nOzOW/7g1LP42E1AxFoCP/hv/ZOK3jP4PdL/AFy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mAe/EAAAA2wAAAA8AAAAAAAAAAAAAAAAAmAIAAGRycy9k&#10;b3ducmV2LnhtbFBLBQYAAAAABAAEAPUAAACJAwAAAAA=&#10;">
                        <v:fill on="t" opacity="0f" focussize="0,0"/>
                        <v:stroke on="f"/>
                        <v:imagedata o:title=""/>
                        <o:lock v:ext="edit" aspectratio="f"/>
                        <v:textbox>
                          <w:txbxContent>
                            <w:p>
                              <w:pPr>
                                <w:jc w:val="center"/>
                                <w:rPr>
                                  <w:rFonts w:hint="default" w:eastAsia="宋体"/>
                                  <w:lang w:val="en-US" w:eastAsia="zh-CN"/>
                                </w:rPr>
                              </w:pPr>
                              <w:r>
                                <w:rPr>
                                  <w:rFonts w:hint="eastAsia" w:eastAsia="宋体"/>
                                  <w:lang w:val="en-US" w:eastAsia="zh-CN"/>
                                </w:rPr>
                                <w:t>2.9905</w:t>
                              </w:r>
                            </w:p>
                          </w:txbxContent>
                        </v:textbox>
                      </v:rect>
                      <v:line id="_x0000_s1026" o:spid="_x0000_s1026" o:spt="20" style="position:absolute;left:1457959;top:4048125;flip:y;height:76199;width:19050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EWF8MAAADbAAAADwAAAGRycy9kb3ducmV2LnhtbESPQYvCMBCF7wv+hzCCtzW14KLVKCII&#10;e1h2sXrwODRjW20mpUk1/vuNIHh8vHnfm7dcB9OIG3WutqxgMk5AEBdW11wqOB52nzMQziNrbCyT&#10;ggc5WK8GH0vMtL3znm65L0WEsMtQQeV9m0npiooMurFtiaN3tp1BH2VXSt3hPcJNI9Mk+ZIGa44N&#10;Fba0rai45r2Jb0z75hAm/U+Kp1Du7W9+/rs8lBoNw2YBwlPw7+NX+lsrmKfw3BIBIF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hFhfDAAAA2wAAAA8AAAAAAAAAAAAA&#10;AAAAoQIAAGRycy9kb3ducmV2LnhtbFBLBQYAAAAABAAEAPkAAACRAwAAAAA=&#10;">
                        <v:fill on="f" focussize="0,0"/>
                        <v:stroke color="#000000" joinstyle="round" dashstyle="dash" endarrow="block"/>
                        <v:imagedata o:title=""/>
                        <o:lock v:ext="edit" aspectratio="f"/>
                      </v:line>
                      <v:rect id="_x0000_s1026" o:spid="_x0000_s1026" o:spt="1" style="position:absolute;left:3132455;top:1417954;height:279399;width:634999;"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fjucMA&#10;AADbAAAADwAAAGRycy9kb3ducmV2LnhtbESPT4vCMBTE74LfITxhb5quC6JdU1lWC3rwYFW8PprX&#10;P2zzUpqs1m9vBMHjMDO/YZar3jTiSp2rLSv4nEQgiHOray4VnI7peA7CeWSNjWVScCcHq2Q4WGKs&#10;7Y0PdM18KQKEXYwKKu/bWEqXV2TQTWxLHLzCdgZ9kF0pdYe3ADeNnEbRTBqsOSxU2NJvRflf9m8U&#10;ZOlZ7xcX/3WxfVpudut1sWmPSn2M+p9vEJ56/w6/2lutYD6F55fwA2T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fjucMAAADbAAAADwAAAAAAAAAAAAAAAACYAgAAZHJzL2Rv&#10;d25yZXYueG1sUEsFBgAAAAAEAAQA9QAAAIgDAAAAAA==&#10;">
                        <v:fill on="t" opacity="0f" focussize="0,0"/>
                        <v:stroke on="f"/>
                        <v:imagedata o:title=""/>
                        <o:lock v:ext="edit" aspectratio="f"/>
                        <v:textbox>
                          <w:txbxContent>
                            <w:p>
                              <w:pPr>
                                <w:rPr>
                                  <w:rFonts w:hint="default" w:eastAsia="宋体"/>
                                  <w:lang w:val="en-US" w:eastAsia="zh-CN"/>
                                </w:rPr>
                              </w:pPr>
                              <w:r>
                                <w:rPr>
                                  <w:rFonts w:hint="eastAsia"/>
                                  <w:lang w:val="en-US" w:eastAsia="zh-CN"/>
                                </w:rPr>
                                <w:t>47.84</w:t>
                              </w:r>
                            </w:p>
                          </w:txbxContent>
                        </v:textbox>
                      </v:rect>
                      <w10:wrap type="none"/>
                      <w10:anchorlock/>
                    </v:group>
                  </w:pict>
                </mc:Fallback>
              </mc:AlternateContent>
            </w:r>
          </w:p>
          <w:p>
            <w:pPr>
              <w:spacing w:line="360" w:lineRule="auto"/>
              <w:jc w:val="center"/>
              <w:rPr>
                <w:rFonts w:hint="eastAsia" w:hAnsi="宋体"/>
                <w:sz w:val="24"/>
              </w:rPr>
            </w:pPr>
            <w:r>
              <w:rPr>
                <w:rFonts w:hint="eastAsia" w:hAnsi="宋体"/>
                <w:b/>
                <w:szCs w:val="21"/>
              </w:rPr>
              <w:t>图2-</w:t>
            </w:r>
            <w:r>
              <w:rPr>
                <w:rFonts w:hint="eastAsia" w:hAnsi="宋体"/>
                <w:b/>
                <w:szCs w:val="21"/>
                <w:lang w:val="en-US" w:eastAsia="zh-CN"/>
              </w:rPr>
              <w:t>2</w:t>
            </w:r>
            <w:r>
              <w:rPr>
                <w:rFonts w:hint="eastAsia" w:hAnsi="宋体"/>
                <w:b/>
                <w:szCs w:val="21"/>
              </w:rPr>
              <w:t xml:space="preserve"> 本项目</w:t>
            </w:r>
            <w:r>
              <w:rPr>
                <w:rFonts w:hint="eastAsia" w:hAnsi="宋体"/>
                <w:b/>
                <w:szCs w:val="21"/>
                <w:lang w:eastAsia="zh-CN"/>
              </w:rPr>
              <w:t>全院用</w:t>
            </w:r>
            <w:r>
              <w:rPr>
                <w:rFonts w:hint="eastAsia" w:hAnsi="宋体"/>
                <w:b/>
                <w:szCs w:val="21"/>
              </w:rPr>
              <w:t>水平衡图（m</w:t>
            </w:r>
            <w:r>
              <w:rPr>
                <w:rFonts w:hint="eastAsia" w:hAnsi="宋体"/>
                <w:b/>
                <w:szCs w:val="21"/>
                <w:vertAlign w:val="superscript"/>
              </w:rPr>
              <w:t>3</w:t>
            </w:r>
            <w:r>
              <w:rPr>
                <w:rFonts w:hint="eastAsia" w:hAnsi="宋体"/>
                <w:b/>
                <w:szCs w:val="21"/>
              </w:rPr>
              <w:t>/d）</w:t>
            </w:r>
          </w:p>
          <w:p>
            <w:pPr>
              <w:autoSpaceDE w:val="0"/>
              <w:autoSpaceDN w:val="0"/>
              <w:adjustRightInd w:val="0"/>
              <w:snapToGrid w:val="0"/>
              <w:spacing w:line="360" w:lineRule="auto"/>
              <w:ind w:firstLine="482" w:firstLineChars="200"/>
              <w:rPr>
                <w:b/>
                <w:bCs/>
                <w:kern w:val="0"/>
                <w:sz w:val="24"/>
              </w:rPr>
            </w:pPr>
            <w:r>
              <w:rPr>
                <w:b/>
                <w:bCs/>
                <w:kern w:val="0"/>
                <w:sz w:val="24"/>
              </w:rPr>
              <w:t>3、供热制冷</w:t>
            </w:r>
          </w:p>
          <w:p>
            <w:pPr>
              <w:autoSpaceDE w:val="0"/>
              <w:autoSpaceDN w:val="0"/>
              <w:adjustRightInd w:val="0"/>
              <w:snapToGrid w:val="0"/>
              <w:spacing w:line="360" w:lineRule="auto"/>
              <w:ind w:firstLine="480" w:firstLineChars="200"/>
              <w:rPr>
                <w:kern w:val="0"/>
                <w:sz w:val="24"/>
              </w:rPr>
            </w:pPr>
            <w:r>
              <w:rPr>
                <w:kern w:val="0"/>
                <w:sz w:val="24"/>
              </w:rPr>
              <w:t>本项目病房及办公室安装分体空调进行供暖制冷，不设中央空调</w:t>
            </w:r>
            <w:r>
              <w:rPr>
                <w:rFonts w:hint="eastAsia"/>
                <w:kern w:val="0"/>
                <w:sz w:val="24"/>
                <w:lang w:eastAsia="zh-CN"/>
              </w:rPr>
              <w:t>，</w:t>
            </w:r>
            <w:r>
              <w:rPr>
                <w:kern w:val="0"/>
                <w:sz w:val="24"/>
              </w:rPr>
              <w:t>能满足本项目供暖制冷要求。项目不设置锅炉，热水供应均由电热水器提供，满足本项目供水要求。</w:t>
            </w:r>
          </w:p>
          <w:p>
            <w:pPr>
              <w:autoSpaceDE w:val="0"/>
              <w:autoSpaceDN w:val="0"/>
              <w:adjustRightInd w:val="0"/>
              <w:snapToGrid w:val="0"/>
              <w:spacing w:line="360" w:lineRule="auto"/>
              <w:ind w:firstLine="482" w:firstLineChars="200"/>
              <w:rPr>
                <w:b/>
                <w:bCs/>
                <w:kern w:val="0"/>
                <w:sz w:val="24"/>
              </w:rPr>
            </w:pPr>
            <w:bookmarkStart w:id="1" w:name="_Toc261724150"/>
            <w:bookmarkStart w:id="2" w:name="_Toc3752"/>
            <w:bookmarkStart w:id="3" w:name="_Toc203374972"/>
            <w:r>
              <w:rPr>
                <w:b/>
                <w:bCs/>
                <w:kern w:val="0"/>
                <w:sz w:val="24"/>
              </w:rPr>
              <w:t>4、</w:t>
            </w:r>
            <w:bookmarkEnd w:id="1"/>
            <w:bookmarkEnd w:id="2"/>
            <w:bookmarkEnd w:id="3"/>
            <w:r>
              <w:rPr>
                <w:b/>
                <w:bCs/>
                <w:kern w:val="0"/>
                <w:sz w:val="24"/>
              </w:rPr>
              <w:t>食宿概况</w:t>
            </w:r>
          </w:p>
          <w:p>
            <w:pPr>
              <w:autoSpaceDE w:val="0"/>
              <w:autoSpaceDN w:val="0"/>
              <w:adjustRightInd w:val="0"/>
              <w:snapToGrid w:val="0"/>
              <w:spacing w:line="360" w:lineRule="auto"/>
              <w:ind w:firstLine="480" w:firstLineChars="200"/>
              <w:rPr>
                <w:kern w:val="0"/>
                <w:sz w:val="24"/>
              </w:rPr>
            </w:pPr>
            <w:r>
              <w:rPr>
                <w:kern w:val="0"/>
                <w:sz w:val="24"/>
              </w:rPr>
              <w:t>本项目不新建员工住宿，不新增食堂，均依托现有。</w:t>
            </w:r>
          </w:p>
          <w:p>
            <w:pPr>
              <w:autoSpaceDE w:val="0"/>
              <w:autoSpaceDN w:val="0"/>
              <w:adjustRightInd w:val="0"/>
              <w:snapToGrid w:val="0"/>
              <w:spacing w:line="360" w:lineRule="auto"/>
              <w:ind w:firstLine="482" w:firstLineChars="200"/>
              <w:rPr>
                <w:b/>
                <w:bCs/>
                <w:kern w:val="0"/>
                <w:sz w:val="24"/>
              </w:rPr>
            </w:pPr>
            <w:r>
              <w:rPr>
                <w:rFonts w:hint="eastAsia"/>
                <w:b/>
                <w:bCs/>
                <w:kern w:val="0"/>
                <w:sz w:val="24"/>
                <w:lang w:val="en-US" w:eastAsia="zh-CN"/>
              </w:rPr>
              <w:t>5</w:t>
            </w:r>
            <w:r>
              <w:rPr>
                <w:b/>
                <w:bCs/>
                <w:kern w:val="0"/>
                <w:sz w:val="24"/>
              </w:rPr>
              <w:t>、消防系统</w:t>
            </w:r>
          </w:p>
          <w:p>
            <w:pPr>
              <w:adjustRightInd w:val="0"/>
              <w:snapToGrid w:val="0"/>
              <w:spacing w:line="360" w:lineRule="auto"/>
              <w:ind w:firstLine="480" w:firstLineChars="200"/>
              <w:jc w:val="both"/>
              <w:rPr>
                <w:rFonts w:hint="eastAsia" w:hAnsi="宋体"/>
                <w:bCs/>
                <w:sz w:val="24"/>
              </w:rPr>
            </w:pPr>
            <w:r>
              <w:rPr>
                <w:kern w:val="0"/>
                <w:sz w:val="24"/>
              </w:rPr>
              <w:t>选址已按照《建筑设计防火规范》（GB50016-2014）进行防火设计。设有安全疏散指令的措施，设有控制消防水泵，固定灭火装置，防排烟设施等。每层设置消火栓消防系统、自动灭火系统</w:t>
            </w:r>
            <w:r>
              <w:rPr>
                <w:rFonts w:hint="eastAsia"/>
                <w:kern w:val="0"/>
                <w:sz w:val="24"/>
                <w:lang w:eastAsia="zh-CN"/>
              </w:rPr>
              <w:t>。</w:t>
            </w:r>
          </w:p>
          <w:p>
            <w:pPr>
              <w:pStyle w:val="185"/>
              <w:ind w:left="0" w:leftChars="0" w:firstLine="0" w:firstLineChars="0"/>
              <w:jc w:val="both"/>
              <w:rPr>
                <w:rFonts w:hint="eastAsia" w:ascii="Times New Roman" w:hAnsi="Times New Roman" w:eastAsia="宋体"/>
                <w:b/>
                <w:bCs/>
                <w:color w:val="000000"/>
                <w:lang w:eastAsia="zh-CN"/>
              </w:rPr>
            </w:pPr>
            <w:r>
              <w:rPr>
                <w:rFonts w:hint="eastAsia" w:ascii="Times New Roman" w:hAnsi="Times New Roman" w:eastAsia="宋体"/>
                <w:b/>
                <w:bCs/>
                <w:color w:val="000000"/>
                <w:lang w:eastAsia="zh-CN"/>
              </w:rPr>
              <w:t>九</w:t>
            </w:r>
            <w:r>
              <w:rPr>
                <w:rFonts w:hint="eastAsia" w:ascii="Times New Roman" w:hAnsi="Times New Roman" w:eastAsia="宋体"/>
                <w:b/>
                <w:bCs/>
                <w:color w:val="000000"/>
              </w:rPr>
              <w:t>、项目</w:t>
            </w:r>
            <w:r>
              <w:rPr>
                <w:rFonts w:hint="eastAsia" w:ascii="Times New Roman" w:hAnsi="Times New Roman" w:eastAsia="宋体"/>
                <w:b/>
                <w:bCs/>
                <w:color w:val="000000"/>
                <w:lang w:eastAsia="zh-CN"/>
              </w:rPr>
              <w:t>总平面布置合理性分析</w:t>
            </w:r>
          </w:p>
          <w:p>
            <w:pPr>
              <w:pStyle w:val="185"/>
              <w:ind w:firstLine="480"/>
              <w:jc w:val="both"/>
              <w:rPr>
                <w:rFonts w:hint="eastAsia" w:ascii="Times New Roman" w:hAnsi="Times New Roman" w:eastAsia="宋体"/>
                <w:color w:val="000000"/>
                <w:lang w:val="en-US" w:eastAsia="zh-CN"/>
              </w:rPr>
            </w:pPr>
            <w:r>
              <w:rPr>
                <w:rFonts w:hint="eastAsia" w:ascii="Times New Roman" w:hAnsi="Times New Roman" w:eastAsia="宋体"/>
                <w:b/>
                <w:bCs/>
                <w:color w:val="000000"/>
                <w:lang w:val="en-US" w:eastAsia="zh-CN"/>
              </w:rPr>
              <w:t>1、项目总平面布置</w:t>
            </w:r>
          </w:p>
          <w:p>
            <w:pPr>
              <w:pStyle w:val="185"/>
              <w:ind w:firstLine="480"/>
              <w:jc w:val="both"/>
              <w:rPr>
                <w:rFonts w:hint="eastAsia" w:ascii="Times New Roman" w:hAnsi="Times New Roman" w:eastAsia="宋体"/>
                <w:color w:val="000000"/>
              </w:rPr>
            </w:pPr>
            <w:r>
              <w:rPr>
                <w:rFonts w:hint="eastAsia" w:ascii="Times New Roman" w:hAnsi="Times New Roman" w:eastAsia="宋体"/>
                <w:color w:val="000000"/>
              </w:rPr>
              <w:t>乐山巴川精神病专科医院项目占地3576m</w:t>
            </w:r>
            <w:r>
              <w:rPr>
                <w:rFonts w:hint="eastAsia" w:ascii="Times New Roman" w:hAnsi="Times New Roman" w:eastAsia="宋体"/>
                <w:color w:val="000000"/>
                <w:vertAlign w:val="superscript"/>
              </w:rPr>
              <w:t>2</w:t>
            </w:r>
            <w:r>
              <w:rPr>
                <w:rFonts w:hint="eastAsia" w:ascii="Times New Roman" w:hAnsi="Times New Roman" w:eastAsia="宋体"/>
                <w:color w:val="000000"/>
              </w:rPr>
              <w:t>，项目中间地带为病人公共娱乐区，南面为门诊楼</w:t>
            </w:r>
            <w:r>
              <w:rPr>
                <w:rFonts w:hint="eastAsia" w:ascii="Times New Roman" w:hAnsi="Times New Roman" w:eastAsia="宋体"/>
                <w:color w:val="000000"/>
                <w:lang w:eastAsia="zh-CN"/>
              </w:rPr>
              <w:t>（</w:t>
            </w:r>
            <w:r>
              <w:rPr>
                <w:rFonts w:hint="eastAsia" w:ascii="Times New Roman" w:hAnsi="Times New Roman" w:eastAsia="宋体"/>
                <w:color w:val="000000"/>
                <w:lang w:val="en-US" w:eastAsia="zh-CN"/>
              </w:rPr>
              <w:t>1号楼</w:t>
            </w:r>
            <w:r>
              <w:rPr>
                <w:rFonts w:hint="eastAsia" w:ascii="Times New Roman" w:hAnsi="Times New Roman" w:eastAsia="宋体"/>
                <w:color w:val="000000"/>
                <w:lang w:eastAsia="zh-CN"/>
              </w:rPr>
              <w:t>）</w:t>
            </w:r>
            <w:r>
              <w:rPr>
                <w:rFonts w:hint="eastAsia" w:ascii="Times New Roman" w:hAnsi="Times New Roman" w:eastAsia="宋体"/>
                <w:color w:val="000000"/>
              </w:rPr>
              <w:t>和医院大门，西面为住院</w:t>
            </w:r>
            <w:r>
              <w:rPr>
                <w:rFonts w:hint="eastAsia" w:ascii="Times New Roman" w:hAnsi="Times New Roman" w:eastAsia="宋体"/>
                <w:color w:val="000000"/>
                <w:lang w:eastAsia="zh-CN"/>
              </w:rPr>
              <w:t>楼（</w:t>
            </w:r>
            <w:r>
              <w:rPr>
                <w:rFonts w:hint="eastAsia" w:ascii="Times New Roman" w:hAnsi="Times New Roman" w:eastAsia="宋体"/>
                <w:color w:val="000000"/>
                <w:lang w:val="en-US" w:eastAsia="zh-CN"/>
              </w:rPr>
              <w:t>2号楼</w:t>
            </w:r>
            <w:r>
              <w:rPr>
                <w:rFonts w:hint="eastAsia" w:ascii="Times New Roman" w:hAnsi="Times New Roman" w:eastAsia="宋体"/>
                <w:color w:val="000000"/>
                <w:lang w:eastAsia="zh-CN"/>
              </w:rPr>
              <w:t>）</w:t>
            </w:r>
            <w:r>
              <w:rPr>
                <w:rFonts w:hint="eastAsia" w:ascii="Times New Roman" w:hAnsi="Times New Roman" w:eastAsia="宋体"/>
                <w:color w:val="000000"/>
              </w:rPr>
              <w:t>和病人休息区，东面为检验科</w:t>
            </w:r>
            <w:r>
              <w:rPr>
                <w:rFonts w:hint="eastAsia" w:ascii="Times New Roman" w:hAnsi="Times New Roman" w:eastAsia="宋体"/>
                <w:color w:val="000000"/>
                <w:lang w:eastAsia="zh-CN"/>
              </w:rPr>
              <w:t>室</w:t>
            </w:r>
            <w:r>
              <w:rPr>
                <w:rFonts w:hint="eastAsia" w:ascii="Times New Roman" w:hAnsi="Times New Roman" w:eastAsia="宋体"/>
                <w:color w:val="000000"/>
              </w:rPr>
              <w:t>和员工宿舍楼，北面为住院楼</w:t>
            </w:r>
            <w:r>
              <w:rPr>
                <w:rFonts w:hint="eastAsia" w:ascii="Times New Roman" w:hAnsi="Times New Roman" w:eastAsia="宋体"/>
                <w:color w:val="000000"/>
                <w:lang w:eastAsia="zh-CN"/>
              </w:rPr>
              <w:t>（</w:t>
            </w:r>
            <w:r>
              <w:rPr>
                <w:rFonts w:hint="eastAsia" w:ascii="Times New Roman" w:hAnsi="Times New Roman" w:eastAsia="宋体"/>
                <w:color w:val="000000"/>
                <w:lang w:val="en-US" w:eastAsia="zh-CN"/>
              </w:rPr>
              <w:t>3号楼</w:t>
            </w:r>
            <w:r>
              <w:rPr>
                <w:rFonts w:hint="eastAsia" w:ascii="Times New Roman" w:hAnsi="Times New Roman" w:eastAsia="宋体"/>
                <w:color w:val="000000"/>
                <w:lang w:eastAsia="zh-CN"/>
              </w:rPr>
              <w:t>）</w:t>
            </w:r>
            <w:r>
              <w:rPr>
                <w:rFonts w:hint="eastAsia" w:ascii="Times New Roman" w:hAnsi="Times New Roman" w:eastAsia="宋体"/>
                <w:color w:val="000000"/>
              </w:rPr>
              <w:t>，东北面为管理用房和食堂，门诊楼</w:t>
            </w:r>
            <w:r>
              <w:rPr>
                <w:rFonts w:hint="eastAsia" w:ascii="Times New Roman" w:hAnsi="Times New Roman" w:eastAsia="宋体"/>
                <w:color w:val="000000"/>
                <w:lang w:val="en-US" w:eastAsia="zh-CN"/>
              </w:rPr>
              <w:t>1层</w:t>
            </w:r>
            <w:r>
              <w:rPr>
                <w:rFonts w:hint="eastAsia" w:ascii="Times New Roman" w:hAnsi="Times New Roman" w:eastAsia="宋体"/>
                <w:color w:val="000000"/>
              </w:rPr>
              <w:t>的东北面为洗衣房和</w:t>
            </w:r>
            <w:r>
              <w:rPr>
                <w:rFonts w:hint="eastAsia" w:ascii="Times New Roman" w:hAnsi="Times New Roman" w:eastAsia="宋体"/>
                <w:color w:val="000000"/>
                <w:lang w:eastAsia="zh-CN"/>
              </w:rPr>
              <w:t>地埋式</w:t>
            </w:r>
            <w:r>
              <w:rPr>
                <w:rFonts w:hint="eastAsia" w:ascii="Times New Roman" w:hAnsi="Times New Roman" w:eastAsia="宋体"/>
                <w:color w:val="000000"/>
              </w:rPr>
              <w:t>院内污水处理站</w:t>
            </w:r>
            <w:r>
              <w:rPr>
                <w:rFonts w:hint="eastAsia" w:ascii="Times New Roman" w:hAnsi="Times New Roman" w:eastAsia="宋体"/>
                <w:color w:val="000000"/>
                <w:lang w:eastAsia="zh-CN"/>
              </w:rPr>
              <w:t>，除新增的</w:t>
            </w:r>
            <w:r>
              <w:rPr>
                <w:rFonts w:hint="eastAsia" w:ascii="Times New Roman" w:hAnsi="Times New Roman" w:eastAsia="宋体"/>
                <w:color w:val="000000"/>
                <w:lang w:val="en-US" w:eastAsia="zh-CN"/>
              </w:rPr>
              <w:t>110张</w:t>
            </w:r>
            <w:r>
              <w:rPr>
                <w:rFonts w:hint="eastAsia" w:ascii="Times New Roman" w:hAnsi="Times New Roman" w:eastAsia="宋体"/>
                <w:color w:val="000000"/>
                <w:lang w:eastAsia="zh-CN"/>
              </w:rPr>
              <w:t>病床外，项目住院楼、食堂、污水处理站、洗衣房、检验科室、医疗废物暂存间等均依托巴川精神病医院现有设施</w:t>
            </w:r>
            <w:r>
              <w:rPr>
                <w:rFonts w:hint="eastAsia" w:ascii="Times New Roman" w:hAnsi="Times New Roman" w:eastAsia="宋体"/>
                <w:color w:val="000000"/>
              </w:rPr>
              <w:t>。</w:t>
            </w:r>
          </w:p>
          <w:p>
            <w:pPr>
              <w:pStyle w:val="185"/>
              <w:ind w:firstLine="480"/>
              <w:jc w:val="both"/>
              <w:rPr>
                <w:rFonts w:hint="eastAsia" w:ascii="Times New Roman" w:hAnsi="Times New Roman" w:eastAsia="宋体"/>
                <w:color w:val="000000"/>
              </w:rPr>
            </w:pPr>
            <w:r>
              <w:rPr>
                <w:rFonts w:hint="eastAsia" w:ascii="Times New Roman" w:hAnsi="Times New Roman" w:eastAsia="宋体"/>
                <w:color w:val="000000"/>
              </w:rPr>
              <w:t>项目总平面布置设计按照现代化医院整体设计规范及“卫生、安静、交通”三个方面的基本要求进行设计。医院四周用围墙隔离开来，住院部均在远离乡村道路一侧，减小道路扬尘及噪声的影响；病人公共娱乐区位于门诊楼后侧，项目中间地带，位置安静，受外界干扰小；污水处理站布置在园区西南侧，门诊楼背面角落，位于洗衣房地下，便于医疗废水的收集处理，且位于常年主导风向的下风向，不会对医院造成明显影响，且因封闭加盖、围墙阻隔，污水处理站废气对下风向居民的影响也较小；医院医疗垃圾通道设置在门诊楼的一楼，靠近道路的一侧，利于废物收集清运；医院食堂布置在东北面，与病人区隔离开来，保证餐饮安全。</w:t>
            </w:r>
          </w:p>
          <w:p>
            <w:pPr>
              <w:pStyle w:val="185"/>
              <w:ind w:firstLine="480"/>
              <w:jc w:val="both"/>
              <w:rPr>
                <w:rFonts w:hint="eastAsia" w:ascii="Times New Roman" w:hAnsi="Times New Roman" w:eastAsia="宋体"/>
                <w:color w:val="000000"/>
              </w:rPr>
            </w:pPr>
            <w:r>
              <w:rPr>
                <w:rFonts w:hint="eastAsia" w:ascii="Times New Roman" w:hAnsi="Times New Roman" w:eastAsia="宋体"/>
                <w:color w:val="000000"/>
              </w:rPr>
              <w:t>综上，项目建筑布局科学合理，功能分区明确，项目总图布局合理，项目总平面布置示意图如下：</w:t>
            </w:r>
          </w:p>
          <w:p>
            <w:pPr>
              <w:pStyle w:val="185"/>
              <w:ind w:left="0" w:leftChars="0" w:firstLine="0" w:firstLineChars="0"/>
              <w:jc w:val="center"/>
              <w:rPr>
                <w:rFonts w:hint="eastAsia" w:ascii="Times New Roman" w:hAnsi="Times New Roman" w:eastAsia="宋体"/>
                <w:color w:val="000000"/>
                <w:lang w:eastAsia="zh-CN"/>
              </w:rPr>
            </w:pPr>
            <w:r>
              <w:rPr>
                <w:rFonts w:hint="eastAsia" w:ascii="Times New Roman" w:hAnsi="Times New Roman" w:eastAsia="宋体"/>
                <w:color w:val="000000"/>
                <w:lang w:eastAsia="zh-CN"/>
              </w:rPr>
              <w:drawing>
                <wp:inline distT="0" distB="0" distL="114300" distR="114300">
                  <wp:extent cx="4932045" cy="4755515"/>
                  <wp:effectExtent l="0" t="0" r="6985" b="1905"/>
                  <wp:docPr id="150" name="图片 16" descr="附图2 本项目总平面布置图0504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6" descr="附图2 本项目总平面布置图0504_00"/>
                          <pic:cNvPicPr>
                            <a:picLocks noChangeAspect="1"/>
                          </pic:cNvPicPr>
                        </pic:nvPicPr>
                        <pic:blipFill>
                          <a:blip r:embed="rId22"/>
                          <a:srcRect l="10349" t="16060" r="3601" b="25273"/>
                          <a:stretch>
                            <a:fillRect/>
                          </a:stretch>
                        </pic:blipFill>
                        <pic:spPr>
                          <a:xfrm rot="-5400000">
                            <a:off x="0" y="0"/>
                            <a:ext cx="4932045" cy="4755515"/>
                          </a:xfrm>
                          <a:prstGeom prst="rect">
                            <a:avLst/>
                          </a:prstGeom>
                          <a:noFill/>
                          <a:ln>
                            <a:noFill/>
                          </a:ln>
                        </pic:spPr>
                      </pic:pic>
                    </a:graphicData>
                  </a:graphic>
                </wp:inline>
              </w:drawing>
            </w:r>
          </w:p>
          <w:p>
            <w:pPr>
              <w:pStyle w:val="72"/>
              <w:spacing w:line="240" w:lineRule="auto"/>
              <w:ind w:firstLine="422"/>
              <w:jc w:val="center"/>
              <w:rPr>
                <w:rFonts w:hint="eastAsia" w:hAnsi="宋体"/>
                <w:b/>
                <w:kern w:val="2"/>
                <w:sz w:val="21"/>
                <w:szCs w:val="21"/>
              </w:rPr>
            </w:pPr>
            <w:r>
              <w:rPr>
                <w:rFonts w:hint="eastAsia" w:hAnsi="宋体"/>
                <w:b/>
                <w:kern w:val="2"/>
                <w:sz w:val="21"/>
                <w:szCs w:val="21"/>
              </w:rPr>
              <w:t>图2-</w:t>
            </w:r>
            <w:r>
              <w:rPr>
                <w:rFonts w:hint="eastAsia" w:hAnsi="宋体"/>
                <w:b/>
                <w:kern w:val="2"/>
                <w:sz w:val="21"/>
                <w:szCs w:val="21"/>
                <w:lang w:val="en-US" w:eastAsia="zh-CN"/>
              </w:rPr>
              <w:t>3</w:t>
            </w:r>
            <w:r>
              <w:rPr>
                <w:rFonts w:hint="eastAsia" w:hAnsi="宋体"/>
                <w:b/>
                <w:kern w:val="2"/>
                <w:sz w:val="21"/>
                <w:szCs w:val="21"/>
              </w:rPr>
              <w:t xml:space="preserve"> 项目总平面布局示意图</w:t>
            </w:r>
          </w:p>
          <w:p>
            <w:pPr>
              <w:autoSpaceDE w:val="0"/>
              <w:autoSpaceDN w:val="0"/>
              <w:adjustRightInd w:val="0"/>
              <w:snapToGrid w:val="0"/>
              <w:spacing w:line="360" w:lineRule="auto"/>
              <w:ind w:firstLine="482" w:firstLineChars="200"/>
              <w:rPr>
                <w:b/>
                <w:bCs/>
                <w:kern w:val="0"/>
                <w:sz w:val="24"/>
              </w:rPr>
            </w:pPr>
            <w:r>
              <w:rPr>
                <w:b/>
                <w:bCs/>
                <w:kern w:val="0"/>
                <w:sz w:val="24"/>
              </w:rPr>
              <w:t>2、环保设施布局合理性分析</w:t>
            </w:r>
          </w:p>
          <w:p>
            <w:pPr>
              <w:autoSpaceDE w:val="0"/>
              <w:autoSpaceDN w:val="0"/>
              <w:adjustRightInd w:val="0"/>
              <w:snapToGrid w:val="0"/>
              <w:spacing w:line="360" w:lineRule="auto"/>
              <w:ind w:firstLine="480" w:firstLineChars="200"/>
              <w:rPr>
                <w:kern w:val="0"/>
                <w:sz w:val="24"/>
              </w:rPr>
            </w:pPr>
            <w:r>
              <w:rPr>
                <w:kern w:val="0"/>
                <w:sz w:val="24"/>
              </w:rPr>
              <w:t>（1）危险废物暂存间设置合理性</w:t>
            </w:r>
          </w:p>
          <w:p>
            <w:pPr>
              <w:autoSpaceDE w:val="0"/>
              <w:autoSpaceDN w:val="0"/>
              <w:adjustRightInd w:val="0"/>
              <w:snapToGrid w:val="0"/>
              <w:spacing w:line="360" w:lineRule="auto"/>
              <w:ind w:firstLine="480" w:firstLineChars="200"/>
              <w:rPr>
                <w:kern w:val="0"/>
                <w:sz w:val="24"/>
              </w:rPr>
            </w:pPr>
            <w:r>
              <w:rPr>
                <w:kern w:val="0"/>
                <w:sz w:val="24"/>
              </w:rPr>
              <w:t>根据国务院令第380号《医疗废物管理条例》第十七条：“医疗废物的暂时贮存设施、设备，应当远离医疗区、食品加工区和人员活动区以及生活垃圾存放场所，并设置明显的警示标识和防渗漏、防鼠、防蚊蝇、防蟑螂、防盗以及预防儿童接触等安全措施”；《医疗废物集中处置技术规范》（试行）亦要求：“医疗废物临时贮存设施必须与生活垃圾分开存放，与医疗区、食品加工区和人员活动密集区隔开，方便医疗废物的装卸、装卸人员及运送车辆的出入”。本项目</w:t>
            </w:r>
            <w:r>
              <w:rPr>
                <w:rFonts w:hint="eastAsia"/>
                <w:kern w:val="0"/>
                <w:sz w:val="24"/>
                <w:lang w:eastAsia="zh-CN"/>
              </w:rPr>
              <w:t>院</w:t>
            </w:r>
            <w:r>
              <w:rPr>
                <w:kern w:val="0"/>
                <w:sz w:val="24"/>
              </w:rPr>
              <w:t>有医疗废物</w:t>
            </w:r>
            <w:r>
              <w:rPr>
                <w:rFonts w:hint="eastAsia"/>
                <w:kern w:val="0"/>
                <w:sz w:val="24"/>
                <w:lang w:eastAsia="zh-CN"/>
              </w:rPr>
              <w:t>暂</w:t>
            </w:r>
            <w:r>
              <w:rPr>
                <w:kern w:val="0"/>
                <w:sz w:val="24"/>
              </w:rPr>
              <w:t>存间</w:t>
            </w:r>
            <w:r>
              <w:rPr>
                <w:rFonts w:hint="eastAsia"/>
                <w:kern w:val="0"/>
                <w:sz w:val="24"/>
                <w:lang w:eastAsia="zh-CN"/>
              </w:rPr>
              <w:t>位于门诊楼</w:t>
            </w:r>
            <w:r>
              <w:rPr>
                <w:rFonts w:hint="eastAsia"/>
                <w:kern w:val="0"/>
                <w:sz w:val="24"/>
                <w:lang w:val="en-US" w:eastAsia="zh-CN"/>
              </w:rPr>
              <w:t>1楼东侧，</w:t>
            </w:r>
            <w:r>
              <w:rPr>
                <w:kern w:val="0"/>
                <w:sz w:val="24"/>
              </w:rPr>
              <w:t>靠近院区出口处，便于医疗废物的运输，同时地面做防腐、防渗处理，尽量避免医疗废物储存、运输过程对病人、医护人员以及外环境的不利影响。</w:t>
            </w:r>
          </w:p>
          <w:p>
            <w:pPr>
              <w:autoSpaceDE w:val="0"/>
              <w:autoSpaceDN w:val="0"/>
              <w:adjustRightInd w:val="0"/>
              <w:snapToGrid w:val="0"/>
              <w:spacing w:line="360" w:lineRule="auto"/>
              <w:ind w:firstLine="480" w:firstLineChars="200"/>
              <w:rPr>
                <w:kern w:val="0"/>
                <w:sz w:val="24"/>
              </w:rPr>
            </w:pPr>
            <w:r>
              <w:rPr>
                <w:kern w:val="0"/>
                <w:sz w:val="24"/>
              </w:rPr>
              <w:t>（2）备用发电机位于</w:t>
            </w:r>
            <w:r>
              <w:rPr>
                <w:rFonts w:hint="eastAsia"/>
                <w:kern w:val="0"/>
                <w:sz w:val="24"/>
                <w:lang w:eastAsia="zh-CN"/>
              </w:rPr>
              <w:t>门诊楼</w:t>
            </w:r>
            <w:r>
              <w:rPr>
                <w:rFonts w:hint="eastAsia"/>
                <w:kern w:val="0"/>
                <w:sz w:val="24"/>
                <w:lang w:val="en-US" w:eastAsia="zh-CN"/>
              </w:rPr>
              <w:t>1层</w:t>
            </w:r>
            <w:r>
              <w:rPr>
                <w:kern w:val="0"/>
                <w:sz w:val="24"/>
              </w:rPr>
              <w:t>发电机房内，其排</w:t>
            </w:r>
            <w:r>
              <w:rPr>
                <w:rFonts w:hint="eastAsia"/>
                <w:kern w:val="0"/>
                <w:sz w:val="24"/>
                <w:lang w:eastAsia="zh-CN"/>
              </w:rPr>
              <w:t>气口朝向东侧院界</w:t>
            </w:r>
            <w:r>
              <w:rPr>
                <w:kern w:val="0"/>
                <w:sz w:val="24"/>
              </w:rPr>
              <w:t>；</w:t>
            </w:r>
            <w:r>
              <w:rPr>
                <w:rFonts w:hint="eastAsia"/>
                <w:kern w:val="0"/>
                <w:sz w:val="24"/>
                <w:lang w:eastAsia="zh-CN"/>
              </w:rPr>
              <w:t>院内现有污水处理站位于洗衣房地下，采用地埋式一体化工艺，调节池等加盖封闭，</w:t>
            </w:r>
            <w:r>
              <w:rPr>
                <w:kern w:val="0"/>
                <w:sz w:val="24"/>
              </w:rPr>
              <w:t>可有效降低发电机废气及污水处理站恶臭对周围环境的影响。</w:t>
            </w:r>
          </w:p>
          <w:p>
            <w:pPr>
              <w:autoSpaceDE w:val="0"/>
              <w:autoSpaceDN w:val="0"/>
              <w:adjustRightInd w:val="0"/>
              <w:snapToGrid w:val="0"/>
              <w:spacing w:line="360" w:lineRule="auto"/>
              <w:ind w:firstLine="480" w:firstLineChars="200"/>
              <w:rPr>
                <w:kern w:val="0"/>
                <w:sz w:val="24"/>
              </w:rPr>
            </w:pPr>
            <w:r>
              <w:rPr>
                <w:kern w:val="0"/>
                <w:sz w:val="24"/>
              </w:rPr>
              <w:t>（3）发电机房密闭，混凝土结构有利于利用建筑隔声，从而可最大程度减轻项目发电机废气对敏感点的影响。</w:t>
            </w:r>
          </w:p>
          <w:p>
            <w:pPr>
              <w:autoSpaceDE w:val="0"/>
              <w:autoSpaceDN w:val="0"/>
              <w:adjustRightInd w:val="0"/>
              <w:snapToGrid w:val="0"/>
              <w:spacing w:line="360" w:lineRule="auto"/>
              <w:ind w:firstLine="480" w:firstLineChars="200"/>
              <w:rPr>
                <w:rFonts w:hint="eastAsia"/>
              </w:rPr>
            </w:pPr>
            <w:r>
              <w:rPr>
                <w:kern w:val="0"/>
                <w:sz w:val="24"/>
              </w:rPr>
              <w:t>（4）本项目不新设食堂，食堂油烟净化设施依托原有净化设施。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1" w:hRule="atLeast"/>
          <w:jc w:val="center"/>
        </w:trPr>
        <w:tc>
          <w:tcPr>
            <w:tcW w:w="823" w:type="dxa"/>
            <w:noWrap w:val="0"/>
            <w:vAlign w:val="center"/>
          </w:tcPr>
          <w:p>
            <w:pPr>
              <w:pStyle w:val="37"/>
              <w:adjustRightInd w:val="0"/>
              <w:snapToGrid w:val="0"/>
              <w:spacing w:before="0" w:beforeAutospacing="0" w:after="0" w:afterAutospacing="0"/>
              <w:jc w:val="center"/>
              <w:rPr>
                <w:rFonts w:ascii="Times New Roman" w:hAnsi="Times New Roman" w:eastAsia="宋体"/>
                <w:color w:val="000000"/>
                <w:sz w:val="21"/>
                <w:szCs w:val="21"/>
              </w:rPr>
            </w:pPr>
            <w:r>
              <w:rPr>
                <w:rFonts w:ascii="Times New Roman" w:hAnsi="Times New Roman" w:eastAsia="宋体"/>
                <w:color w:val="000000"/>
                <w:sz w:val="21"/>
                <w:szCs w:val="21"/>
              </w:rPr>
              <w:t>工艺流程和产排污环节</w:t>
            </w:r>
          </w:p>
        </w:tc>
        <w:tc>
          <w:tcPr>
            <w:tcW w:w="8161" w:type="dxa"/>
            <w:noWrap w:val="0"/>
            <w:vAlign w:val="top"/>
          </w:tcPr>
          <w:p>
            <w:pPr>
              <w:spacing w:line="360" w:lineRule="auto"/>
              <w:jc w:val="left"/>
              <w:rPr>
                <w:rFonts w:ascii="Times New Roman" w:hAnsi="Times New Roman" w:eastAsia="宋体"/>
                <w:b/>
                <w:bCs/>
                <w:color w:val="000000"/>
                <w:sz w:val="24"/>
              </w:rPr>
            </w:pPr>
            <w:r>
              <w:rPr>
                <w:rFonts w:hint="eastAsia" w:ascii="Times New Roman" w:hAnsi="Times New Roman" w:eastAsia="宋体"/>
                <w:b/>
                <w:bCs/>
                <w:color w:val="000000"/>
                <w:sz w:val="24"/>
                <w:lang w:eastAsia="zh-CN"/>
              </w:rPr>
              <w:t>一、</w:t>
            </w:r>
            <w:r>
              <w:rPr>
                <w:rFonts w:ascii="Times New Roman" w:hAnsi="Times New Roman" w:eastAsia="宋体"/>
                <w:b/>
                <w:bCs/>
                <w:color w:val="000000"/>
                <w:sz w:val="24"/>
              </w:rPr>
              <w:t>施工期</w:t>
            </w:r>
          </w:p>
          <w:p>
            <w:pPr>
              <w:tabs>
                <w:tab w:val="left" w:pos="2205"/>
              </w:tabs>
              <w:spacing w:line="360" w:lineRule="auto"/>
              <w:ind w:firstLine="480" w:firstLineChars="200"/>
              <w:rPr>
                <w:rFonts w:hint="eastAsia" w:ascii="Times New Roman" w:hAnsi="Times New Roman" w:eastAsia="宋体"/>
                <w:sz w:val="24"/>
                <w:szCs w:val="32"/>
              </w:rPr>
            </w:pPr>
            <w:r>
              <w:rPr>
                <w:rFonts w:hint="eastAsia" w:ascii="Times New Roman" w:hAnsi="Times New Roman" w:eastAsia="宋体"/>
                <w:sz w:val="24"/>
                <w:szCs w:val="32"/>
              </w:rPr>
              <w:t>本项目施工期主要任务为新增床位的安装，不涉及主体建筑的建筑施工等。施工期的环境影响主要来自于施工机械噪声及施工人员少量生活污水和</w:t>
            </w:r>
            <w:r>
              <w:rPr>
                <w:rFonts w:hint="eastAsia" w:ascii="Times New Roman" w:hAnsi="Times New Roman" w:eastAsia="宋体"/>
                <w:sz w:val="24"/>
                <w:szCs w:val="32"/>
                <w:lang w:eastAsia="zh-CN"/>
              </w:rPr>
              <w:t>建筑垃圾</w:t>
            </w:r>
            <w:r>
              <w:rPr>
                <w:rFonts w:hint="eastAsia" w:ascii="Times New Roman" w:hAnsi="Times New Roman" w:eastAsia="宋体"/>
                <w:sz w:val="24"/>
                <w:szCs w:val="32"/>
              </w:rPr>
              <w:t>。</w:t>
            </w:r>
          </w:p>
          <w:p>
            <w:pPr>
              <w:tabs>
                <w:tab w:val="left" w:pos="2205"/>
              </w:tabs>
              <w:spacing w:line="360" w:lineRule="auto"/>
              <w:ind w:firstLine="480" w:firstLineChars="200"/>
              <w:rPr>
                <w:rFonts w:hint="eastAsia" w:ascii="Times New Roman" w:hAnsi="Times New Roman" w:eastAsia="宋体"/>
                <w:sz w:val="24"/>
                <w:szCs w:val="32"/>
                <w:lang w:eastAsia="zh-CN"/>
              </w:rPr>
            </w:pPr>
            <w:r>
              <w:rPr>
                <w:rFonts w:hint="eastAsia" w:ascii="Times New Roman" w:hAnsi="Times New Roman" w:eastAsia="宋体"/>
                <w:sz w:val="24"/>
                <w:szCs w:val="32"/>
                <w:lang w:eastAsia="zh-CN"/>
              </w:rPr>
              <w:t>施工期工艺流程及产污环节如下图所示。</w:t>
            </w:r>
          </w:p>
          <w:p>
            <w:pPr>
              <w:tabs>
                <w:tab w:val="left" w:pos="2205"/>
              </w:tabs>
              <w:spacing w:line="360" w:lineRule="auto"/>
              <w:ind w:firstLine="480" w:firstLineChars="200"/>
              <w:rPr>
                <w:rFonts w:hint="eastAsia" w:ascii="Times New Roman" w:hAnsi="Times New Roman" w:eastAsia="宋体"/>
                <w:sz w:val="24"/>
                <w:szCs w:val="32"/>
                <w:lang w:eastAsia="zh-CN"/>
              </w:rPr>
            </w:pPr>
            <w:r>
              <mc:AlternateContent>
                <mc:Choice Requires="wpc">
                  <w:drawing>
                    <wp:inline distT="0" distB="0" distL="114300" distR="114300">
                      <wp:extent cx="4704080" cy="1877695"/>
                      <wp:effectExtent l="4445" t="4445" r="15875" b="22860"/>
                      <wp:docPr id="95" name="画布 95"/>
                      <wp:cNvGraphicFramePr/>
                      <a:graphic xmlns:a="http://schemas.openxmlformats.org/drawingml/2006/main">
                        <a:graphicData uri="http://schemas.microsoft.com/office/word/2010/wordprocessingCanvas">
                          <wpc:wpc>
                            <wpc:bg>
                              <a:noFill/>
                            </wpc:bg>
                            <wpc:whole>
                              <a:ln>
                                <a:noFill/>
                              </a:ln>
                            </wpc:whole>
                            <wps:wsp>
                              <wps:cNvPr id="70" name="矩形 70"/>
                              <wps:cNvSpPr/>
                              <wps:spPr>
                                <a:xfrm>
                                  <a:off x="1166495" y="714375"/>
                                  <a:ext cx="746125" cy="279400"/>
                                </a:xfrm>
                                <a:prstGeom prst="rect">
                                  <a:avLst/>
                                </a:prstGeom>
                                <a:solidFill>
                                  <a:srgbClr val="FFFFFF"/>
                                </a:solidFill>
                                <a:ln w="9525" cap="flat" cmpd="sng">
                                  <a:solidFill>
                                    <a:srgbClr val="000000"/>
                                  </a:solidFill>
                                  <a:prstDash val="dash"/>
                                  <a:miter/>
                                  <a:headEnd type="none" w="med" len="med"/>
                                  <a:tailEnd type="none" w="med" len="med"/>
                                </a:ln>
                              </wps:spPr>
                              <wps:txbx>
                                <w:txbxContent>
                                  <w:p>
                                    <w:pPr>
                                      <w:jc w:val="center"/>
                                      <w:rPr>
                                        <w:rFonts w:hint="eastAsia"/>
                                      </w:rPr>
                                    </w:pPr>
                                    <w:r>
                                      <w:rPr>
                                        <w:rFonts w:hint="eastAsia"/>
                                      </w:rPr>
                                      <w:t>生活污水</w:t>
                                    </w:r>
                                  </w:p>
                                </w:txbxContent>
                              </wps:txbx>
                              <wps:bodyPr upright="1"/>
                            </wps:wsp>
                            <wps:wsp>
                              <wps:cNvPr id="71" name="矩形 71"/>
                              <wps:cNvSpPr/>
                              <wps:spPr>
                                <a:xfrm>
                                  <a:off x="3883660" y="0"/>
                                  <a:ext cx="749935" cy="2762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工程运营</w:t>
                                    </w:r>
                                  </w:p>
                                </w:txbxContent>
                              </wps:txbx>
                              <wps:bodyPr upright="1"/>
                            </wps:wsp>
                            <wps:wsp>
                              <wps:cNvPr id="72" name="矩形 72"/>
                              <wps:cNvSpPr/>
                              <wps:spPr>
                                <a:xfrm>
                                  <a:off x="496570" y="1233170"/>
                                  <a:ext cx="601980" cy="441960"/>
                                </a:xfrm>
                                <a:prstGeom prst="rect">
                                  <a:avLst/>
                                </a:prstGeom>
                                <a:noFill/>
                                <a:ln w="9525" cap="flat" cmpd="sng">
                                  <a:solidFill>
                                    <a:srgbClr val="000000"/>
                                  </a:solidFill>
                                  <a:prstDash val="dash"/>
                                  <a:miter/>
                                  <a:headEnd type="none" w="med" len="med"/>
                                  <a:tailEnd type="none" w="med" len="med"/>
                                </a:ln>
                              </wps:spPr>
                              <wps:txbx>
                                <w:txbxContent>
                                  <w:p>
                                    <w:pPr>
                                      <w:jc w:val="center"/>
                                      <w:rPr>
                                        <w:rFonts w:hint="eastAsia" w:eastAsia="宋体"/>
                                        <w:lang w:eastAsia="zh-CN"/>
                                      </w:rPr>
                                    </w:pPr>
                                    <w:r>
                                      <w:rPr>
                                        <w:rFonts w:hint="eastAsia"/>
                                        <w:lang w:eastAsia="zh-CN"/>
                                      </w:rPr>
                                      <w:t>噪声防治措施</w:t>
                                    </w:r>
                                  </w:p>
                                </w:txbxContent>
                              </wps:txbx>
                              <wps:bodyPr upright="1"/>
                            </wps:wsp>
                            <wps:wsp>
                              <wps:cNvPr id="73" name="矩形 73"/>
                              <wps:cNvSpPr/>
                              <wps:spPr>
                                <a:xfrm>
                                  <a:off x="1202055" y="1219835"/>
                                  <a:ext cx="763905" cy="443230"/>
                                </a:xfrm>
                                <a:prstGeom prst="rect">
                                  <a:avLst/>
                                </a:prstGeom>
                                <a:noFill/>
                                <a:ln w="9525" cap="flat" cmpd="sng">
                                  <a:solidFill>
                                    <a:srgbClr val="000000"/>
                                  </a:solidFill>
                                  <a:prstDash val="dash"/>
                                  <a:miter/>
                                  <a:headEnd type="none" w="med" len="med"/>
                                  <a:tailEnd type="none" w="med" len="med"/>
                                </a:ln>
                              </wps:spPr>
                              <wps:txbx>
                                <w:txbxContent>
                                  <w:p>
                                    <w:pPr>
                                      <w:jc w:val="center"/>
                                    </w:pPr>
                                    <w:r>
                                      <w:rPr>
                                        <w:rFonts w:hint="eastAsia"/>
                                      </w:rPr>
                                      <w:t>院内污水处理站</w:t>
                                    </w:r>
                                  </w:p>
                                </w:txbxContent>
                              </wps:txbx>
                              <wps:bodyPr upright="1"/>
                            </wps:wsp>
                            <wps:wsp>
                              <wps:cNvPr id="74" name="矩形 74"/>
                              <wps:cNvSpPr/>
                              <wps:spPr>
                                <a:xfrm>
                                  <a:off x="2267585" y="1447801"/>
                                  <a:ext cx="811530" cy="434340"/>
                                </a:xfrm>
                                <a:prstGeom prst="rect">
                                  <a:avLst/>
                                </a:prstGeom>
                                <a:noFill/>
                                <a:ln w="9525" cap="flat" cmpd="sng">
                                  <a:solidFill>
                                    <a:srgbClr val="000000"/>
                                  </a:solidFill>
                                  <a:prstDash val="dash"/>
                                  <a:miter/>
                                  <a:headEnd type="none" w="med" len="med"/>
                                  <a:tailEnd type="none" w="med" len="med"/>
                                </a:ln>
                              </wps:spPr>
                              <wps:txbx>
                                <w:txbxContent>
                                  <w:p>
                                    <w:pPr>
                                      <w:jc w:val="center"/>
                                      <w:rPr>
                                        <w:rFonts w:hint="eastAsia" w:eastAsia="宋体"/>
                                        <w:lang w:eastAsia="zh-CN"/>
                                      </w:rPr>
                                    </w:pPr>
                                    <w:r>
                                      <w:rPr>
                                        <w:rFonts w:hint="eastAsia"/>
                                        <w:lang w:eastAsia="zh-CN"/>
                                      </w:rPr>
                                      <w:t>环卫部门清运</w:t>
                                    </w:r>
                                  </w:p>
                                </w:txbxContent>
                              </wps:txbx>
                              <wps:bodyPr upright="1"/>
                            </wps:wsp>
                            <wps:wsp>
                              <wps:cNvPr id="75" name="直接连接符 75"/>
                              <wps:cNvSpPr/>
                              <wps:spPr>
                                <a:xfrm>
                                  <a:off x="424815" y="481966"/>
                                  <a:ext cx="1745615" cy="635"/>
                                </a:xfrm>
                                <a:prstGeom prst="line">
                                  <a:avLst/>
                                </a:prstGeom>
                                <a:ln w="9525" cap="flat" cmpd="sng">
                                  <a:solidFill>
                                    <a:srgbClr val="000000"/>
                                  </a:solidFill>
                                  <a:prstDash val="solid"/>
                                  <a:headEnd type="none" w="med" len="med"/>
                                  <a:tailEnd type="none" w="med" len="med"/>
                                </a:ln>
                              </wps:spPr>
                              <wps:bodyPr upright="1"/>
                            </wps:wsp>
                            <wps:wsp>
                              <wps:cNvPr id="76" name="直接连接符 76"/>
                              <wps:cNvSpPr/>
                              <wps:spPr>
                                <a:xfrm>
                                  <a:off x="845185" y="150495"/>
                                  <a:ext cx="967105" cy="10795"/>
                                </a:xfrm>
                                <a:prstGeom prst="line">
                                  <a:avLst/>
                                </a:prstGeom>
                                <a:ln w="9525" cap="flat" cmpd="sng">
                                  <a:solidFill>
                                    <a:srgbClr val="000000"/>
                                  </a:solidFill>
                                  <a:prstDash val="solid"/>
                                  <a:headEnd type="none" w="med" len="med"/>
                                  <a:tailEnd type="triangle" w="med" len="med"/>
                                </a:ln>
                              </wps:spPr>
                              <wps:bodyPr upright="1"/>
                            </wps:wsp>
                            <wps:wsp>
                              <wps:cNvPr id="77" name="直接连接符 77"/>
                              <wps:cNvSpPr/>
                              <wps:spPr>
                                <a:xfrm>
                                  <a:off x="435610" y="248920"/>
                                  <a:ext cx="3810" cy="239395"/>
                                </a:xfrm>
                                <a:prstGeom prst="line">
                                  <a:avLst/>
                                </a:prstGeom>
                                <a:ln w="9525" cap="flat" cmpd="sng">
                                  <a:solidFill>
                                    <a:srgbClr val="000000"/>
                                  </a:solidFill>
                                  <a:prstDash val="solid"/>
                                  <a:headEnd type="none" w="med" len="med"/>
                                  <a:tailEnd type="triangle" w="med" len="med"/>
                                </a:ln>
                              </wps:spPr>
                              <wps:bodyPr upright="1"/>
                            </wps:wsp>
                            <wps:wsp>
                              <wps:cNvPr id="78" name="直接连接符 78"/>
                              <wps:cNvSpPr/>
                              <wps:spPr>
                                <a:xfrm flipV="1">
                                  <a:off x="3472815" y="128270"/>
                                  <a:ext cx="420370" cy="3175"/>
                                </a:xfrm>
                                <a:prstGeom prst="line">
                                  <a:avLst/>
                                </a:prstGeom>
                                <a:ln w="9525" cap="flat" cmpd="sng">
                                  <a:solidFill>
                                    <a:srgbClr val="000000"/>
                                  </a:solidFill>
                                  <a:prstDash val="solid"/>
                                  <a:headEnd type="none" w="med" len="med"/>
                                  <a:tailEnd type="triangle" w="med" len="med"/>
                                </a:ln>
                              </wps:spPr>
                              <wps:bodyPr upright="1"/>
                            </wps:wsp>
                            <wps:wsp>
                              <wps:cNvPr id="79" name="直接连接符 79"/>
                              <wps:cNvSpPr/>
                              <wps:spPr>
                                <a:xfrm flipV="1">
                                  <a:off x="2283460" y="129540"/>
                                  <a:ext cx="553085" cy="11430"/>
                                </a:xfrm>
                                <a:prstGeom prst="line">
                                  <a:avLst/>
                                </a:prstGeom>
                                <a:ln w="9525" cap="flat" cmpd="sng">
                                  <a:solidFill>
                                    <a:srgbClr val="000000"/>
                                  </a:solidFill>
                                  <a:prstDash val="solid"/>
                                  <a:headEnd type="none" w="med" len="med"/>
                                  <a:tailEnd type="triangle" w="med" len="med"/>
                                </a:ln>
                              </wps:spPr>
                              <wps:bodyPr upright="1"/>
                            </wps:wsp>
                            <wps:wsp>
                              <wps:cNvPr id="80" name="矩形 80"/>
                              <wps:cNvSpPr/>
                              <wps:spPr>
                                <a:xfrm>
                                  <a:off x="571500" y="721995"/>
                                  <a:ext cx="506095" cy="271780"/>
                                </a:xfrm>
                                <a:prstGeom prst="rect">
                                  <a:avLst/>
                                </a:prstGeom>
                                <a:solidFill>
                                  <a:srgbClr val="FFFFFF"/>
                                </a:solidFill>
                                <a:ln w="9525" cap="flat" cmpd="sng">
                                  <a:solidFill>
                                    <a:srgbClr val="000000"/>
                                  </a:solidFill>
                                  <a:prstDash val="dash"/>
                                  <a:miter/>
                                  <a:headEnd type="none" w="med" len="med"/>
                                  <a:tailEnd type="none" w="med" len="med"/>
                                </a:ln>
                              </wps:spPr>
                              <wps:txbx>
                                <w:txbxContent>
                                  <w:p>
                                    <w:pPr>
                                      <w:jc w:val="center"/>
                                      <w:rPr>
                                        <w:rFonts w:hint="eastAsia" w:eastAsia="宋体"/>
                                        <w:lang w:eastAsia="zh-CN"/>
                                      </w:rPr>
                                    </w:pPr>
                                    <w:r>
                                      <w:rPr>
                                        <w:rFonts w:hint="eastAsia"/>
                                        <w:lang w:eastAsia="zh-CN"/>
                                      </w:rPr>
                                      <w:t>噪声</w:t>
                                    </w:r>
                                  </w:p>
                                </w:txbxContent>
                              </wps:txbx>
                              <wps:bodyPr upright="1"/>
                            </wps:wsp>
                            <wps:wsp>
                              <wps:cNvPr id="81" name="矩形 81"/>
                              <wps:cNvSpPr/>
                              <wps:spPr>
                                <a:xfrm>
                                  <a:off x="0" y="0"/>
                                  <a:ext cx="825500"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装饰工程</w:t>
                                    </w:r>
                                  </w:p>
                                </w:txbxContent>
                              </wps:txbx>
                              <wps:bodyPr upright="1"/>
                            </wps:wsp>
                            <wps:wsp>
                              <wps:cNvPr id="82" name="直接连接符 82"/>
                              <wps:cNvSpPr/>
                              <wps:spPr>
                                <a:xfrm>
                                  <a:off x="2179955" y="262890"/>
                                  <a:ext cx="0" cy="228600"/>
                                </a:xfrm>
                                <a:prstGeom prst="line">
                                  <a:avLst/>
                                </a:prstGeom>
                                <a:ln w="9525" cap="flat" cmpd="sng">
                                  <a:solidFill>
                                    <a:srgbClr val="000000"/>
                                  </a:solidFill>
                                  <a:prstDash val="solid"/>
                                  <a:headEnd type="none" w="med" len="med"/>
                                  <a:tailEnd type="triangle" w="med" len="med"/>
                                </a:ln>
                              </wps:spPr>
                              <wps:bodyPr upright="1"/>
                            </wps:wsp>
                            <wps:wsp>
                              <wps:cNvPr id="83" name="直接连接符 83"/>
                              <wps:cNvSpPr/>
                              <wps:spPr>
                                <a:xfrm>
                                  <a:off x="831850" y="487046"/>
                                  <a:ext cx="0" cy="228600"/>
                                </a:xfrm>
                                <a:prstGeom prst="line">
                                  <a:avLst/>
                                </a:prstGeom>
                                <a:ln w="9525" cap="flat" cmpd="sng">
                                  <a:solidFill>
                                    <a:srgbClr val="000000"/>
                                  </a:solidFill>
                                  <a:prstDash val="solid"/>
                                  <a:headEnd type="none" w="med" len="med"/>
                                  <a:tailEnd type="triangle" w="med" len="med"/>
                                </a:ln>
                              </wps:spPr>
                              <wps:bodyPr upright="1"/>
                            </wps:wsp>
                            <wps:wsp>
                              <wps:cNvPr id="84" name="直接连接符 84"/>
                              <wps:cNvSpPr/>
                              <wps:spPr>
                                <a:xfrm flipH="1">
                                  <a:off x="3270250" y="282575"/>
                                  <a:ext cx="11430" cy="429895"/>
                                </a:xfrm>
                                <a:prstGeom prst="line">
                                  <a:avLst/>
                                </a:prstGeom>
                                <a:ln w="9525" cap="flat" cmpd="sng">
                                  <a:solidFill>
                                    <a:srgbClr val="000000"/>
                                  </a:solidFill>
                                  <a:prstDash val="solid"/>
                                  <a:headEnd type="none" w="med" len="med"/>
                                  <a:tailEnd type="triangle" w="med" len="med"/>
                                </a:ln>
                              </wps:spPr>
                              <wps:bodyPr upright="1"/>
                            </wps:wsp>
                            <wps:wsp>
                              <wps:cNvPr id="85" name="矩形 85"/>
                              <wps:cNvSpPr/>
                              <wps:spPr>
                                <a:xfrm>
                                  <a:off x="2834640" y="0"/>
                                  <a:ext cx="822325"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工程验收</w:t>
                                    </w:r>
                                  </w:p>
                                </w:txbxContent>
                              </wps:txbx>
                              <wps:bodyPr upright="1"/>
                            </wps:wsp>
                            <wps:wsp>
                              <wps:cNvPr id="86" name="矩形 86"/>
                              <wps:cNvSpPr/>
                              <wps:spPr>
                                <a:xfrm>
                                  <a:off x="1788795" y="0"/>
                                  <a:ext cx="726440" cy="2654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bCs/>
                                        <w:sz w:val="21"/>
                                        <w:szCs w:val="21"/>
                                        <w:lang w:eastAsia="zh-CN"/>
                                      </w:rPr>
                                      <w:t>安装工程</w:t>
                                    </w:r>
                                  </w:p>
                                </w:txbxContent>
                              </wps:txbx>
                              <wps:bodyPr upright="1"/>
                            </wps:wsp>
                            <wps:wsp>
                              <wps:cNvPr id="87" name="矩形 87"/>
                              <wps:cNvSpPr/>
                              <wps:spPr>
                                <a:xfrm>
                                  <a:off x="2311400" y="918210"/>
                                  <a:ext cx="770255" cy="277495"/>
                                </a:xfrm>
                                <a:prstGeom prst="rect">
                                  <a:avLst/>
                                </a:prstGeom>
                                <a:solidFill>
                                  <a:srgbClr val="FFFFFF"/>
                                </a:solidFill>
                                <a:ln w="9525" cap="flat" cmpd="sng">
                                  <a:solidFill>
                                    <a:srgbClr val="000000"/>
                                  </a:solidFill>
                                  <a:prstDash val="dash"/>
                                  <a:miter/>
                                  <a:headEnd type="none" w="med" len="med"/>
                                  <a:tailEnd type="none" w="med" len="med"/>
                                </a:ln>
                              </wps:spPr>
                              <wps:txbx>
                                <w:txbxContent>
                                  <w:p>
                                    <w:pPr>
                                      <w:jc w:val="center"/>
                                      <w:rPr>
                                        <w:rFonts w:hint="eastAsia"/>
                                      </w:rPr>
                                    </w:pPr>
                                    <w:r>
                                      <w:rPr>
                                        <w:rFonts w:hint="eastAsia"/>
                                        <w:lang w:eastAsia="zh-CN"/>
                                      </w:rPr>
                                      <w:t>建筑垃圾</w:t>
                                    </w:r>
                                  </w:p>
                                </w:txbxContent>
                              </wps:txbx>
                              <wps:bodyPr upright="1"/>
                            </wps:wsp>
                            <wps:wsp>
                              <wps:cNvPr id="88" name="直接连接符 88"/>
                              <wps:cNvSpPr/>
                              <wps:spPr>
                                <a:xfrm>
                                  <a:off x="2680335" y="703580"/>
                                  <a:ext cx="0" cy="228600"/>
                                </a:xfrm>
                                <a:prstGeom prst="line">
                                  <a:avLst/>
                                </a:prstGeom>
                                <a:ln w="9525" cap="flat" cmpd="sng">
                                  <a:solidFill>
                                    <a:srgbClr val="000000"/>
                                  </a:solidFill>
                                  <a:prstDash val="solid"/>
                                  <a:headEnd type="none" w="med" len="med"/>
                                  <a:tailEnd type="triangle" w="med" len="med"/>
                                </a:ln>
                              </wps:spPr>
                              <wps:bodyPr upright="1"/>
                            </wps:wsp>
                            <wps:wsp>
                              <wps:cNvPr id="89" name="直接连接符 89"/>
                              <wps:cNvSpPr/>
                              <wps:spPr>
                                <a:xfrm>
                                  <a:off x="1558290" y="474981"/>
                                  <a:ext cx="0" cy="228600"/>
                                </a:xfrm>
                                <a:prstGeom prst="line">
                                  <a:avLst/>
                                </a:prstGeom>
                                <a:ln w="9525" cap="flat" cmpd="sng">
                                  <a:solidFill>
                                    <a:srgbClr val="000000"/>
                                  </a:solidFill>
                                  <a:prstDash val="solid"/>
                                  <a:headEnd type="none" w="med" len="med"/>
                                  <a:tailEnd type="triangle" w="med" len="med"/>
                                </a:ln>
                              </wps:spPr>
                              <wps:bodyPr upright="1"/>
                            </wps:wsp>
                            <wps:wsp>
                              <wps:cNvPr id="90" name="直接连接符 90"/>
                              <wps:cNvSpPr/>
                              <wps:spPr>
                                <a:xfrm>
                                  <a:off x="2068195" y="485141"/>
                                  <a:ext cx="0" cy="228600"/>
                                </a:xfrm>
                                <a:prstGeom prst="line">
                                  <a:avLst/>
                                </a:prstGeom>
                                <a:ln w="9525" cap="flat" cmpd="sng">
                                  <a:solidFill>
                                    <a:srgbClr val="000000"/>
                                  </a:solidFill>
                                  <a:prstDash val="solid"/>
                                  <a:headEnd type="none" w="med" len="med"/>
                                  <a:tailEnd type="triangle" w="med" len="med"/>
                                </a:ln>
                              </wps:spPr>
                              <wps:bodyPr upright="1"/>
                            </wps:wsp>
                            <wps:wsp>
                              <wps:cNvPr id="91" name="直接连接符 91"/>
                              <wps:cNvSpPr/>
                              <wps:spPr>
                                <a:xfrm flipV="1">
                                  <a:off x="2060575" y="692785"/>
                                  <a:ext cx="1240155" cy="10795"/>
                                </a:xfrm>
                                <a:prstGeom prst="line">
                                  <a:avLst/>
                                </a:prstGeom>
                                <a:ln w="9525" cap="flat" cmpd="sng">
                                  <a:solidFill>
                                    <a:srgbClr val="000000"/>
                                  </a:solidFill>
                                  <a:prstDash val="solid"/>
                                  <a:headEnd type="none" w="med" len="med"/>
                                  <a:tailEnd type="none" w="med" len="med"/>
                                </a:ln>
                              </wps:spPr>
                              <wps:bodyPr upright="1"/>
                            </wps:wsp>
                            <wps:wsp>
                              <wps:cNvPr id="92" name="直接连接符 92"/>
                              <wps:cNvSpPr/>
                              <wps:spPr>
                                <a:xfrm>
                                  <a:off x="834390" y="989330"/>
                                  <a:ext cx="0" cy="228600"/>
                                </a:xfrm>
                                <a:prstGeom prst="line">
                                  <a:avLst/>
                                </a:prstGeom>
                                <a:ln w="9525" cap="flat" cmpd="sng">
                                  <a:solidFill>
                                    <a:srgbClr val="000000"/>
                                  </a:solidFill>
                                  <a:prstDash val="solid"/>
                                  <a:headEnd type="none" w="med" len="med"/>
                                  <a:tailEnd type="triangle" w="med" len="med"/>
                                </a:ln>
                              </wps:spPr>
                              <wps:bodyPr upright="1"/>
                            </wps:wsp>
                            <wps:wsp>
                              <wps:cNvPr id="93" name="直接连接符 93"/>
                              <wps:cNvSpPr/>
                              <wps:spPr>
                                <a:xfrm>
                                  <a:off x="1549400" y="989330"/>
                                  <a:ext cx="0" cy="228600"/>
                                </a:xfrm>
                                <a:prstGeom prst="line">
                                  <a:avLst/>
                                </a:prstGeom>
                                <a:ln w="9525" cap="flat" cmpd="sng">
                                  <a:solidFill>
                                    <a:srgbClr val="000000"/>
                                  </a:solidFill>
                                  <a:prstDash val="solid"/>
                                  <a:headEnd type="none" w="med" len="med"/>
                                  <a:tailEnd type="triangle" w="med" len="med"/>
                                </a:ln>
                              </wps:spPr>
                              <wps:bodyPr upright="1"/>
                            </wps:wsp>
                            <wps:wsp>
                              <wps:cNvPr id="94" name="直接连接符 94"/>
                              <wps:cNvSpPr/>
                              <wps:spPr>
                                <a:xfrm>
                                  <a:off x="2679700" y="1204595"/>
                                  <a:ext cx="0" cy="228600"/>
                                </a:xfrm>
                                <a:prstGeom prst="line">
                                  <a:avLst/>
                                </a:prstGeom>
                                <a:ln w="9525" cap="flat" cmpd="sng">
                                  <a:solidFill>
                                    <a:srgbClr val="000000"/>
                                  </a:solidFill>
                                  <a:prstDash val="solid"/>
                                  <a:headEnd type="none" w="med" len="med"/>
                                  <a:tailEnd type="triangle" w="med" len="med"/>
                                </a:ln>
                              </wps:spPr>
                              <wps:bodyPr upright="1"/>
                            </wps:wsp>
                          </wpc:wpc>
                        </a:graphicData>
                      </a:graphic>
                    </wp:inline>
                  </w:drawing>
                </mc:Choice>
                <mc:Fallback>
                  <w:pict>
                    <v:group id="_x0000_s1026" o:spid="_x0000_s1026" o:spt="203" style="height:147.85pt;width:370.4pt;" coordsize="4704080,1877695" editas="canvas" o:gfxdata="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">
                      <o:lock v:ext="edit" aspectratio="f"/>
                      <v:rect id="_x0000_s1026" o:spid="_x0000_s1026" o:spt="1" style="position:absolute;left:0;top:0;height:1877695;width:4704080;" filled="f" stroked="f" coordsize="21600,21600" o:gfxdata="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">
                        <v:fill on="f" focussize="0,0"/>
                        <v:stroke on="f"/>
                        <v:imagedata o:title=""/>
                        <o:lock v:ext="edit" rotation="t" aspectratio="f"/>
                      </v:rect>
                      <v:rect id="_x0000_s1026" o:spid="_x0000_s1026" o:spt="1" style="position:absolute;left:1166495;top:714374;height:279400;width:746125;" fillcolor="#FFFFFF" filled="t" stroked="t" coordsize="21600,21600" o:gfxdata="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Gnk4VvWAAAABQEAAA8AAAAAAAAAAQAgAAAA&#10;IgAAAGRycy9kb3ducmV2LnhtbFBLAQIUABQAAAAIAIdO4kBGTRyPDQIAADQEAAAOAAAAAAAAAAEA&#10;IAAAACUBAABkcnMvZTJvRG9jLnhtbFBLBQYAAAAABgAGAFkBAACkBQAAAAA=&#10;">
                        <v:fill on="t" focussize="0,0"/>
                        <v:stroke color="#000000" joinstyle="miter" dashstyle="dash"/>
                        <v:imagedata o:title=""/>
                        <o:lock v:ext="edit" aspectratio="f"/>
                        <v:textbox>
                          <w:txbxContent>
                            <w:p>
                              <w:pPr>
                                <w:jc w:val="center"/>
                                <w:rPr>
                                  <w:rFonts w:hint="eastAsia"/>
                                </w:rPr>
                              </w:pPr>
                              <w:r>
                                <w:rPr>
                                  <w:rFonts w:hint="eastAsia"/>
                                </w:rPr>
                                <w:t>生活污水</w:t>
                              </w:r>
                            </w:p>
                          </w:txbxContent>
                        </v:textbox>
                      </v:rect>
                      <v:rect id="_x0000_s1026" o:spid="_x0000_s1026" o:spt="1" style="position:absolute;left:3883659;top:0;height:276225;width:749935;"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工程运营</w:t>
                              </w:r>
                            </w:p>
                          </w:txbxContent>
                        </v:textbox>
                      </v:rect>
                      <v:rect id="_x0000_s1026" o:spid="_x0000_s1026" o:spt="1" style="position:absolute;left:496570;top:1233170;height:441960;width:601980;" filled="f" stroked="t" coordsize="21600,21600" o:gfxdata="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CpGWR1AAAAAUBAAAPAAAAAAAAAAEAIAAAACIAAABk&#10;cnMvZG93bnJldi54bWxQSwECFAAUAAAACACHTuJAYT/ogwoCAAALBAAADgAAAAAAAAABACAAAAAj&#10;AQAAZHJzL2Uyb0RvYy54bWxQSwUGAAAAAAYABgBZAQAAnwUAAAAA&#10;">
                        <v:fill on="f" focussize="0,0"/>
                        <v:stroke color="#000000" joinstyle="miter" dashstyle="dash"/>
                        <v:imagedata o:title=""/>
                        <o:lock v:ext="edit" aspectratio="f"/>
                        <v:textbox>
                          <w:txbxContent>
                            <w:p>
                              <w:pPr>
                                <w:jc w:val="center"/>
                                <w:rPr>
                                  <w:rFonts w:hint="eastAsia" w:eastAsia="宋体"/>
                                  <w:lang w:eastAsia="zh-CN"/>
                                </w:rPr>
                              </w:pPr>
                              <w:r>
                                <w:rPr>
                                  <w:rFonts w:hint="eastAsia"/>
                                  <w:lang w:eastAsia="zh-CN"/>
                                </w:rPr>
                                <w:t>噪声防治措施</w:t>
                              </w:r>
                            </w:p>
                          </w:txbxContent>
                        </v:textbox>
                      </v:rect>
                      <v:rect id="_x0000_s1026" o:spid="_x0000_s1026" o:spt="1" style="position:absolute;left:1202055;top:1219835;height:443230;width:763905;" filled="f" stroked="t" coordsize="21600,21600" o:gfxdata="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CpGWR1AAAAAUBAAAPAAAAAAAAAAEAIAAAACIAAABk&#10;cnMvZG93bnJldi54bWxQSwECFAAUAAAACACHTuJAQekI+woCAAAMBAAADgAAAAAAAAABACAAAAAj&#10;AQAAZHJzL2Uyb0RvYy54bWxQSwUGAAAAAAYABgBZAQAAnwUAAAAA&#10;">
                        <v:fill on="f" focussize="0,0"/>
                        <v:stroke color="#000000" joinstyle="miter" dashstyle="dash"/>
                        <v:imagedata o:title=""/>
                        <o:lock v:ext="edit" aspectratio="f"/>
                        <v:textbox>
                          <w:txbxContent>
                            <w:p>
                              <w:pPr>
                                <w:jc w:val="center"/>
                              </w:pPr>
                              <w:r>
                                <w:rPr>
                                  <w:rFonts w:hint="eastAsia"/>
                                </w:rPr>
                                <w:t>院内污水处理站</w:t>
                              </w:r>
                            </w:p>
                          </w:txbxContent>
                        </v:textbox>
                      </v:rect>
                      <v:rect id="_x0000_s1026" o:spid="_x0000_s1026" o:spt="1" style="position:absolute;left:2267585;top:1447800;height:434340;width:811530;" filled="f" stroked="t" coordsize="21600,21600" o:gfxdata="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CpGWR1AAAAAUBAAAPAAAAAAAAAAEAIAAAACIAAABk&#10;cnMvZG93bnJldi54bWxQSwECFAAUAAAACACHTuJA4fNxqgoCAAAMBAAADgAAAAAAAAABACAAAAAj&#10;AQAAZHJzL2Uyb0RvYy54bWxQSwUGAAAAAAYABgBZAQAAnwUAAAAA&#10;">
                        <v:fill on="f" focussize="0,0"/>
                        <v:stroke color="#000000" joinstyle="miter" dashstyle="dash"/>
                        <v:imagedata o:title=""/>
                        <o:lock v:ext="edit" aspectratio="f"/>
                        <v:textbox>
                          <w:txbxContent>
                            <w:p>
                              <w:pPr>
                                <w:jc w:val="center"/>
                                <w:rPr>
                                  <w:rFonts w:hint="eastAsia" w:eastAsia="宋体"/>
                                  <w:lang w:eastAsia="zh-CN"/>
                                </w:rPr>
                              </w:pPr>
                              <w:r>
                                <w:rPr>
                                  <w:rFonts w:hint="eastAsia"/>
                                  <w:lang w:eastAsia="zh-CN"/>
                                </w:rPr>
                                <w:t>环卫部门清运</w:t>
                              </w:r>
                            </w:p>
                          </w:txbxContent>
                        </v:textbox>
                      </v:rect>
                      <v:line id="_x0000_s1026" o:spid="_x0000_s1026" o:spt="20" style="position:absolute;left:424815;top:481965;height:635;width:1745615;" filled="f" stroked="t" coordsize="21600,21600" o:gfxdata="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A4ukfVAAAABQEAAA8AAAAAAAAAAQAgAAAAIgAAAGRycy9kb3du&#10;cmV2LnhtbFBLAQIUABQAAAAIAIdO4kALf7lXAgIAAPIDAAAOAAAAAAAAAAEAIAAAACQBAABkcnMv&#10;ZTJvRG9jLnhtbFBLBQYAAAAABgAGAFkBAACYBQAAAAA=&#10;">
                        <v:fill on="f" focussize="0,0"/>
                        <v:stroke color="#000000" joinstyle="round"/>
                        <v:imagedata o:title=""/>
                        <o:lock v:ext="edit" aspectratio="f"/>
                      </v:line>
                      <v:line id="_x0000_s1026" o:spid="_x0000_s1026" o:spt="20" style="position:absolute;left:845185;top:150495;height:10795;width:967105;" filled="f" stroked="t" coordsize="21600,21600" o:gfxdata="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NMGSfXAAAABQEAAA8AAAAAAAAAAQAgAAAAIgAA&#10;AGRycy9kb3ducmV2LnhtbFBLAQIUABQAAAAIAIdO4kB6n9YdCQIAAPcDAAAOAAAAAAAAAAEAIAAA&#10;ACYBAABkcnMvZTJvRG9jLnhtbFBLBQYAAAAABgAGAFkBAAChBQAAAAA=&#10;">
                        <v:fill on="f" focussize="0,0"/>
                        <v:stroke color="#000000" joinstyle="round" endarrow="block"/>
                        <v:imagedata o:title=""/>
                        <o:lock v:ext="edit" aspectratio="f"/>
                      </v:line>
                      <v:line id="_x0000_s1026" o:spid="_x0000_s1026" o:spt="20" style="position:absolute;left:435610;top:248920;height:239395;width:3810;" filled="f" stroked="t" coordsize="21600,21600" o:gfxdata="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00wZJ9cAAAAFAQAADwAAAAAAAAABACAAAAAiAAAA&#10;ZHJzL2Rvd25yZXYueG1sUEsBAhQAFAAAAAgAh07iQC/l3OAIAgAA9gMAAA4AAAAAAAAAAQAgAAAA&#10;JgEAAGRycy9lMm9Eb2MueG1sUEsFBgAAAAAGAAYAWQEAAKAFAAAAAA==&#10;">
                        <v:fill on="f" focussize="0,0"/>
                        <v:stroke color="#000000" joinstyle="round" endarrow="block"/>
                        <v:imagedata o:title=""/>
                        <o:lock v:ext="edit" aspectratio="f"/>
                      </v:line>
                      <v:line id="_x0000_s1026" o:spid="_x0000_s1026" o:spt="20" style="position:absolute;left:3472814;top:128270;flip:y;height:3175;width:420370;" filled="f" stroked="t" coordsize="21600,21600" o:gfxdata="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bJIx01gAAAAUBAAAPAAAAAAAAAAEA&#10;IAAAACIAAABkcnMvZG93bnJldi54bWxQSwECFAAUAAAACACHTuJApdufCxECAAABBAAADgAAAAAA&#10;AAABACAAAAAlAQAAZHJzL2Uyb0RvYy54bWxQSwUGAAAAAAYABgBZAQAAqAUAAAAA&#10;">
                        <v:fill on="f" focussize="0,0"/>
                        <v:stroke color="#000000" joinstyle="round" endarrow="block"/>
                        <v:imagedata o:title=""/>
                        <o:lock v:ext="edit" aspectratio="f"/>
                      </v:line>
                      <v:line id="_x0000_s1026" o:spid="_x0000_s1026" o:spt="20" style="position:absolute;left:2283460;top:129540;flip:y;height:11430;width:553085;" filled="f" stroked="t" coordsize="21600,21600" o:gfxdata="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bJIx01gAAAAUBAAAPAAAAAAAA&#10;AAEAIAAAACIAAABkcnMvZG93bnJldi54bWxQSwECFAAUAAAACACHTuJARmjqQRQCAAACBAAADgAA&#10;AAAAAAABACAAAAAlAQAAZHJzL2Uyb0RvYy54bWxQSwUGAAAAAAYABgBZAQAAqwUAAAAA&#10;">
                        <v:fill on="f" focussize="0,0"/>
                        <v:stroke color="#000000" joinstyle="round" endarrow="block"/>
                        <v:imagedata o:title=""/>
                        <o:lock v:ext="edit" aspectratio="f"/>
                      </v:line>
                      <v:rect id="_x0000_s1026" o:spid="_x0000_s1026" o:spt="1" style="position:absolute;left:571500;top:721994;height:271780;width:506095;" fillcolor="#FFFFFF" filled="t" stroked="t" coordsize="21600,21600" o:gfxdata="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aeThW9YAAAAFAQAADwAAAAAAAAABACAAAAAi&#10;AAAAZHJzL2Rvd25yZXYueG1sUEsBAhQAFAAAAAgAh07iQMc8toAMAgAAMwQAAA4AAAAAAAAAAQAg&#10;AAAAJQEAAGRycy9lMm9Eb2MueG1sUEsFBgAAAAAGAAYAWQEAAKMFAAAAAA==&#10;">
                        <v:fill on="t" focussize="0,0"/>
                        <v:stroke color="#000000" joinstyle="miter" dashstyle="dash"/>
                        <v:imagedata o:title=""/>
                        <o:lock v:ext="edit" aspectratio="f"/>
                        <v:textbox>
                          <w:txbxContent>
                            <w:p>
                              <w:pPr>
                                <w:jc w:val="center"/>
                                <w:rPr>
                                  <w:rFonts w:hint="eastAsia" w:eastAsia="宋体"/>
                                  <w:lang w:eastAsia="zh-CN"/>
                                </w:rPr>
                              </w:pPr>
                              <w:r>
                                <w:rPr>
                                  <w:rFonts w:hint="eastAsia"/>
                                  <w:lang w:eastAsia="zh-CN"/>
                                </w:rPr>
                                <w:t>噪声</w:t>
                              </w:r>
                            </w:p>
                          </w:txbxContent>
                        </v:textbox>
                      </v:rect>
                      <v:rect id="_x0000_s1026" o:spid="_x0000_s1026" o:spt="1" style="position:absolute;left:0;top:0;height:266700;width:825500;"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装饰工程</w:t>
                              </w:r>
                            </w:p>
                          </w:txbxContent>
                        </v:textbox>
                      </v:rect>
                      <v:line id="_x0000_s1026" o:spid="_x0000_s1026" o:spt="20" style="position:absolute;left:2179955;top:262890;height:228600;width:0;" filled="f" stroked="t" coordsize="21600,21600" o:gfxdata="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TTBkn1wAAAAUBAAAPAAAAAAAAAAEAIAAAACIAAABk&#10;cnMvZG93bnJldi54bWxQSwECFAAUAAAACACHTuJAPoa9ZAcCAAD0AwAADgAAAAAAAAABACAAAAAm&#10;AQAAZHJzL2Uyb0RvYy54bWxQSwUGAAAAAAYABgBZAQAAnwUAAAAA&#10;">
                        <v:fill on="f" focussize="0,0"/>
                        <v:stroke color="#000000" joinstyle="round" endarrow="block"/>
                        <v:imagedata o:title=""/>
                        <o:lock v:ext="edit" aspectratio="f"/>
                      </v:line>
                      <v:line id="_x0000_s1026" o:spid="_x0000_s1026" o:spt="20" style="position:absolute;left:831850;top:487045;height:228600;width:0;" filled="f" stroked="t" coordsize="21600,21600" o:gfxdata="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00wZJ9cAAAAFAQAADwAAAAAAAAABACAAAAAiAAAA&#10;ZHJzL2Rvd25yZXYueG1sUEsBAhQAFAAAAAgAh07iQPc7qIgIAgAA8wMAAA4AAAAAAAAAAQAgAAAA&#10;JgEAAGRycy9lMm9Eb2MueG1sUEsFBgAAAAAGAAYAWQEAAKAFAAAAAA==&#10;">
                        <v:fill on="f" focussize="0,0"/>
                        <v:stroke color="#000000" joinstyle="round" endarrow="block"/>
                        <v:imagedata o:title=""/>
                        <o:lock v:ext="edit" aspectratio="f"/>
                      </v:line>
                      <v:line id="_x0000_s1026" o:spid="_x0000_s1026" o:spt="20" style="position:absolute;left:3270249;top:282575;flip:x;height:429895;width:11430;" filled="f" stroked="t" coordsize="21600,21600" o:gfxdata="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BskjHTWAAAABQEAAA8AAAAA&#10;AAAAAQAgAAAAIgAAAGRycy9kb3ducmV2LnhtbFBLAQIUABQAAAAIAIdO4kBDeHX8FgIAAAIEAAAO&#10;AAAAAAAAAAEAIAAAACUBAABkcnMvZTJvRG9jLnhtbFBLBQYAAAAABgAGAFkBAACtBQAAAAA=&#10;">
                        <v:fill on="f" focussize="0,0"/>
                        <v:stroke color="#000000" joinstyle="round" endarrow="block"/>
                        <v:imagedata o:title=""/>
                        <o:lock v:ext="edit" aspectratio="f"/>
                      </v:line>
                      <v:rect id="_x0000_s1026" o:spid="_x0000_s1026" o:spt="1" style="position:absolute;left:2834639;top:0;height:266700;width:822325;"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工程验收</w:t>
                              </w:r>
                            </w:p>
                          </w:txbxContent>
                        </v:textbox>
                      </v:rect>
                      <v:rect id="_x0000_s1026" o:spid="_x0000_s1026" o:spt="1" style="position:absolute;left:1788795;top:0;height:265430;width:726440;" fillcolor="#FFFFFF" filled="t" stroked="t" coordsize="21600,21600" o:gfxdata="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tcnu3VAAAABQEAAA8AAAAAAAAAAQAgAAAAIgAA&#10;AGRycy9kb3ducmV2LnhtbFBLAQIUABQAAAAIAIdO4kDW6FSrCwIAADAEAAAOAAAAAAAAAAEAIAAA&#10;ACQBAABkcnMvZTJvRG9jLnhtbFBLBQYAAAAABgAGAFkBAAChBQAAAAA=&#10;">
                        <v:fill on="t" focussize="0,0"/>
                        <v:stroke color="#000000" joinstyle="miter"/>
                        <v:imagedata o:title=""/>
                        <o:lock v:ext="edit" aspectratio="f"/>
                        <v:textbox>
                          <w:txbxContent>
                            <w:p>
                              <w:pPr>
                                <w:jc w:val="center"/>
                                <w:rPr>
                                  <w:rFonts w:hint="eastAsia"/>
                                </w:rPr>
                              </w:pPr>
                              <w:r>
                                <w:rPr>
                                  <w:rFonts w:hint="eastAsia"/>
                                  <w:bCs/>
                                  <w:sz w:val="21"/>
                                  <w:szCs w:val="21"/>
                                  <w:lang w:eastAsia="zh-CN"/>
                                </w:rPr>
                                <w:t>安装工程</w:t>
                              </w:r>
                            </w:p>
                          </w:txbxContent>
                        </v:textbox>
                      </v:rect>
                      <v:rect id="_x0000_s1026" o:spid="_x0000_s1026" o:spt="1" style="position:absolute;left:2311400;top:918209;height:277495;width:770255;" fillcolor="#FFFFFF" filled="t" stroked="t" coordsize="21600,21600" o:gfxdata="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p5OFb1gAAAAUBAAAPAAAAAAAAAAEAIAAAACIA&#10;AABkcnMvZG93bnJldi54bWxQSwECFAAUAAAACACHTuJAKPgfgQsCAAA0BAAADgAAAAAAAAABACAA&#10;AAAlAQAAZHJzL2Uyb0RvYy54bWxQSwUGAAAAAAYABgBZAQAAogUAAAAA&#10;">
                        <v:fill on="t" focussize="0,0"/>
                        <v:stroke color="#000000" joinstyle="miter" dashstyle="dash"/>
                        <v:imagedata o:title=""/>
                        <o:lock v:ext="edit" aspectratio="f"/>
                        <v:textbox>
                          <w:txbxContent>
                            <w:p>
                              <w:pPr>
                                <w:jc w:val="center"/>
                                <w:rPr>
                                  <w:rFonts w:hint="eastAsia"/>
                                </w:rPr>
                              </w:pPr>
                              <w:r>
                                <w:rPr>
                                  <w:rFonts w:hint="eastAsia"/>
                                  <w:lang w:eastAsia="zh-CN"/>
                                </w:rPr>
                                <w:t>建筑垃圾</w:t>
                              </w:r>
                            </w:p>
                          </w:txbxContent>
                        </v:textbox>
                      </v:rect>
                      <v:line id="_x0000_s1026" o:spid="_x0000_s1026" o:spt="20" style="position:absolute;left:2680334;top:703579;height:228600;width:0;" filled="f" stroked="t" coordsize="21600,21600" o:gfxdata="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NMGSfXAAAABQEAAA8AAAAAAAAAAQAgAAAAIgAA&#10;AGRycy9kb3ducmV2LnhtbFBLAQIUABQAAAAIAIdO4kBgANidCQIAAPQDAAAOAAAAAAAAAAEAIAAA&#10;ACYBAABkcnMvZTJvRG9jLnhtbFBLBQYAAAAABgAGAFkBAAChBQAAAAA=&#10;">
                        <v:fill on="f" focussize="0,0"/>
                        <v:stroke color="#000000" joinstyle="round" endarrow="block"/>
                        <v:imagedata o:title=""/>
                        <o:lock v:ext="edit" aspectratio="f"/>
                      </v:line>
                      <v:line id="_x0000_s1026" o:spid="_x0000_s1026" o:spt="20" style="position:absolute;left:1558290;top:474980;height:228600;width:0;" filled="f" stroked="t" coordsize="21600,21600" o:gfxdata="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NMGSfXAAAABQEAAA8AAAAAAAAAAQAgAAAAIgAA&#10;AGRycy9kb3ducmV2LnhtbFBLAQIUABQAAAAIAIdO4kBg3VPmCQIAAPQDAAAOAAAAAAAAAAEAIAAA&#10;ACYBAABkcnMvZTJvRG9jLnhtbFBLBQYAAAAABgAGAFkBAAChBQAAAAA=&#10;">
                        <v:fill on="f" focussize="0,0"/>
                        <v:stroke color="#000000" joinstyle="round" endarrow="block"/>
                        <v:imagedata o:title=""/>
                        <o:lock v:ext="edit" aspectratio="f"/>
                      </v:line>
                      <v:line id="_x0000_s1026" o:spid="_x0000_s1026" o:spt="20" style="position:absolute;left:2068195;top:485140;height:228600;width:0;" filled="f" stroked="t" coordsize="21600,21600" o:gfxdata="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00wZJ9cAAAAFAQAADwAAAAAAAAABACAAAAAiAAAA&#10;ZHJzL2Rvd25yZXYueG1sUEsBAhQAFAAAAAgAh07iQBKErTIIAgAA9AMAAA4AAAAAAAAAAQAgAAAA&#10;JgEAAGRycy9lMm9Eb2MueG1sUEsFBgAAAAAGAAYAWQEAAKAFAAAAAA==&#10;">
                        <v:fill on="f" focussize="0,0"/>
                        <v:stroke color="#000000" joinstyle="round" endarrow="block"/>
                        <v:imagedata o:title=""/>
                        <o:lock v:ext="edit" aspectratio="f"/>
                      </v:line>
                      <v:line id="_x0000_s1026" o:spid="_x0000_s1026" o:spt="20" style="position:absolute;left:2060575;top:692784;flip:y;height:10795;width:1240155;" filled="f" stroked="t" coordsize="21600,21600" o:gfxdata="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sDrXp1QAAAAUBAAAPAAAAAAAAAAEAIAAAACIA&#10;AABkcnMvZG93bnJldi54bWxQSwECFAAUAAAACACHTuJABPZ8KgwCAAD/AwAADgAAAAAAAAABACAA&#10;AAAkAQAAZHJzL2Uyb0RvYy54bWxQSwUGAAAAAAYABgBZAQAAogUAAAAA&#10;">
                        <v:fill on="f" focussize="0,0"/>
                        <v:stroke color="#000000" joinstyle="round"/>
                        <v:imagedata o:title=""/>
                        <o:lock v:ext="edit" aspectratio="f"/>
                      </v:line>
                      <v:line id="_x0000_s1026" o:spid="_x0000_s1026" o:spt="20" style="position:absolute;left:834390;top:989330;height:228600;width:0;" filled="f" stroked="t" coordsize="21600,21600" o:gfxdata="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TTBkn1wAAAAUBAAAPAAAAAAAAAAEAIAAAACIAAABk&#10;cnMvZG93bnJldi54bWxQSwECFAAUAAAACACHTuJA7FXP2QcCAADzAwAADgAAAAAAAAABACAAAAAm&#10;AQAAZHJzL2Uyb0RvYy54bWxQSwUGAAAAAAYABgBZAQAAnwUAAAAA&#10;">
                        <v:fill on="f" focussize="0,0"/>
                        <v:stroke color="#000000" joinstyle="round" endarrow="block"/>
                        <v:imagedata o:title=""/>
                        <o:lock v:ext="edit" aspectratio="f"/>
                      </v:line>
                      <v:line id="_x0000_s1026" o:spid="_x0000_s1026" o:spt="20" style="position:absolute;left:1549400;top:989330;height:228600;width:0;" filled="f" stroked="t" coordsize="21600,21600" o:gfxdata="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00wZJ9cAAAAFAQAADwAAAAAAAAABACAAAAAiAAAAZHJz&#10;L2Rvd25yZXYueG1sUEsBAhQAFAAAAAgAh07iQHYaj4wFAgAA9AMAAA4AAAAAAAAAAQAgAAAAJgEA&#10;AGRycy9lMm9Eb2MueG1sUEsFBgAAAAAGAAYAWQEAAJ0FAAAAAA==&#10;">
                        <v:fill on="f" focussize="0,0"/>
                        <v:stroke color="#000000" joinstyle="round" endarrow="block"/>
                        <v:imagedata o:title=""/>
                        <o:lock v:ext="edit" aspectratio="f"/>
                      </v:line>
                      <v:line id="_x0000_s1026" o:spid="_x0000_s1026" o:spt="20" style="position:absolute;left:2679699;top:1204595;height:228600;width:0;" filled="f" stroked="t" coordsize="21600,21600" o:gfxdata="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00wZJ9cAAAAFAQAADwAAAAAAAAABACAAAAAiAAAA&#10;ZHJzL2Rvd25yZXYueG1sUEsBAhQAFAAAAAgAh07iQI/FF0kIAgAA9QMAAA4AAAAAAAAAAQAgAAAA&#10;JgEAAGRycy9lMm9Eb2MueG1sUEsFBgAAAAAGAAYAWQEAAKAFAAAAAA==&#10;">
                        <v:fill on="f" focussize="0,0"/>
                        <v:stroke color="#000000" joinstyle="round" endarrow="block"/>
                        <v:imagedata o:title=""/>
                        <o:lock v:ext="edit" aspectratio="f"/>
                      </v:line>
                      <w10:wrap type="none"/>
                      <w10:anchorlock/>
                    </v:group>
                  </w:pict>
                </mc:Fallback>
              </mc:AlternateContent>
            </w:r>
          </w:p>
          <w:p>
            <w:pPr>
              <w:tabs>
                <w:tab w:val="left" w:pos="2205"/>
              </w:tabs>
              <w:spacing w:line="240" w:lineRule="auto"/>
              <w:ind w:firstLine="422" w:firstLineChars="200"/>
              <w:jc w:val="center"/>
              <w:rPr>
                <w:rFonts w:hint="eastAsia" w:ascii="Times New Roman" w:hAnsi="Times New Roman" w:eastAsia="宋体"/>
                <w:b/>
                <w:bCs/>
                <w:sz w:val="21"/>
                <w:szCs w:val="24"/>
                <w:lang w:eastAsia="zh-CN"/>
              </w:rPr>
            </w:pPr>
            <w:r>
              <w:rPr>
                <w:rFonts w:hint="eastAsia" w:ascii="Times New Roman" w:hAnsi="Times New Roman" w:eastAsia="宋体"/>
                <w:b/>
                <w:bCs/>
                <w:sz w:val="21"/>
                <w:szCs w:val="24"/>
                <w:lang w:eastAsia="zh-CN"/>
              </w:rPr>
              <w:t>图2-</w:t>
            </w:r>
            <w:r>
              <w:rPr>
                <w:rFonts w:hint="eastAsia" w:ascii="Times New Roman" w:hAnsi="Times New Roman" w:eastAsia="宋体"/>
                <w:b/>
                <w:bCs/>
                <w:sz w:val="21"/>
                <w:szCs w:val="24"/>
                <w:lang w:val="en-US" w:eastAsia="zh-CN"/>
              </w:rPr>
              <w:t>4</w:t>
            </w:r>
            <w:r>
              <w:rPr>
                <w:rFonts w:hint="eastAsia" w:ascii="Times New Roman" w:hAnsi="Times New Roman" w:eastAsia="宋体"/>
                <w:b/>
                <w:bCs/>
                <w:sz w:val="21"/>
                <w:szCs w:val="24"/>
                <w:lang w:eastAsia="zh-CN"/>
              </w:rPr>
              <w:t xml:space="preserve"> 施工期工艺流程及产污环节流程框图</w:t>
            </w:r>
          </w:p>
          <w:p>
            <w:pPr>
              <w:pStyle w:val="185"/>
              <w:ind w:left="0" w:leftChars="0" w:firstLine="0" w:firstLineChars="0"/>
              <w:rPr>
                <w:rFonts w:ascii="Times New Roman" w:hAnsi="Times New Roman" w:eastAsia="宋体"/>
                <w:b/>
                <w:color w:val="000000"/>
              </w:rPr>
            </w:pPr>
            <w:r>
              <w:rPr>
                <w:rFonts w:hint="eastAsia" w:ascii="Times New Roman" w:hAnsi="Times New Roman" w:eastAsia="宋体"/>
                <w:b/>
                <w:color w:val="000000"/>
                <w:lang w:eastAsia="zh-CN"/>
              </w:rPr>
              <w:t>二、</w:t>
            </w:r>
            <w:r>
              <w:rPr>
                <w:rFonts w:ascii="Times New Roman" w:hAnsi="Times New Roman" w:eastAsia="宋体"/>
                <w:b/>
                <w:color w:val="000000"/>
              </w:rPr>
              <w:t>营运期</w:t>
            </w:r>
          </w:p>
          <w:p>
            <w:pPr>
              <w:autoSpaceDE w:val="0"/>
              <w:autoSpaceDN w:val="0"/>
              <w:adjustRightInd w:val="0"/>
              <w:snapToGrid w:val="0"/>
              <w:spacing w:line="360" w:lineRule="auto"/>
              <w:ind w:firstLine="480" w:firstLineChars="200"/>
              <w:jc w:val="both"/>
              <w:rPr>
                <w:kern w:val="0"/>
                <w:sz w:val="24"/>
              </w:rPr>
            </w:pPr>
            <w:r>
              <w:rPr>
                <w:rFonts w:hint="eastAsia"/>
                <w:sz w:val="24"/>
              </w:rPr>
              <w:t>本项目为医院</w:t>
            </w:r>
            <w:r>
              <w:rPr>
                <w:rFonts w:hint="eastAsia"/>
                <w:sz w:val="24"/>
                <w:lang w:eastAsia="zh-CN"/>
              </w:rPr>
              <w:t>床位扩建的</w:t>
            </w:r>
            <w:r>
              <w:rPr>
                <w:rFonts w:hint="eastAsia"/>
                <w:sz w:val="24"/>
              </w:rPr>
              <w:t>建设项目，项目建成后主要为精神病病人提供询医治病的服务，无生产过程存在。</w:t>
            </w:r>
            <w:r>
              <w:rPr>
                <w:kern w:val="0"/>
                <w:sz w:val="24"/>
              </w:rPr>
              <w:t>在提供医疗服务中主要产生医疗废水、医护人员和病人生活污水、生活垃圾、医疗废物、污泥、噪声。这些污染物均会对区域环境构成一定影响。</w:t>
            </w:r>
          </w:p>
          <w:p>
            <w:pPr>
              <w:widowControl/>
              <w:spacing w:line="360" w:lineRule="auto"/>
              <w:ind w:firstLine="480" w:firstLineChars="200"/>
              <w:jc w:val="left"/>
              <w:rPr>
                <w:rFonts w:hint="eastAsia"/>
              </w:rPr>
            </w:pPr>
            <w:r>
              <w:rPr>
                <w:rFonts w:hint="eastAsia"/>
                <w:sz w:val="24"/>
              </w:rPr>
              <w:t>运营期工作流程见下图</w:t>
            </w:r>
            <w:r>
              <w:rPr>
                <w:rFonts w:hint="eastAsia"/>
              </w:rPr>
              <w:t>：</w:t>
            </w:r>
          </w:p>
          <w:p>
            <w:pPr>
              <w:pStyle w:val="185"/>
              <w:spacing w:line="240" w:lineRule="auto"/>
              <w:ind w:left="0" w:leftChars="0" w:firstLine="0" w:firstLineChars="0"/>
              <w:jc w:val="center"/>
              <w:rPr>
                <w:rFonts w:ascii="Times New Roman" w:hAnsi="Times New Roman" w:eastAsia="宋体"/>
                <w:b w:val="0"/>
                <w:bCs/>
                <w:color w:val="000000"/>
              </w:rPr>
            </w:pPr>
            <w:r>
              <w:rPr>
                <w:rFonts w:hint="eastAsia"/>
                <w:bCs/>
                <w:sz w:val="24"/>
              </w:rPr>
              <w:drawing>
                <wp:inline distT="0" distB="0" distL="114300" distR="114300">
                  <wp:extent cx="5233035" cy="6238240"/>
                  <wp:effectExtent l="0" t="0" r="5715" b="10160"/>
                  <wp:docPr id="151" name="图片 17" descr="093d3134a915f54ee3f4dafaf28da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7" descr="093d3134a915f54ee3f4dafaf28da32"/>
                          <pic:cNvPicPr>
                            <a:picLocks noChangeAspect="1"/>
                          </pic:cNvPicPr>
                        </pic:nvPicPr>
                        <pic:blipFill>
                          <a:blip r:embed="rId23"/>
                          <a:srcRect b="3136"/>
                          <a:stretch>
                            <a:fillRect/>
                          </a:stretch>
                        </pic:blipFill>
                        <pic:spPr>
                          <a:xfrm>
                            <a:off x="0" y="0"/>
                            <a:ext cx="5233035" cy="6238240"/>
                          </a:xfrm>
                          <a:prstGeom prst="rect">
                            <a:avLst/>
                          </a:prstGeom>
                          <a:noFill/>
                          <a:ln>
                            <a:noFill/>
                          </a:ln>
                        </pic:spPr>
                      </pic:pic>
                    </a:graphicData>
                  </a:graphic>
                </wp:inline>
              </w:drawing>
            </w:r>
          </w:p>
          <w:p>
            <w:pPr>
              <w:pStyle w:val="185"/>
              <w:spacing w:line="240" w:lineRule="auto"/>
              <w:ind w:firstLine="482"/>
              <w:jc w:val="center"/>
              <w:rPr>
                <w:rFonts w:ascii="Times New Roman" w:hAnsi="Times New Roman" w:eastAsia="宋体"/>
                <w:b w:val="0"/>
                <w:bCs/>
                <w:color w:val="000000"/>
              </w:rPr>
            </w:pPr>
            <w:r>
              <w:rPr>
                <w:rFonts w:hint="eastAsia" w:hAnsi="宋体"/>
                <w:b/>
                <w:sz w:val="21"/>
                <w:szCs w:val="18"/>
              </w:rPr>
              <w:t>图2-</w:t>
            </w:r>
            <w:r>
              <w:rPr>
                <w:rFonts w:hint="eastAsia" w:hAnsi="宋体"/>
                <w:b/>
                <w:sz w:val="21"/>
                <w:szCs w:val="18"/>
                <w:lang w:val="en-US" w:eastAsia="zh-CN"/>
              </w:rPr>
              <w:t>5</w:t>
            </w:r>
            <w:r>
              <w:rPr>
                <w:rFonts w:hint="eastAsia" w:hAnsi="宋体"/>
                <w:b/>
                <w:sz w:val="21"/>
                <w:szCs w:val="18"/>
              </w:rPr>
              <w:t xml:space="preserve"> 项目营运期工艺流程及产污位置图</w:t>
            </w:r>
          </w:p>
          <w:p>
            <w:pPr>
              <w:tabs>
                <w:tab w:val="left" w:pos="2205"/>
              </w:tabs>
              <w:spacing w:line="360" w:lineRule="auto"/>
              <w:rPr>
                <w:rFonts w:hint="eastAsia"/>
                <w:b/>
                <w:sz w:val="24"/>
              </w:rPr>
            </w:pPr>
            <w:r>
              <w:rPr>
                <w:rFonts w:hint="eastAsia"/>
                <w:b/>
                <w:sz w:val="24"/>
              </w:rPr>
              <w:t>三、主要污染工序及污染因子</w:t>
            </w:r>
          </w:p>
          <w:p>
            <w:pPr>
              <w:tabs>
                <w:tab w:val="left" w:pos="2205"/>
              </w:tabs>
              <w:spacing w:line="360" w:lineRule="auto"/>
              <w:ind w:firstLine="480" w:firstLineChars="200"/>
              <w:rPr>
                <w:sz w:val="24"/>
              </w:rPr>
            </w:pPr>
            <w:r>
              <w:rPr>
                <w:rFonts w:hint="eastAsia"/>
                <w:bCs/>
                <w:sz w:val="24"/>
              </w:rPr>
              <w:t>本项目主要污染因素有废气、废水、固体废物和噪声，</w:t>
            </w:r>
            <w:r>
              <w:rPr>
                <w:sz w:val="24"/>
              </w:rPr>
              <w:t>本项目产生的污染物主要有：</w:t>
            </w:r>
          </w:p>
          <w:p>
            <w:pPr>
              <w:spacing w:line="360" w:lineRule="auto"/>
              <w:ind w:firstLine="480" w:firstLineChars="200"/>
              <w:rPr>
                <w:rFonts w:hint="eastAsia"/>
                <w:sz w:val="24"/>
              </w:rPr>
            </w:pPr>
            <w:r>
              <w:rPr>
                <w:sz w:val="24"/>
              </w:rPr>
              <w:t>（1）</w:t>
            </w:r>
            <w:r>
              <w:rPr>
                <w:rFonts w:hint="eastAsia"/>
                <w:sz w:val="24"/>
              </w:rPr>
              <w:t>废水</w:t>
            </w:r>
            <w:r>
              <w:rPr>
                <w:sz w:val="24"/>
              </w:rPr>
              <w:t>：本项目产生的废水主要为</w:t>
            </w:r>
            <w:r>
              <w:rPr>
                <w:rFonts w:hint="eastAsia"/>
                <w:sz w:val="24"/>
              </w:rPr>
              <w:t>医疗废水、检验室废水、食堂废水、生活污水和洗涤废水等；</w:t>
            </w:r>
          </w:p>
          <w:p>
            <w:pPr>
              <w:spacing w:line="360" w:lineRule="auto"/>
              <w:ind w:firstLine="480" w:firstLineChars="200"/>
              <w:rPr>
                <w:sz w:val="24"/>
              </w:rPr>
            </w:pPr>
            <w:r>
              <w:rPr>
                <w:sz w:val="24"/>
              </w:rPr>
              <w:t>（2）废气：本项目产生的废气主要为</w:t>
            </w:r>
            <w:r>
              <w:rPr>
                <w:rFonts w:hint="eastAsia"/>
                <w:sz w:val="24"/>
              </w:rPr>
              <w:t>污水处理站废气、食堂油烟、备用发电机组废气和天然气燃烧废气等</w:t>
            </w:r>
            <w:r>
              <w:rPr>
                <w:sz w:val="24"/>
              </w:rPr>
              <w:t>；</w:t>
            </w:r>
          </w:p>
          <w:p>
            <w:pPr>
              <w:spacing w:line="360" w:lineRule="auto"/>
              <w:ind w:firstLine="480" w:firstLineChars="200"/>
              <w:rPr>
                <w:sz w:val="24"/>
              </w:rPr>
            </w:pPr>
            <w:r>
              <w:rPr>
                <w:sz w:val="24"/>
              </w:rPr>
              <w:t>（3）噪声：本项目产生的噪声主要为</w:t>
            </w:r>
            <w:r>
              <w:rPr>
                <w:rFonts w:hint="eastAsia"/>
                <w:sz w:val="24"/>
              </w:rPr>
              <w:t>车辆、就诊人员产生的噪声、设备风机运行噪声、设备安装噪声等；</w:t>
            </w:r>
          </w:p>
          <w:p>
            <w:pPr>
              <w:spacing w:line="360" w:lineRule="auto"/>
              <w:ind w:firstLine="480" w:firstLineChars="200"/>
              <w:rPr>
                <w:rFonts w:hint="eastAsia"/>
                <w:sz w:val="24"/>
              </w:rPr>
            </w:pPr>
            <w:r>
              <w:rPr>
                <w:sz w:val="24"/>
              </w:rPr>
              <w:t>（4）固废：本项目产生的固废主要为</w:t>
            </w:r>
            <w:r>
              <w:rPr>
                <w:rFonts w:hint="eastAsia"/>
                <w:sz w:val="24"/>
              </w:rPr>
              <w:t>生活垃圾、医疗废物及污水处理站污泥等。</w:t>
            </w:r>
          </w:p>
          <w:p>
            <w:pPr>
              <w:pStyle w:val="185"/>
              <w:ind w:firstLine="482"/>
              <w:rPr>
                <w:rFonts w:hint="eastAsia"/>
                <w:sz w:val="24"/>
                <w:lang w:eastAsia="zh-CN"/>
              </w:rPr>
            </w:pPr>
            <w:r>
              <w:rPr>
                <w:rFonts w:hint="eastAsia"/>
                <w:sz w:val="24"/>
              </w:rPr>
              <w:t>根据以上分析，项目主要污染物产生情况如下</w:t>
            </w:r>
            <w:r>
              <w:rPr>
                <w:rFonts w:hint="eastAsia"/>
                <w:sz w:val="24"/>
                <w:lang w:eastAsia="zh-CN"/>
              </w:rPr>
              <w:t>：</w:t>
            </w:r>
          </w:p>
          <w:p>
            <w:pPr>
              <w:autoSpaceDE w:val="0"/>
              <w:autoSpaceDN w:val="0"/>
              <w:adjustRightInd w:val="0"/>
              <w:spacing w:line="240" w:lineRule="auto"/>
              <w:jc w:val="center"/>
              <w:rPr>
                <w:b/>
                <w:szCs w:val="21"/>
              </w:rPr>
            </w:pPr>
            <w:r>
              <w:rPr>
                <w:b/>
                <w:szCs w:val="21"/>
              </w:rPr>
              <w:t>表2-</w:t>
            </w:r>
            <w:r>
              <w:rPr>
                <w:rFonts w:hint="eastAsia"/>
                <w:b/>
                <w:szCs w:val="21"/>
                <w:lang w:val="en-US" w:eastAsia="zh-CN"/>
              </w:rPr>
              <w:t>13</w:t>
            </w:r>
            <w:r>
              <w:rPr>
                <w:b/>
                <w:szCs w:val="21"/>
              </w:rPr>
              <w:t xml:space="preserve"> </w:t>
            </w:r>
            <w:r>
              <w:rPr>
                <w:rFonts w:hint="eastAsia"/>
                <w:b/>
                <w:szCs w:val="21"/>
              </w:rPr>
              <w:t xml:space="preserve"> 本项目污染物产生环节一览表</w:t>
            </w:r>
          </w:p>
          <w:tbl>
            <w:tblPr>
              <w:tblStyle w:val="41"/>
              <w:tblW w:w="80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3"/>
              <w:gridCol w:w="713"/>
              <w:gridCol w:w="1263"/>
              <w:gridCol w:w="1372"/>
              <w:gridCol w:w="1445"/>
              <w:gridCol w:w="28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1" w:hRule="atLeast"/>
                <w:jc w:val="center"/>
              </w:trPr>
              <w:tc>
                <w:tcPr>
                  <w:tcW w:w="353" w:type="dxa"/>
                  <w:tcBorders>
                    <w:bottom w:val="single" w:color="auto" w:sz="12" w:space="0"/>
                  </w:tcBorders>
                  <w:noWrap w:val="0"/>
                  <w:vAlign w:val="center"/>
                </w:tcPr>
                <w:p>
                  <w:pPr>
                    <w:adjustRightInd w:val="0"/>
                    <w:jc w:val="center"/>
                    <w:rPr>
                      <w:rFonts w:hint="eastAsia"/>
                      <w:b/>
                      <w:szCs w:val="21"/>
                    </w:rPr>
                  </w:pPr>
                  <w:r>
                    <w:rPr>
                      <w:rFonts w:hint="eastAsia"/>
                      <w:b/>
                      <w:szCs w:val="21"/>
                    </w:rPr>
                    <w:t>时段</w:t>
                  </w:r>
                </w:p>
              </w:tc>
              <w:tc>
                <w:tcPr>
                  <w:tcW w:w="1976" w:type="dxa"/>
                  <w:gridSpan w:val="2"/>
                  <w:tcBorders>
                    <w:bottom w:val="single" w:color="auto" w:sz="12" w:space="0"/>
                  </w:tcBorders>
                  <w:noWrap w:val="0"/>
                  <w:vAlign w:val="center"/>
                </w:tcPr>
                <w:p>
                  <w:pPr>
                    <w:adjustRightInd w:val="0"/>
                    <w:jc w:val="center"/>
                    <w:rPr>
                      <w:rFonts w:hint="eastAsia"/>
                      <w:b/>
                      <w:szCs w:val="21"/>
                    </w:rPr>
                  </w:pPr>
                  <w:r>
                    <w:rPr>
                      <w:rFonts w:hint="eastAsia"/>
                      <w:b/>
                      <w:szCs w:val="21"/>
                    </w:rPr>
                    <w:t>产污工序</w:t>
                  </w:r>
                </w:p>
              </w:tc>
              <w:tc>
                <w:tcPr>
                  <w:tcW w:w="1372" w:type="dxa"/>
                  <w:tcBorders>
                    <w:bottom w:val="single" w:color="auto" w:sz="12" w:space="0"/>
                  </w:tcBorders>
                  <w:noWrap w:val="0"/>
                  <w:vAlign w:val="center"/>
                </w:tcPr>
                <w:p>
                  <w:pPr>
                    <w:adjustRightInd w:val="0"/>
                    <w:jc w:val="center"/>
                    <w:rPr>
                      <w:rFonts w:hint="eastAsia"/>
                      <w:b/>
                      <w:szCs w:val="21"/>
                    </w:rPr>
                  </w:pPr>
                  <w:r>
                    <w:rPr>
                      <w:rFonts w:hint="eastAsia"/>
                      <w:b/>
                      <w:szCs w:val="21"/>
                    </w:rPr>
                    <w:t>产污位置</w:t>
                  </w:r>
                </w:p>
              </w:tc>
              <w:tc>
                <w:tcPr>
                  <w:tcW w:w="1445" w:type="dxa"/>
                  <w:tcBorders>
                    <w:bottom w:val="single" w:color="auto" w:sz="12" w:space="0"/>
                  </w:tcBorders>
                  <w:noWrap w:val="0"/>
                  <w:vAlign w:val="center"/>
                </w:tcPr>
                <w:p>
                  <w:pPr>
                    <w:adjustRightInd w:val="0"/>
                    <w:jc w:val="center"/>
                    <w:rPr>
                      <w:b/>
                      <w:szCs w:val="21"/>
                    </w:rPr>
                  </w:pPr>
                  <w:r>
                    <w:rPr>
                      <w:rFonts w:hint="eastAsia"/>
                      <w:b/>
                      <w:szCs w:val="21"/>
                    </w:rPr>
                    <w:t>主要污染物</w:t>
                  </w:r>
                </w:p>
              </w:tc>
              <w:tc>
                <w:tcPr>
                  <w:tcW w:w="2892" w:type="dxa"/>
                  <w:tcBorders>
                    <w:bottom w:val="single" w:color="auto" w:sz="12" w:space="0"/>
                  </w:tcBorders>
                  <w:noWrap w:val="0"/>
                  <w:vAlign w:val="center"/>
                </w:tcPr>
                <w:p>
                  <w:pPr>
                    <w:adjustRightInd w:val="0"/>
                    <w:jc w:val="center"/>
                    <w:rPr>
                      <w:b/>
                      <w:szCs w:val="21"/>
                    </w:rPr>
                  </w:pPr>
                  <w:r>
                    <w:rPr>
                      <w:rFonts w:hint="eastAsia"/>
                      <w:b/>
                      <w:szCs w:val="21"/>
                    </w:rPr>
                    <w:t>处理措施、去向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353" w:type="dxa"/>
                  <w:vMerge w:val="restart"/>
                  <w:tcBorders>
                    <w:top w:val="single" w:color="auto" w:sz="12" w:space="0"/>
                  </w:tcBorders>
                  <w:noWrap w:val="0"/>
                  <w:vAlign w:val="center"/>
                </w:tcPr>
                <w:p>
                  <w:pPr>
                    <w:adjustRightInd w:val="0"/>
                    <w:jc w:val="center"/>
                    <w:rPr>
                      <w:rFonts w:hint="eastAsia"/>
                      <w:bCs/>
                      <w:szCs w:val="21"/>
                    </w:rPr>
                  </w:pPr>
                  <w:r>
                    <w:rPr>
                      <w:rFonts w:hint="eastAsia"/>
                      <w:bCs/>
                      <w:szCs w:val="21"/>
                    </w:rPr>
                    <w:t>施工期</w:t>
                  </w:r>
                </w:p>
              </w:tc>
              <w:tc>
                <w:tcPr>
                  <w:tcW w:w="713" w:type="dxa"/>
                  <w:tcBorders>
                    <w:top w:val="single" w:color="auto" w:sz="12" w:space="0"/>
                    <w:bottom w:val="single" w:color="auto" w:sz="4" w:space="0"/>
                  </w:tcBorders>
                  <w:noWrap w:val="0"/>
                  <w:vAlign w:val="center"/>
                </w:tcPr>
                <w:p>
                  <w:pPr>
                    <w:adjustRightInd w:val="0"/>
                    <w:jc w:val="center"/>
                    <w:rPr>
                      <w:rFonts w:hint="eastAsia"/>
                      <w:bCs/>
                      <w:szCs w:val="21"/>
                    </w:rPr>
                  </w:pPr>
                  <w:r>
                    <w:rPr>
                      <w:rFonts w:hint="eastAsia"/>
                      <w:bCs/>
                      <w:szCs w:val="21"/>
                    </w:rPr>
                    <w:t>废水</w:t>
                  </w:r>
                </w:p>
              </w:tc>
              <w:tc>
                <w:tcPr>
                  <w:tcW w:w="1263" w:type="dxa"/>
                  <w:tcBorders>
                    <w:top w:val="single" w:color="auto" w:sz="12" w:space="0"/>
                    <w:bottom w:val="single" w:color="auto" w:sz="4" w:space="0"/>
                  </w:tcBorders>
                  <w:noWrap w:val="0"/>
                  <w:vAlign w:val="center"/>
                </w:tcPr>
                <w:p>
                  <w:pPr>
                    <w:adjustRightInd w:val="0"/>
                    <w:jc w:val="center"/>
                    <w:rPr>
                      <w:bCs/>
                      <w:szCs w:val="21"/>
                    </w:rPr>
                  </w:pPr>
                  <w:r>
                    <w:rPr>
                      <w:rFonts w:hint="eastAsia"/>
                      <w:bCs/>
                      <w:szCs w:val="21"/>
                    </w:rPr>
                    <w:t>生活污水</w:t>
                  </w:r>
                </w:p>
              </w:tc>
              <w:tc>
                <w:tcPr>
                  <w:tcW w:w="1372" w:type="dxa"/>
                  <w:vMerge w:val="restart"/>
                  <w:tcBorders>
                    <w:top w:val="single" w:color="auto" w:sz="12" w:space="0"/>
                  </w:tcBorders>
                  <w:noWrap w:val="0"/>
                  <w:vAlign w:val="center"/>
                </w:tcPr>
                <w:p>
                  <w:pPr>
                    <w:adjustRightInd w:val="0"/>
                    <w:jc w:val="center"/>
                    <w:rPr>
                      <w:rFonts w:hint="eastAsia"/>
                      <w:szCs w:val="21"/>
                    </w:rPr>
                  </w:pPr>
                  <w:r>
                    <w:rPr>
                      <w:rFonts w:hint="eastAsia"/>
                      <w:szCs w:val="21"/>
                    </w:rPr>
                    <w:t>施工场地</w:t>
                  </w:r>
                </w:p>
              </w:tc>
              <w:tc>
                <w:tcPr>
                  <w:tcW w:w="1445" w:type="dxa"/>
                  <w:tcBorders>
                    <w:top w:val="single" w:color="auto" w:sz="12" w:space="0"/>
                  </w:tcBorders>
                  <w:noWrap w:val="0"/>
                  <w:vAlign w:val="center"/>
                </w:tcPr>
                <w:p>
                  <w:pPr>
                    <w:adjustRightInd w:val="0"/>
                    <w:jc w:val="center"/>
                    <w:rPr>
                      <w:szCs w:val="21"/>
                    </w:rPr>
                  </w:pPr>
                  <w:r>
                    <w:rPr>
                      <w:rFonts w:hint="eastAsia"/>
                      <w:szCs w:val="21"/>
                    </w:rPr>
                    <w:t>CODr、氨氮等</w:t>
                  </w:r>
                </w:p>
              </w:tc>
              <w:tc>
                <w:tcPr>
                  <w:tcW w:w="2892" w:type="dxa"/>
                  <w:tcBorders>
                    <w:top w:val="single" w:color="auto" w:sz="12" w:space="0"/>
                  </w:tcBorders>
                  <w:noWrap w:val="0"/>
                  <w:vAlign w:val="center"/>
                </w:tcPr>
                <w:p>
                  <w:pPr>
                    <w:adjustRightInd w:val="0"/>
                    <w:jc w:val="center"/>
                    <w:rPr>
                      <w:rFonts w:hint="eastAsia"/>
                    </w:rPr>
                  </w:pPr>
                  <w:r>
                    <w:rPr>
                      <w:rFonts w:hint="eastAsia"/>
                      <w:bCs/>
                      <w:szCs w:val="21"/>
                      <w:lang w:eastAsia="zh-CN"/>
                    </w:rPr>
                    <w:t>依托</w:t>
                  </w:r>
                  <w:r>
                    <w:rPr>
                      <w:rFonts w:hint="eastAsia"/>
                      <w:bCs/>
                      <w:szCs w:val="21"/>
                    </w:rPr>
                    <w:t>院内污水处理站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353" w:type="dxa"/>
                  <w:vMerge w:val="continue"/>
                  <w:noWrap w:val="0"/>
                  <w:vAlign w:val="center"/>
                </w:tcPr>
                <w:p>
                  <w:pPr>
                    <w:adjustRightInd w:val="0"/>
                    <w:jc w:val="center"/>
                    <w:rPr>
                      <w:rFonts w:hint="eastAsia"/>
                      <w:bCs/>
                      <w:szCs w:val="21"/>
                    </w:rPr>
                  </w:pPr>
                </w:p>
              </w:tc>
              <w:tc>
                <w:tcPr>
                  <w:tcW w:w="713" w:type="dxa"/>
                  <w:tcBorders>
                    <w:top w:val="single" w:color="auto" w:sz="4" w:space="0"/>
                  </w:tcBorders>
                  <w:noWrap w:val="0"/>
                  <w:vAlign w:val="center"/>
                </w:tcPr>
                <w:p>
                  <w:pPr>
                    <w:adjustRightInd w:val="0"/>
                    <w:jc w:val="center"/>
                    <w:rPr>
                      <w:rFonts w:hint="eastAsia"/>
                      <w:bCs/>
                      <w:szCs w:val="21"/>
                    </w:rPr>
                  </w:pPr>
                  <w:r>
                    <w:rPr>
                      <w:rFonts w:hint="eastAsia"/>
                      <w:bCs/>
                      <w:szCs w:val="21"/>
                    </w:rPr>
                    <w:t>噪声</w:t>
                  </w:r>
                </w:p>
              </w:tc>
              <w:tc>
                <w:tcPr>
                  <w:tcW w:w="1263" w:type="dxa"/>
                  <w:tcBorders>
                    <w:top w:val="single" w:color="auto" w:sz="4" w:space="0"/>
                  </w:tcBorders>
                  <w:noWrap w:val="0"/>
                  <w:vAlign w:val="center"/>
                </w:tcPr>
                <w:p>
                  <w:pPr>
                    <w:adjustRightInd w:val="0"/>
                    <w:jc w:val="center"/>
                    <w:rPr>
                      <w:rFonts w:hint="eastAsia"/>
                      <w:bCs/>
                      <w:szCs w:val="21"/>
                    </w:rPr>
                  </w:pPr>
                  <w:r>
                    <w:rPr>
                      <w:rFonts w:hint="eastAsia"/>
                      <w:bCs/>
                      <w:szCs w:val="21"/>
                    </w:rPr>
                    <w:t>设备安装噪声</w:t>
                  </w:r>
                </w:p>
              </w:tc>
              <w:tc>
                <w:tcPr>
                  <w:tcW w:w="1372" w:type="dxa"/>
                  <w:vMerge w:val="continue"/>
                  <w:noWrap w:val="0"/>
                  <w:vAlign w:val="center"/>
                </w:tcPr>
                <w:p>
                  <w:pPr>
                    <w:adjustRightInd w:val="0"/>
                    <w:jc w:val="center"/>
                    <w:rPr>
                      <w:rFonts w:hint="eastAsia"/>
                      <w:szCs w:val="21"/>
                    </w:rPr>
                  </w:pPr>
                </w:p>
              </w:tc>
              <w:tc>
                <w:tcPr>
                  <w:tcW w:w="1445" w:type="dxa"/>
                  <w:noWrap w:val="0"/>
                  <w:vAlign w:val="center"/>
                </w:tcPr>
                <w:p>
                  <w:pPr>
                    <w:adjustRightInd w:val="0"/>
                    <w:jc w:val="center"/>
                    <w:rPr>
                      <w:rFonts w:hint="eastAsia"/>
                      <w:szCs w:val="21"/>
                    </w:rPr>
                  </w:pPr>
                  <w:r>
                    <w:rPr>
                      <w:rFonts w:hint="eastAsia"/>
                      <w:szCs w:val="21"/>
                    </w:rPr>
                    <w:t>噪声</w:t>
                  </w:r>
                </w:p>
              </w:tc>
              <w:tc>
                <w:tcPr>
                  <w:tcW w:w="2892" w:type="dxa"/>
                  <w:noWrap w:val="0"/>
                  <w:vAlign w:val="center"/>
                </w:tcPr>
                <w:p>
                  <w:pPr>
                    <w:adjustRightInd w:val="0"/>
                    <w:jc w:val="center"/>
                    <w:rPr>
                      <w:rFonts w:hint="eastAsia"/>
                      <w:bCs/>
                      <w:szCs w:val="21"/>
                    </w:rPr>
                  </w:pPr>
                  <w:r>
                    <w:rPr>
                      <w:rFonts w:hint="eastAsia"/>
                      <w:bCs/>
                      <w:szCs w:val="21"/>
                    </w:rPr>
                    <w:t>合理安排床位安装时间，</w:t>
                  </w:r>
                  <w:r>
                    <w:rPr>
                      <w:rFonts w:hint="eastAsia"/>
                      <w:szCs w:val="21"/>
                    </w:rPr>
                    <w:t>选用低噪声设备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353" w:type="dxa"/>
                  <w:vMerge w:val="continue"/>
                  <w:noWrap w:val="0"/>
                  <w:vAlign w:val="center"/>
                </w:tcPr>
                <w:p>
                  <w:pPr>
                    <w:widowControl/>
                    <w:jc w:val="left"/>
                    <w:rPr>
                      <w:bCs/>
                      <w:szCs w:val="21"/>
                    </w:rPr>
                  </w:pPr>
                </w:p>
              </w:tc>
              <w:tc>
                <w:tcPr>
                  <w:tcW w:w="713" w:type="dxa"/>
                  <w:noWrap w:val="0"/>
                  <w:vAlign w:val="center"/>
                </w:tcPr>
                <w:p>
                  <w:pPr>
                    <w:pStyle w:val="165"/>
                    <w:rPr>
                      <w:rFonts w:hint="eastAsia"/>
                    </w:rPr>
                  </w:pPr>
                  <w:r>
                    <w:rPr>
                      <w:rFonts w:hint="eastAsia"/>
                    </w:rPr>
                    <w:t>固废</w:t>
                  </w:r>
                </w:p>
              </w:tc>
              <w:tc>
                <w:tcPr>
                  <w:tcW w:w="1263" w:type="dxa"/>
                  <w:noWrap w:val="0"/>
                  <w:vAlign w:val="center"/>
                </w:tcPr>
                <w:p>
                  <w:pPr>
                    <w:pStyle w:val="165"/>
                    <w:rPr>
                      <w:rFonts w:hint="eastAsia"/>
                    </w:rPr>
                  </w:pPr>
                  <w:r>
                    <w:rPr>
                      <w:rFonts w:hint="eastAsia"/>
                      <w:lang w:eastAsia="zh-CN"/>
                    </w:rPr>
                    <w:t>建筑</w:t>
                  </w:r>
                  <w:r>
                    <w:rPr>
                      <w:rFonts w:hint="eastAsia"/>
                    </w:rPr>
                    <w:t>垃圾</w:t>
                  </w:r>
                </w:p>
              </w:tc>
              <w:tc>
                <w:tcPr>
                  <w:tcW w:w="1372" w:type="dxa"/>
                  <w:vMerge w:val="continue"/>
                  <w:noWrap w:val="0"/>
                  <w:vAlign w:val="center"/>
                </w:tcPr>
                <w:p>
                  <w:pPr>
                    <w:adjustRightInd w:val="0"/>
                    <w:jc w:val="center"/>
                    <w:rPr>
                      <w:rFonts w:hint="eastAsia"/>
                      <w:szCs w:val="21"/>
                    </w:rPr>
                  </w:pPr>
                </w:p>
              </w:tc>
              <w:tc>
                <w:tcPr>
                  <w:tcW w:w="1445" w:type="dxa"/>
                  <w:noWrap w:val="0"/>
                  <w:vAlign w:val="center"/>
                </w:tcPr>
                <w:p>
                  <w:pPr>
                    <w:adjustRightInd w:val="0"/>
                    <w:jc w:val="center"/>
                    <w:rPr>
                      <w:rFonts w:hint="eastAsia"/>
                      <w:szCs w:val="21"/>
                    </w:rPr>
                  </w:pPr>
                  <w:r>
                    <w:rPr>
                      <w:rFonts w:hint="eastAsia"/>
                      <w:szCs w:val="21"/>
                      <w:lang w:eastAsia="zh-CN"/>
                    </w:rPr>
                    <w:t>建筑</w:t>
                  </w:r>
                  <w:r>
                    <w:rPr>
                      <w:rFonts w:hint="eastAsia"/>
                      <w:szCs w:val="21"/>
                    </w:rPr>
                    <w:t>垃圾</w:t>
                  </w:r>
                </w:p>
              </w:tc>
              <w:tc>
                <w:tcPr>
                  <w:tcW w:w="2892" w:type="dxa"/>
                  <w:noWrap w:val="0"/>
                  <w:vAlign w:val="center"/>
                </w:tcPr>
                <w:p>
                  <w:pPr>
                    <w:pStyle w:val="184"/>
                    <w:rPr>
                      <w:kern w:val="2"/>
                    </w:rPr>
                  </w:pPr>
                  <w:r>
                    <w:rPr>
                      <w:rFonts w:hint="eastAsia"/>
                      <w:bCs/>
                    </w:rPr>
                    <w:t>收集后交环卫部门统一处理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353" w:type="dxa"/>
                  <w:vMerge w:val="restart"/>
                  <w:noWrap w:val="0"/>
                  <w:vAlign w:val="center"/>
                </w:tcPr>
                <w:p>
                  <w:pPr>
                    <w:adjustRightInd w:val="0"/>
                    <w:jc w:val="center"/>
                    <w:rPr>
                      <w:rFonts w:hint="eastAsia"/>
                      <w:szCs w:val="21"/>
                    </w:rPr>
                  </w:pPr>
                  <w:r>
                    <w:rPr>
                      <w:rFonts w:hint="eastAsia"/>
                      <w:szCs w:val="21"/>
                    </w:rPr>
                    <w:t>营运期</w:t>
                  </w:r>
                </w:p>
              </w:tc>
              <w:tc>
                <w:tcPr>
                  <w:tcW w:w="713" w:type="dxa"/>
                  <w:vMerge w:val="restart"/>
                  <w:noWrap w:val="0"/>
                  <w:vAlign w:val="center"/>
                </w:tcPr>
                <w:p>
                  <w:pPr>
                    <w:pStyle w:val="129"/>
                    <w:rPr>
                      <w:rFonts w:hint="eastAsia"/>
                    </w:rPr>
                  </w:pPr>
                  <w:r>
                    <w:rPr>
                      <w:rFonts w:hint="eastAsia"/>
                    </w:rPr>
                    <w:t>废水</w:t>
                  </w:r>
                </w:p>
              </w:tc>
              <w:tc>
                <w:tcPr>
                  <w:tcW w:w="1263" w:type="dxa"/>
                  <w:noWrap w:val="0"/>
                  <w:vAlign w:val="center"/>
                </w:tcPr>
                <w:p>
                  <w:pPr>
                    <w:pStyle w:val="129"/>
                  </w:pPr>
                  <w:r>
                    <w:rPr>
                      <w:rFonts w:hint="eastAsia"/>
                    </w:rPr>
                    <w:t>医疗废水</w:t>
                  </w:r>
                </w:p>
              </w:tc>
              <w:tc>
                <w:tcPr>
                  <w:tcW w:w="1372" w:type="dxa"/>
                  <w:noWrap w:val="0"/>
                  <w:vAlign w:val="center"/>
                </w:tcPr>
                <w:p>
                  <w:pPr>
                    <w:widowControl/>
                    <w:jc w:val="center"/>
                    <w:rPr>
                      <w:szCs w:val="21"/>
                    </w:rPr>
                  </w:pPr>
                  <w:r>
                    <w:rPr>
                      <w:rFonts w:hint="eastAsia"/>
                      <w:szCs w:val="21"/>
                    </w:rPr>
                    <w:t>住院部、门诊楼</w:t>
                  </w:r>
                </w:p>
              </w:tc>
              <w:tc>
                <w:tcPr>
                  <w:tcW w:w="1445" w:type="dxa"/>
                  <w:vMerge w:val="restart"/>
                  <w:noWrap w:val="0"/>
                  <w:vAlign w:val="center"/>
                </w:tcPr>
                <w:p>
                  <w:pPr>
                    <w:adjustRightInd w:val="0"/>
                    <w:jc w:val="center"/>
                    <w:rPr>
                      <w:szCs w:val="21"/>
                    </w:rPr>
                  </w:pPr>
                  <w:r>
                    <w:rPr>
                      <w:kern w:val="0"/>
                      <w:szCs w:val="21"/>
                      <w:lang w:bidi="ar"/>
                    </w:rPr>
                    <w:t>COD</w:t>
                  </w:r>
                  <w:r>
                    <w:rPr>
                      <w:rFonts w:hint="eastAsia" w:ascii="宋体" w:hAnsi="宋体" w:cs="宋体"/>
                      <w:kern w:val="0"/>
                      <w:szCs w:val="21"/>
                      <w:lang w:bidi="ar"/>
                    </w:rPr>
                    <w:t>、</w:t>
                  </w:r>
                  <w:r>
                    <w:rPr>
                      <w:kern w:val="0"/>
                      <w:szCs w:val="21"/>
                      <w:lang w:bidi="ar"/>
                    </w:rPr>
                    <w:t>BOD</w:t>
                  </w:r>
                  <w:r>
                    <w:rPr>
                      <w:kern w:val="0"/>
                      <w:szCs w:val="21"/>
                      <w:vertAlign w:val="subscript"/>
                      <w:lang w:bidi="ar"/>
                    </w:rPr>
                    <w:t>5</w:t>
                  </w:r>
                  <w:r>
                    <w:rPr>
                      <w:rFonts w:hint="eastAsia" w:ascii="宋体" w:hAnsi="宋体" w:cs="宋体"/>
                      <w:kern w:val="0"/>
                      <w:szCs w:val="21"/>
                      <w:lang w:bidi="ar"/>
                    </w:rPr>
                    <w:t>、氨氮、动植物油、</w:t>
                  </w:r>
                  <w:r>
                    <w:rPr>
                      <w:kern w:val="0"/>
                      <w:szCs w:val="21"/>
                      <w:lang w:bidi="ar"/>
                    </w:rPr>
                    <w:t>SS</w:t>
                  </w:r>
                  <w:r>
                    <w:rPr>
                      <w:rFonts w:hint="eastAsia"/>
                      <w:kern w:val="0"/>
                      <w:szCs w:val="21"/>
                      <w:lang w:bidi="ar"/>
                    </w:rPr>
                    <w:t>、</w:t>
                  </w:r>
                  <w:r>
                    <w:rPr>
                      <w:rFonts w:hint="eastAsia" w:ascii="宋体" w:hAnsi="宋体" w:cs="宋体"/>
                      <w:kern w:val="0"/>
                      <w:szCs w:val="21"/>
                      <w:lang w:bidi="ar"/>
                    </w:rPr>
                    <w:t>粪大肠菌群等</w:t>
                  </w:r>
                </w:p>
              </w:tc>
              <w:tc>
                <w:tcPr>
                  <w:tcW w:w="2892" w:type="dxa"/>
                  <w:vMerge w:val="restart"/>
                  <w:noWrap w:val="0"/>
                  <w:vAlign w:val="center"/>
                </w:tcPr>
                <w:p>
                  <w:pPr>
                    <w:adjustRightInd w:val="0"/>
                    <w:jc w:val="center"/>
                    <w:rPr>
                      <w:rFonts w:hint="eastAsia" w:eastAsia="宋体"/>
                      <w:bCs/>
                      <w:szCs w:val="21"/>
                      <w:lang w:eastAsia="zh-CN"/>
                    </w:rPr>
                  </w:pPr>
                  <w:r>
                    <w:rPr>
                      <w:rFonts w:hint="eastAsia"/>
                      <w:bCs/>
                      <w:szCs w:val="21"/>
                    </w:rPr>
                    <w:t>院内污水处理站处理达到《医疗机构水污染物排放标准》（GB18466-2005）表2中预处理标准后排入市政污水管网</w:t>
                  </w:r>
                  <w:r>
                    <w:rPr>
                      <w:rFonts w:hint="eastAsia"/>
                      <w:bCs/>
                      <w:szCs w:val="21"/>
                      <w:lang w:eastAsia="zh-CN"/>
                    </w:rPr>
                    <w:t>进入乐山市第三污水处理厂处理达标后排放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353" w:type="dxa"/>
                  <w:vMerge w:val="continue"/>
                  <w:noWrap w:val="0"/>
                  <w:vAlign w:val="center"/>
                </w:tcPr>
                <w:p>
                  <w:pPr>
                    <w:adjustRightInd w:val="0"/>
                    <w:jc w:val="center"/>
                    <w:rPr>
                      <w:szCs w:val="21"/>
                    </w:rPr>
                  </w:pPr>
                </w:p>
              </w:tc>
              <w:tc>
                <w:tcPr>
                  <w:tcW w:w="713" w:type="dxa"/>
                  <w:vMerge w:val="continue"/>
                  <w:noWrap w:val="0"/>
                  <w:vAlign w:val="center"/>
                </w:tcPr>
                <w:p>
                  <w:pPr>
                    <w:pStyle w:val="129"/>
                    <w:rPr>
                      <w:rFonts w:hint="eastAsia"/>
                    </w:rPr>
                  </w:pPr>
                </w:p>
              </w:tc>
              <w:tc>
                <w:tcPr>
                  <w:tcW w:w="1263" w:type="dxa"/>
                  <w:noWrap w:val="0"/>
                  <w:vAlign w:val="center"/>
                </w:tcPr>
                <w:p>
                  <w:pPr>
                    <w:pStyle w:val="129"/>
                  </w:pPr>
                  <w:r>
                    <w:rPr>
                      <w:rFonts w:hint="eastAsia"/>
                    </w:rPr>
                    <w:t>食堂废水</w:t>
                  </w:r>
                </w:p>
              </w:tc>
              <w:tc>
                <w:tcPr>
                  <w:tcW w:w="1372" w:type="dxa"/>
                  <w:noWrap w:val="0"/>
                  <w:vAlign w:val="center"/>
                </w:tcPr>
                <w:p>
                  <w:pPr>
                    <w:adjustRightInd w:val="0"/>
                    <w:jc w:val="center"/>
                    <w:rPr>
                      <w:rFonts w:hint="eastAsia"/>
                      <w:szCs w:val="21"/>
                    </w:rPr>
                  </w:pPr>
                  <w:r>
                    <w:rPr>
                      <w:rFonts w:hint="eastAsia"/>
                      <w:szCs w:val="21"/>
                    </w:rPr>
                    <w:t>食堂</w:t>
                  </w:r>
                </w:p>
              </w:tc>
              <w:tc>
                <w:tcPr>
                  <w:tcW w:w="1445" w:type="dxa"/>
                  <w:vMerge w:val="continue"/>
                  <w:noWrap w:val="0"/>
                  <w:vAlign w:val="center"/>
                </w:tcPr>
                <w:p>
                  <w:pPr>
                    <w:adjustRightInd w:val="0"/>
                    <w:jc w:val="center"/>
                    <w:rPr>
                      <w:szCs w:val="21"/>
                    </w:rPr>
                  </w:pPr>
                </w:p>
              </w:tc>
              <w:tc>
                <w:tcPr>
                  <w:tcW w:w="2892" w:type="dxa"/>
                  <w:vMerge w:val="continue"/>
                  <w:noWrap w:val="0"/>
                  <w:vAlign w:val="center"/>
                </w:tcPr>
                <w:p>
                  <w:pPr>
                    <w:adjustRightInd w:val="0"/>
                    <w:jc w:val="center"/>
                    <w:rPr>
                      <w:rFonts w:hint="eastAsia"/>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353" w:type="dxa"/>
                  <w:vMerge w:val="continue"/>
                  <w:noWrap w:val="0"/>
                  <w:vAlign w:val="center"/>
                </w:tcPr>
                <w:p>
                  <w:pPr>
                    <w:adjustRightInd w:val="0"/>
                    <w:jc w:val="center"/>
                    <w:rPr>
                      <w:szCs w:val="21"/>
                    </w:rPr>
                  </w:pPr>
                </w:p>
              </w:tc>
              <w:tc>
                <w:tcPr>
                  <w:tcW w:w="713" w:type="dxa"/>
                  <w:vMerge w:val="continue"/>
                  <w:noWrap w:val="0"/>
                  <w:vAlign w:val="center"/>
                </w:tcPr>
                <w:p>
                  <w:pPr>
                    <w:pStyle w:val="129"/>
                    <w:rPr>
                      <w:rFonts w:hint="eastAsia"/>
                    </w:rPr>
                  </w:pPr>
                </w:p>
              </w:tc>
              <w:tc>
                <w:tcPr>
                  <w:tcW w:w="1263" w:type="dxa"/>
                  <w:noWrap w:val="0"/>
                  <w:vAlign w:val="center"/>
                </w:tcPr>
                <w:p>
                  <w:pPr>
                    <w:pStyle w:val="129"/>
                    <w:rPr>
                      <w:rFonts w:hint="eastAsia"/>
                    </w:rPr>
                  </w:pPr>
                  <w:r>
                    <w:rPr>
                      <w:rFonts w:hint="eastAsia"/>
                    </w:rPr>
                    <w:t>生活污水</w:t>
                  </w:r>
                </w:p>
              </w:tc>
              <w:tc>
                <w:tcPr>
                  <w:tcW w:w="1372" w:type="dxa"/>
                  <w:noWrap w:val="0"/>
                  <w:vAlign w:val="center"/>
                </w:tcPr>
                <w:p>
                  <w:pPr>
                    <w:adjustRightInd w:val="0"/>
                    <w:jc w:val="center"/>
                    <w:rPr>
                      <w:rFonts w:hint="eastAsia"/>
                      <w:szCs w:val="21"/>
                    </w:rPr>
                  </w:pPr>
                  <w:r>
                    <w:rPr>
                      <w:rFonts w:hint="eastAsia"/>
                      <w:szCs w:val="21"/>
                    </w:rPr>
                    <w:t>员工宿舍楼</w:t>
                  </w:r>
                </w:p>
              </w:tc>
              <w:tc>
                <w:tcPr>
                  <w:tcW w:w="1445" w:type="dxa"/>
                  <w:vMerge w:val="continue"/>
                  <w:noWrap w:val="0"/>
                  <w:vAlign w:val="center"/>
                </w:tcPr>
                <w:p>
                  <w:pPr>
                    <w:adjustRightInd w:val="0"/>
                    <w:jc w:val="center"/>
                    <w:rPr>
                      <w:szCs w:val="21"/>
                    </w:rPr>
                  </w:pPr>
                </w:p>
              </w:tc>
              <w:tc>
                <w:tcPr>
                  <w:tcW w:w="2892" w:type="dxa"/>
                  <w:vMerge w:val="continue"/>
                  <w:noWrap w:val="0"/>
                  <w:vAlign w:val="center"/>
                </w:tcPr>
                <w:p>
                  <w:pPr>
                    <w:adjustRightInd w:val="0"/>
                    <w:jc w:val="center"/>
                    <w:rPr>
                      <w:rFonts w:hint="eastAsia"/>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53" w:type="dxa"/>
                  <w:vMerge w:val="continue"/>
                  <w:noWrap w:val="0"/>
                  <w:vAlign w:val="center"/>
                </w:tcPr>
                <w:p>
                  <w:pPr>
                    <w:adjustRightInd w:val="0"/>
                    <w:jc w:val="center"/>
                    <w:rPr>
                      <w:rFonts w:hint="eastAsia"/>
                      <w:szCs w:val="21"/>
                    </w:rPr>
                  </w:pPr>
                </w:p>
              </w:tc>
              <w:tc>
                <w:tcPr>
                  <w:tcW w:w="713" w:type="dxa"/>
                  <w:vMerge w:val="continue"/>
                  <w:noWrap w:val="0"/>
                  <w:vAlign w:val="center"/>
                </w:tcPr>
                <w:p>
                  <w:pPr>
                    <w:pStyle w:val="129"/>
                    <w:rPr>
                      <w:rFonts w:hint="eastAsia"/>
                    </w:rPr>
                  </w:pPr>
                </w:p>
              </w:tc>
              <w:tc>
                <w:tcPr>
                  <w:tcW w:w="1263" w:type="dxa"/>
                  <w:noWrap w:val="0"/>
                  <w:vAlign w:val="center"/>
                </w:tcPr>
                <w:p>
                  <w:pPr>
                    <w:pStyle w:val="129"/>
                    <w:rPr>
                      <w:rFonts w:hint="eastAsia"/>
                    </w:rPr>
                  </w:pPr>
                  <w:r>
                    <w:rPr>
                      <w:rFonts w:hint="eastAsia"/>
                    </w:rPr>
                    <w:t>洗涤废水</w:t>
                  </w:r>
                </w:p>
              </w:tc>
              <w:tc>
                <w:tcPr>
                  <w:tcW w:w="1372" w:type="dxa"/>
                  <w:noWrap w:val="0"/>
                  <w:vAlign w:val="center"/>
                </w:tcPr>
                <w:p>
                  <w:pPr>
                    <w:adjustRightInd w:val="0"/>
                    <w:jc w:val="center"/>
                    <w:rPr>
                      <w:rFonts w:hint="eastAsia"/>
                      <w:szCs w:val="21"/>
                    </w:rPr>
                  </w:pPr>
                  <w:r>
                    <w:rPr>
                      <w:rFonts w:hint="eastAsia"/>
                      <w:szCs w:val="21"/>
                    </w:rPr>
                    <w:t>洗衣房</w:t>
                  </w:r>
                </w:p>
              </w:tc>
              <w:tc>
                <w:tcPr>
                  <w:tcW w:w="1445" w:type="dxa"/>
                  <w:vMerge w:val="continue"/>
                  <w:noWrap w:val="0"/>
                  <w:vAlign w:val="center"/>
                </w:tcPr>
                <w:p>
                  <w:pPr>
                    <w:adjustRightInd w:val="0"/>
                    <w:jc w:val="center"/>
                    <w:rPr>
                      <w:szCs w:val="21"/>
                    </w:rPr>
                  </w:pPr>
                </w:p>
              </w:tc>
              <w:tc>
                <w:tcPr>
                  <w:tcW w:w="2892" w:type="dxa"/>
                  <w:vMerge w:val="continue"/>
                  <w:noWrap w:val="0"/>
                  <w:vAlign w:val="center"/>
                </w:tcPr>
                <w:p>
                  <w:pPr>
                    <w:adjustRightInd w:val="0"/>
                    <w:jc w:val="center"/>
                    <w:rPr>
                      <w:rFonts w:hint="eastAsia"/>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353" w:type="dxa"/>
                  <w:vMerge w:val="continue"/>
                  <w:noWrap w:val="0"/>
                  <w:vAlign w:val="center"/>
                </w:tcPr>
                <w:p>
                  <w:pPr>
                    <w:widowControl/>
                    <w:jc w:val="left"/>
                    <w:rPr>
                      <w:szCs w:val="21"/>
                    </w:rPr>
                  </w:pPr>
                </w:p>
              </w:tc>
              <w:tc>
                <w:tcPr>
                  <w:tcW w:w="713" w:type="dxa"/>
                  <w:vMerge w:val="restart"/>
                  <w:noWrap w:val="0"/>
                  <w:vAlign w:val="center"/>
                </w:tcPr>
                <w:p>
                  <w:pPr>
                    <w:pStyle w:val="165"/>
                    <w:rPr>
                      <w:rFonts w:hint="eastAsia"/>
                    </w:rPr>
                  </w:pPr>
                  <w:r>
                    <w:rPr>
                      <w:rFonts w:hint="eastAsia"/>
                    </w:rPr>
                    <w:t>废气</w:t>
                  </w:r>
                </w:p>
              </w:tc>
              <w:tc>
                <w:tcPr>
                  <w:tcW w:w="1263" w:type="dxa"/>
                  <w:noWrap w:val="0"/>
                  <w:vAlign w:val="center"/>
                </w:tcPr>
                <w:p>
                  <w:pPr>
                    <w:pStyle w:val="165"/>
                    <w:rPr>
                      <w:rFonts w:hint="eastAsia"/>
                    </w:rPr>
                  </w:pPr>
                  <w:r>
                    <w:rPr>
                      <w:rFonts w:hint="eastAsia"/>
                    </w:rPr>
                    <w:t>污水处理站废气</w:t>
                  </w:r>
                </w:p>
              </w:tc>
              <w:tc>
                <w:tcPr>
                  <w:tcW w:w="1372" w:type="dxa"/>
                  <w:noWrap w:val="0"/>
                  <w:vAlign w:val="center"/>
                </w:tcPr>
                <w:p>
                  <w:pPr>
                    <w:adjustRightInd w:val="0"/>
                    <w:jc w:val="center"/>
                    <w:rPr>
                      <w:rFonts w:hint="eastAsia"/>
                      <w:szCs w:val="21"/>
                    </w:rPr>
                  </w:pPr>
                  <w:r>
                    <w:rPr>
                      <w:rFonts w:hint="eastAsia"/>
                      <w:szCs w:val="21"/>
                    </w:rPr>
                    <w:t>院内污水处理站</w:t>
                  </w:r>
                </w:p>
              </w:tc>
              <w:tc>
                <w:tcPr>
                  <w:tcW w:w="1445" w:type="dxa"/>
                  <w:noWrap w:val="0"/>
                  <w:vAlign w:val="center"/>
                </w:tcPr>
                <w:p>
                  <w:pPr>
                    <w:adjustRightInd w:val="0"/>
                    <w:jc w:val="center"/>
                    <w:rPr>
                      <w:szCs w:val="21"/>
                    </w:rPr>
                  </w:pPr>
                  <w:r>
                    <w:rPr>
                      <w:rFonts w:hint="eastAsia"/>
                      <w:szCs w:val="21"/>
                    </w:rPr>
                    <w:t>氨气、硫化氢、臭气浓度</w:t>
                  </w:r>
                </w:p>
              </w:tc>
              <w:tc>
                <w:tcPr>
                  <w:tcW w:w="2892" w:type="dxa"/>
                  <w:noWrap w:val="0"/>
                  <w:vAlign w:val="center"/>
                </w:tcPr>
                <w:p>
                  <w:pPr>
                    <w:adjustRightInd w:val="0"/>
                    <w:jc w:val="center"/>
                    <w:rPr>
                      <w:rFonts w:hint="eastAsia"/>
                      <w:bCs/>
                      <w:szCs w:val="21"/>
                    </w:rPr>
                  </w:pPr>
                  <w:r>
                    <w:rPr>
                      <w:rFonts w:hint="eastAsia"/>
                      <w:bCs/>
                      <w:szCs w:val="21"/>
                    </w:rPr>
                    <w:t>地埋式污水处理站，盖板封闭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353" w:type="dxa"/>
                  <w:vMerge w:val="continue"/>
                  <w:noWrap w:val="0"/>
                  <w:vAlign w:val="center"/>
                </w:tcPr>
                <w:p>
                  <w:pPr>
                    <w:widowControl/>
                    <w:jc w:val="left"/>
                    <w:rPr>
                      <w:szCs w:val="21"/>
                    </w:rPr>
                  </w:pPr>
                </w:p>
              </w:tc>
              <w:tc>
                <w:tcPr>
                  <w:tcW w:w="713" w:type="dxa"/>
                  <w:vMerge w:val="continue"/>
                  <w:noWrap w:val="0"/>
                  <w:vAlign w:val="center"/>
                </w:tcPr>
                <w:p>
                  <w:pPr>
                    <w:pStyle w:val="165"/>
                    <w:rPr>
                      <w:rFonts w:hint="eastAsia"/>
                    </w:rPr>
                  </w:pPr>
                </w:p>
              </w:tc>
              <w:tc>
                <w:tcPr>
                  <w:tcW w:w="1263" w:type="dxa"/>
                  <w:noWrap w:val="0"/>
                  <w:vAlign w:val="center"/>
                </w:tcPr>
                <w:p>
                  <w:pPr>
                    <w:pStyle w:val="165"/>
                    <w:rPr>
                      <w:rFonts w:hint="eastAsia"/>
                    </w:rPr>
                  </w:pPr>
                  <w:r>
                    <w:rPr>
                      <w:rFonts w:hint="eastAsia"/>
                    </w:rPr>
                    <w:t>食堂油烟</w:t>
                  </w:r>
                </w:p>
              </w:tc>
              <w:tc>
                <w:tcPr>
                  <w:tcW w:w="1372" w:type="dxa"/>
                  <w:vMerge w:val="restart"/>
                  <w:noWrap w:val="0"/>
                  <w:vAlign w:val="center"/>
                </w:tcPr>
                <w:p>
                  <w:pPr>
                    <w:adjustRightInd w:val="0"/>
                    <w:jc w:val="center"/>
                    <w:rPr>
                      <w:rFonts w:hint="eastAsia"/>
                      <w:szCs w:val="21"/>
                    </w:rPr>
                  </w:pPr>
                  <w:r>
                    <w:rPr>
                      <w:rFonts w:hint="eastAsia"/>
                      <w:szCs w:val="21"/>
                    </w:rPr>
                    <w:t>食堂厨房</w:t>
                  </w:r>
                </w:p>
              </w:tc>
              <w:tc>
                <w:tcPr>
                  <w:tcW w:w="1445" w:type="dxa"/>
                  <w:noWrap w:val="0"/>
                  <w:vAlign w:val="center"/>
                </w:tcPr>
                <w:p>
                  <w:pPr>
                    <w:adjustRightInd w:val="0"/>
                    <w:jc w:val="center"/>
                    <w:rPr>
                      <w:rFonts w:hint="eastAsia"/>
                      <w:szCs w:val="21"/>
                    </w:rPr>
                  </w:pPr>
                  <w:r>
                    <w:rPr>
                      <w:rFonts w:hint="eastAsia"/>
                      <w:szCs w:val="21"/>
                    </w:rPr>
                    <w:t>油烟</w:t>
                  </w:r>
                </w:p>
              </w:tc>
              <w:tc>
                <w:tcPr>
                  <w:tcW w:w="2892" w:type="dxa"/>
                  <w:noWrap w:val="0"/>
                  <w:vAlign w:val="center"/>
                </w:tcPr>
                <w:p>
                  <w:pPr>
                    <w:adjustRightInd w:val="0"/>
                    <w:jc w:val="center"/>
                    <w:rPr>
                      <w:rFonts w:hint="eastAsia"/>
                      <w:bCs/>
                      <w:szCs w:val="21"/>
                    </w:rPr>
                  </w:pPr>
                  <w:r>
                    <w:rPr>
                      <w:rFonts w:hint="eastAsia"/>
                      <w:bCs/>
                      <w:szCs w:val="21"/>
                    </w:rPr>
                    <w:t>油烟机处理后排放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353" w:type="dxa"/>
                  <w:vMerge w:val="continue"/>
                  <w:noWrap w:val="0"/>
                  <w:vAlign w:val="center"/>
                </w:tcPr>
                <w:p>
                  <w:pPr>
                    <w:widowControl/>
                    <w:jc w:val="left"/>
                    <w:rPr>
                      <w:szCs w:val="21"/>
                    </w:rPr>
                  </w:pPr>
                </w:p>
              </w:tc>
              <w:tc>
                <w:tcPr>
                  <w:tcW w:w="713" w:type="dxa"/>
                  <w:vMerge w:val="continue"/>
                  <w:noWrap w:val="0"/>
                  <w:vAlign w:val="center"/>
                </w:tcPr>
                <w:p>
                  <w:pPr>
                    <w:pStyle w:val="129"/>
                    <w:rPr>
                      <w:rFonts w:hint="eastAsia"/>
                    </w:rPr>
                  </w:pPr>
                </w:p>
              </w:tc>
              <w:tc>
                <w:tcPr>
                  <w:tcW w:w="1263" w:type="dxa"/>
                  <w:noWrap w:val="0"/>
                  <w:vAlign w:val="center"/>
                </w:tcPr>
                <w:p>
                  <w:pPr>
                    <w:pStyle w:val="129"/>
                  </w:pPr>
                  <w:r>
                    <w:rPr>
                      <w:rFonts w:hint="eastAsia"/>
                    </w:rPr>
                    <w:t>天然气燃烧废气</w:t>
                  </w:r>
                </w:p>
              </w:tc>
              <w:tc>
                <w:tcPr>
                  <w:tcW w:w="1372" w:type="dxa"/>
                  <w:vMerge w:val="continue"/>
                  <w:noWrap w:val="0"/>
                  <w:vAlign w:val="center"/>
                </w:tcPr>
                <w:p>
                  <w:pPr>
                    <w:adjustRightInd w:val="0"/>
                    <w:jc w:val="center"/>
                    <w:rPr>
                      <w:rFonts w:hint="eastAsia"/>
                      <w:szCs w:val="21"/>
                    </w:rPr>
                  </w:pPr>
                </w:p>
              </w:tc>
              <w:tc>
                <w:tcPr>
                  <w:tcW w:w="1445" w:type="dxa"/>
                  <w:vMerge w:val="restart"/>
                  <w:noWrap w:val="0"/>
                  <w:vAlign w:val="center"/>
                </w:tcPr>
                <w:p>
                  <w:pPr>
                    <w:adjustRightInd w:val="0"/>
                    <w:jc w:val="center"/>
                    <w:rPr>
                      <w:szCs w:val="21"/>
                    </w:rPr>
                  </w:pPr>
                  <w:r>
                    <w:rPr>
                      <w:rFonts w:hint="eastAsia"/>
                      <w:szCs w:val="21"/>
                    </w:rPr>
                    <w:t>烟尘、SO</w:t>
                  </w:r>
                  <w:r>
                    <w:rPr>
                      <w:rFonts w:hint="eastAsia"/>
                      <w:szCs w:val="21"/>
                      <w:vertAlign w:val="subscript"/>
                    </w:rPr>
                    <w:t>2</w:t>
                  </w:r>
                  <w:r>
                    <w:rPr>
                      <w:rFonts w:hint="eastAsia"/>
                      <w:szCs w:val="21"/>
                    </w:rPr>
                    <w:t>、NOx等</w:t>
                  </w:r>
                </w:p>
              </w:tc>
              <w:tc>
                <w:tcPr>
                  <w:tcW w:w="2892" w:type="dxa"/>
                  <w:noWrap w:val="0"/>
                  <w:vAlign w:val="center"/>
                </w:tcPr>
                <w:p>
                  <w:pPr>
                    <w:adjustRightInd w:val="0"/>
                    <w:jc w:val="center"/>
                    <w:rPr>
                      <w:bCs/>
                      <w:szCs w:val="21"/>
                    </w:rPr>
                  </w:pPr>
                  <w:r>
                    <w:rPr>
                      <w:rFonts w:hint="eastAsia"/>
                      <w:bCs/>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353" w:type="dxa"/>
                  <w:vMerge w:val="continue"/>
                  <w:noWrap w:val="0"/>
                  <w:vAlign w:val="center"/>
                </w:tcPr>
                <w:p>
                  <w:pPr>
                    <w:widowControl/>
                    <w:jc w:val="left"/>
                    <w:rPr>
                      <w:szCs w:val="21"/>
                    </w:rPr>
                  </w:pPr>
                </w:p>
              </w:tc>
              <w:tc>
                <w:tcPr>
                  <w:tcW w:w="713" w:type="dxa"/>
                  <w:vMerge w:val="continue"/>
                  <w:noWrap w:val="0"/>
                  <w:vAlign w:val="center"/>
                </w:tcPr>
                <w:p>
                  <w:pPr>
                    <w:pStyle w:val="129"/>
                    <w:rPr>
                      <w:rFonts w:hint="eastAsia"/>
                    </w:rPr>
                  </w:pPr>
                </w:p>
              </w:tc>
              <w:tc>
                <w:tcPr>
                  <w:tcW w:w="1263" w:type="dxa"/>
                  <w:noWrap w:val="0"/>
                  <w:vAlign w:val="center"/>
                </w:tcPr>
                <w:p>
                  <w:pPr>
                    <w:pStyle w:val="129"/>
                  </w:pPr>
                  <w:r>
                    <w:rPr>
                      <w:rFonts w:hint="eastAsia"/>
                    </w:rPr>
                    <w:t>备用发电机组废气</w:t>
                  </w:r>
                </w:p>
              </w:tc>
              <w:tc>
                <w:tcPr>
                  <w:tcW w:w="1372" w:type="dxa"/>
                  <w:noWrap w:val="0"/>
                  <w:vAlign w:val="center"/>
                </w:tcPr>
                <w:p>
                  <w:pPr>
                    <w:adjustRightInd w:val="0"/>
                    <w:jc w:val="center"/>
                    <w:rPr>
                      <w:rFonts w:hint="eastAsia"/>
                      <w:szCs w:val="21"/>
                    </w:rPr>
                  </w:pPr>
                  <w:r>
                    <w:rPr>
                      <w:rFonts w:hint="eastAsia"/>
                      <w:szCs w:val="21"/>
                    </w:rPr>
                    <w:t>备用电源机房</w:t>
                  </w:r>
                </w:p>
              </w:tc>
              <w:tc>
                <w:tcPr>
                  <w:tcW w:w="1445" w:type="dxa"/>
                  <w:vMerge w:val="continue"/>
                  <w:noWrap w:val="0"/>
                  <w:vAlign w:val="center"/>
                </w:tcPr>
                <w:p>
                  <w:pPr>
                    <w:adjustRightInd w:val="0"/>
                    <w:jc w:val="center"/>
                    <w:rPr>
                      <w:rFonts w:hint="eastAsia"/>
                      <w:szCs w:val="21"/>
                    </w:rPr>
                  </w:pPr>
                </w:p>
              </w:tc>
              <w:tc>
                <w:tcPr>
                  <w:tcW w:w="2892" w:type="dxa"/>
                  <w:noWrap w:val="0"/>
                  <w:vAlign w:val="center"/>
                </w:tcPr>
                <w:p>
                  <w:pPr>
                    <w:adjustRightInd w:val="0"/>
                    <w:jc w:val="center"/>
                    <w:rPr>
                      <w:rFonts w:hint="eastAsia"/>
                      <w:bCs/>
                      <w:szCs w:val="21"/>
                    </w:rPr>
                  </w:pPr>
                  <w:r>
                    <w:rPr>
                      <w:rFonts w:hint="eastAsia"/>
                      <w:bCs/>
                      <w:szCs w:val="21"/>
                    </w:rPr>
                    <w:t>排气孔排放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353" w:type="dxa"/>
                  <w:vMerge w:val="continue"/>
                  <w:noWrap w:val="0"/>
                  <w:vAlign w:val="center"/>
                </w:tcPr>
                <w:p>
                  <w:pPr>
                    <w:widowControl/>
                    <w:jc w:val="left"/>
                    <w:rPr>
                      <w:szCs w:val="21"/>
                    </w:rPr>
                  </w:pPr>
                </w:p>
              </w:tc>
              <w:tc>
                <w:tcPr>
                  <w:tcW w:w="713" w:type="dxa"/>
                  <w:vMerge w:val="restart"/>
                  <w:noWrap w:val="0"/>
                  <w:vAlign w:val="center"/>
                </w:tcPr>
                <w:p>
                  <w:pPr>
                    <w:pStyle w:val="129"/>
                    <w:rPr>
                      <w:rFonts w:hint="eastAsia"/>
                    </w:rPr>
                  </w:pPr>
                  <w:r>
                    <w:rPr>
                      <w:rFonts w:hint="eastAsia"/>
                    </w:rPr>
                    <w:t>噪声</w:t>
                  </w:r>
                </w:p>
              </w:tc>
              <w:tc>
                <w:tcPr>
                  <w:tcW w:w="1263" w:type="dxa"/>
                  <w:noWrap w:val="0"/>
                  <w:vAlign w:val="center"/>
                </w:tcPr>
                <w:p>
                  <w:pPr>
                    <w:pStyle w:val="129"/>
                    <w:rPr>
                      <w:rFonts w:hint="eastAsia"/>
                    </w:rPr>
                  </w:pPr>
                  <w:r>
                    <w:rPr>
                      <w:rFonts w:hint="eastAsia"/>
                    </w:rPr>
                    <w:t>设备风机噪声</w:t>
                  </w:r>
                </w:p>
              </w:tc>
              <w:tc>
                <w:tcPr>
                  <w:tcW w:w="1372" w:type="dxa"/>
                  <w:noWrap w:val="0"/>
                  <w:vAlign w:val="center"/>
                </w:tcPr>
                <w:p>
                  <w:pPr>
                    <w:adjustRightInd w:val="0"/>
                    <w:jc w:val="center"/>
                    <w:rPr>
                      <w:rFonts w:hint="eastAsia"/>
                      <w:szCs w:val="21"/>
                    </w:rPr>
                  </w:pPr>
                  <w:r>
                    <w:rPr>
                      <w:rFonts w:hint="eastAsia"/>
                      <w:szCs w:val="21"/>
                    </w:rPr>
                    <w:t>风机、设备</w:t>
                  </w:r>
                </w:p>
              </w:tc>
              <w:tc>
                <w:tcPr>
                  <w:tcW w:w="1445" w:type="dxa"/>
                  <w:noWrap w:val="0"/>
                  <w:vAlign w:val="center"/>
                </w:tcPr>
                <w:p>
                  <w:pPr>
                    <w:adjustRightInd w:val="0"/>
                    <w:jc w:val="center"/>
                    <w:rPr>
                      <w:rFonts w:hint="eastAsia"/>
                      <w:szCs w:val="21"/>
                    </w:rPr>
                  </w:pPr>
                  <w:r>
                    <w:rPr>
                      <w:rFonts w:hint="eastAsia"/>
                      <w:szCs w:val="21"/>
                    </w:rPr>
                    <w:t>噪声</w:t>
                  </w:r>
                </w:p>
              </w:tc>
              <w:tc>
                <w:tcPr>
                  <w:tcW w:w="2892" w:type="dxa"/>
                  <w:noWrap w:val="0"/>
                  <w:vAlign w:val="center"/>
                </w:tcPr>
                <w:p>
                  <w:pPr>
                    <w:adjustRightInd w:val="0"/>
                    <w:jc w:val="center"/>
                    <w:rPr>
                      <w:rFonts w:hint="eastAsia"/>
                      <w:bCs/>
                      <w:szCs w:val="21"/>
                    </w:rPr>
                  </w:pPr>
                  <w:r>
                    <w:rPr>
                      <w:rFonts w:hint="eastAsia"/>
                      <w:bCs/>
                      <w:szCs w:val="21"/>
                    </w:rPr>
                    <w:t>隔声封闭、基础减震，定期维护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353" w:type="dxa"/>
                  <w:vMerge w:val="continue"/>
                  <w:noWrap w:val="0"/>
                  <w:vAlign w:val="center"/>
                </w:tcPr>
                <w:p>
                  <w:pPr>
                    <w:widowControl/>
                    <w:jc w:val="left"/>
                    <w:rPr>
                      <w:szCs w:val="21"/>
                    </w:rPr>
                  </w:pPr>
                </w:p>
              </w:tc>
              <w:tc>
                <w:tcPr>
                  <w:tcW w:w="713" w:type="dxa"/>
                  <w:vMerge w:val="continue"/>
                  <w:noWrap w:val="0"/>
                  <w:vAlign w:val="center"/>
                </w:tcPr>
                <w:p>
                  <w:pPr>
                    <w:pStyle w:val="129"/>
                    <w:rPr>
                      <w:rFonts w:hint="eastAsia"/>
                    </w:rPr>
                  </w:pPr>
                </w:p>
              </w:tc>
              <w:tc>
                <w:tcPr>
                  <w:tcW w:w="1263" w:type="dxa"/>
                  <w:noWrap w:val="0"/>
                  <w:vAlign w:val="center"/>
                </w:tcPr>
                <w:p>
                  <w:pPr>
                    <w:pStyle w:val="129"/>
                    <w:rPr>
                      <w:rFonts w:hint="eastAsia"/>
                    </w:rPr>
                  </w:pPr>
                  <w:r>
                    <w:rPr>
                      <w:rFonts w:hint="eastAsia"/>
                    </w:rPr>
                    <w:t>车辆噪声</w:t>
                  </w:r>
                </w:p>
              </w:tc>
              <w:tc>
                <w:tcPr>
                  <w:tcW w:w="1372" w:type="dxa"/>
                  <w:noWrap w:val="0"/>
                  <w:vAlign w:val="center"/>
                </w:tcPr>
                <w:p>
                  <w:pPr>
                    <w:adjustRightInd w:val="0"/>
                    <w:jc w:val="center"/>
                    <w:rPr>
                      <w:rFonts w:hint="eastAsia"/>
                      <w:szCs w:val="21"/>
                    </w:rPr>
                  </w:pPr>
                  <w:r>
                    <w:rPr>
                      <w:rFonts w:hint="eastAsia"/>
                      <w:szCs w:val="21"/>
                    </w:rPr>
                    <w:t>医院内</w:t>
                  </w:r>
                </w:p>
              </w:tc>
              <w:tc>
                <w:tcPr>
                  <w:tcW w:w="1445" w:type="dxa"/>
                  <w:noWrap w:val="0"/>
                  <w:vAlign w:val="center"/>
                </w:tcPr>
                <w:p>
                  <w:pPr>
                    <w:adjustRightInd w:val="0"/>
                    <w:jc w:val="center"/>
                    <w:rPr>
                      <w:rFonts w:hint="eastAsia"/>
                      <w:szCs w:val="21"/>
                    </w:rPr>
                  </w:pPr>
                  <w:r>
                    <w:rPr>
                      <w:rFonts w:hint="eastAsia"/>
                      <w:szCs w:val="21"/>
                    </w:rPr>
                    <w:t>噪声</w:t>
                  </w:r>
                </w:p>
              </w:tc>
              <w:tc>
                <w:tcPr>
                  <w:tcW w:w="2892" w:type="dxa"/>
                  <w:noWrap w:val="0"/>
                  <w:vAlign w:val="center"/>
                </w:tcPr>
                <w:p>
                  <w:pPr>
                    <w:adjustRightInd w:val="0"/>
                    <w:jc w:val="center"/>
                    <w:rPr>
                      <w:rFonts w:hint="eastAsia"/>
                      <w:bCs/>
                      <w:szCs w:val="21"/>
                    </w:rPr>
                  </w:pPr>
                  <w:r>
                    <w:rPr>
                      <w:rFonts w:hint="eastAsia"/>
                      <w:bCs/>
                      <w:szCs w:val="21"/>
                    </w:rPr>
                    <w:t>禁止鸣笛，严禁车辆频繁点火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353" w:type="dxa"/>
                  <w:vMerge w:val="continue"/>
                  <w:noWrap w:val="0"/>
                  <w:vAlign w:val="center"/>
                </w:tcPr>
                <w:p>
                  <w:pPr>
                    <w:widowControl/>
                    <w:jc w:val="left"/>
                    <w:rPr>
                      <w:szCs w:val="21"/>
                    </w:rPr>
                  </w:pPr>
                </w:p>
              </w:tc>
              <w:tc>
                <w:tcPr>
                  <w:tcW w:w="713" w:type="dxa"/>
                  <w:vMerge w:val="continue"/>
                  <w:noWrap w:val="0"/>
                  <w:vAlign w:val="center"/>
                </w:tcPr>
                <w:p>
                  <w:pPr>
                    <w:pStyle w:val="129"/>
                    <w:rPr>
                      <w:rFonts w:hint="eastAsia"/>
                    </w:rPr>
                  </w:pPr>
                </w:p>
              </w:tc>
              <w:tc>
                <w:tcPr>
                  <w:tcW w:w="1263" w:type="dxa"/>
                  <w:noWrap w:val="0"/>
                  <w:vAlign w:val="center"/>
                </w:tcPr>
                <w:p>
                  <w:pPr>
                    <w:pStyle w:val="129"/>
                    <w:rPr>
                      <w:rFonts w:hint="eastAsia"/>
                    </w:rPr>
                  </w:pPr>
                  <w:r>
                    <w:rPr>
                      <w:rFonts w:hint="eastAsia"/>
                    </w:rPr>
                    <w:t>社会噪声</w:t>
                  </w:r>
                </w:p>
              </w:tc>
              <w:tc>
                <w:tcPr>
                  <w:tcW w:w="1372" w:type="dxa"/>
                  <w:noWrap w:val="0"/>
                  <w:vAlign w:val="center"/>
                </w:tcPr>
                <w:p>
                  <w:pPr>
                    <w:adjustRightInd w:val="0"/>
                    <w:jc w:val="center"/>
                    <w:rPr>
                      <w:rFonts w:hint="eastAsia"/>
                      <w:szCs w:val="21"/>
                    </w:rPr>
                  </w:pPr>
                  <w:r>
                    <w:rPr>
                      <w:rFonts w:hint="eastAsia"/>
                      <w:szCs w:val="21"/>
                    </w:rPr>
                    <w:t>门诊楼、病人活动区</w:t>
                  </w:r>
                </w:p>
              </w:tc>
              <w:tc>
                <w:tcPr>
                  <w:tcW w:w="1445" w:type="dxa"/>
                  <w:noWrap w:val="0"/>
                  <w:vAlign w:val="center"/>
                </w:tcPr>
                <w:p>
                  <w:pPr>
                    <w:adjustRightInd w:val="0"/>
                    <w:jc w:val="center"/>
                    <w:rPr>
                      <w:rFonts w:hint="eastAsia"/>
                      <w:szCs w:val="21"/>
                    </w:rPr>
                  </w:pPr>
                  <w:r>
                    <w:rPr>
                      <w:rFonts w:hint="eastAsia"/>
                      <w:szCs w:val="21"/>
                    </w:rPr>
                    <w:t>噪声</w:t>
                  </w:r>
                </w:p>
              </w:tc>
              <w:tc>
                <w:tcPr>
                  <w:tcW w:w="2892" w:type="dxa"/>
                  <w:noWrap w:val="0"/>
                  <w:vAlign w:val="center"/>
                </w:tcPr>
                <w:p>
                  <w:pPr>
                    <w:adjustRightInd w:val="0"/>
                    <w:jc w:val="center"/>
                    <w:rPr>
                      <w:rFonts w:hint="eastAsia"/>
                      <w:bCs/>
                      <w:szCs w:val="21"/>
                    </w:rPr>
                  </w:pPr>
                  <w:r>
                    <w:rPr>
                      <w:rFonts w:hint="eastAsia"/>
                      <w:bCs/>
                      <w:szCs w:val="21"/>
                    </w:rPr>
                    <w:t>合理安排病人房间位置，及时稳定病人情绪，张贴标识标语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353" w:type="dxa"/>
                  <w:vMerge w:val="continue"/>
                  <w:noWrap w:val="0"/>
                  <w:vAlign w:val="center"/>
                </w:tcPr>
                <w:p>
                  <w:pPr>
                    <w:widowControl/>
                    <w:jc w:val="left"/>
                    <w:rPr>
                      <w:szCs w:val="21"/>
                    </w:rPr>
                  </w:pPr>
                </w:p>
              </w:tc>
              <w:tc>
                <w:tcPr>
                  <w:tcW w:w="713" w:type="dxa"/>
                  <w:vMerge w:val="restart"/>
                  <w:noWrap w:val="0"/>
                  <w:vAlign w:val="center"/>
                </w:tcPr>
                <w:p>
                  <w:pPr>
                    <w:pStyle w:val="129"/>
                    <w:rPr>
                      <w:rFonts w:hint="eastAsia"/>
                    </w:rPr>
                  </w:pPr>
                  <w:r>
                    <w:rPr>
                      <w:rFonts w:hint="eastAsia"/>
                    </w:rPr>
                    <w:t>固废</w:t>
                  </w:r>
                </w:p>
              </w:tc>
              <w:tc>
                <w:tcPr>
                  <w:tcW w:w="1263" w:type="dxa"/>
                  <w:noWrap w:val="0"/>
                  <w:vAlign w:val="center"/>
                </w:tcPr>
                <w:p>
                  <w:pPr>
                    <w:pStyle w:val="129"/>
                    <w:rPr>
                      <w:rFonts w:hint="eastAsia"/>
                    </w:rPr>
                  </w:pPr>
                  <w:r>
                    <w:rPr>
                      <w:rFonts w:hint="eastAsia"/>
                    </w:rPr>
                    <w:t>生活垃圾</w:t>
                  </w:r>
                </w:p>
              </w:tc>
              <w:tc>
                <w:tcPr>
                  <w:tcW w:w="1372" w:type="dxa"/>
                  <w:noWrap w:val="0"/>
                  <w:vAlign w:val="center"/>
                </w:tcPr>
                <w:p>
                  <w:pPr>
                    <w:adjustRightInd w:val="0"/>
                    <w:jc w:val="center"/>
                    <w:rPr>
                      <w:rFonts w:hint="eastAsia"/>
                      <w:szCs w:val="21"/>
                    </w:rPr>
                  </w:pPr>
                  <w:r>
                    <w:rPr>
                      <w:rFonts w:hint="eastAsia"/>
                      <w:szCs w:val="21"/>
                    </w:rPr>
                    <w:t>生活区内</w:t>
                  </w:r>
                </w:p>
              </w:tc>
              <w:tc>
                <w:tcPr>
                  <w:tcW w:w="1445" w:type="dxa"/>
                  <w:noWrap w:val="0"/>
                  <w:vAlign w:val="center"/>
                </w:tcPr>
                <w:p>
                  <w:pPr>
                    <w:adjustRightInd w:val="0"/>
                    <w:jc w:val="center"/>
                    <w:rPr>
                      <w:rFonts w:hint="eastAsia"/>
                      <w:szCs w:val="21"/>
                    </w:rPr>
                  </w:pPr>
                  <w:r>
                    <w:rPr>
                      <w:rFonts w:hint="eastAsia"/>
                      <w:szCs w:val="21"/>
                    </w:rPr>
                    <w:t>生活垃圾</w:t>
                  </w:r>
                </w:p>
              </w:tc>
              <w:tc>
                <w:tcPr>
                  <w:tcW w:w="2892" w:type="dxa"/>
                  <w:noWrap w:val="0"/>
                  <w:vAlign w:val="center"/>
                </w:tcPr>
                <w:p>
                  <w:pPr>
                    <w:adjustRightInd w:val="0"/>
                    <w:jc w:val="center"/>
                    <w:rPr>
                      <w:rFonts w:hint="eastAsia"/>
                      <w:bCs/>
                      <w:szCs w:val="21"/>
                    </w:rPr>
                  </w:pPr>
                  <w:r>
                    <w:rPr>
                      <w:rFonts w:hint="eastAsia"/>
                      <w:bCs/>
                      <w:szCs w:val="21"/>
                    </w:rPr>
                    <w:t>由环卫部门收集处置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353" w:type="dxa"/>
                  <w:vMerge w:val="continue"/>
                  <w:noWrap w:val="0"/>
                  <w:vAlign w:val="center"/>
                </w:tcPr>
                <w:p>
                  <w:pPr>
                    <w:widowControl/>
                    <w:jc w:val="left"/>
                    <w:rPr>
                      <w:szCs w:val="21"/>
                    </w:rPr>
                  </w:pPr>
                </w:p>
              </w:tc>
              <w:tc>
                <w:tcPr>
                  <w:tcW w:w="713" w:type="dxa"/>
                  <w:vMerge w:val="continue"/>
                  <w:noWrap w:val="0"/>
                  <w:vAlign w:val="center"/>
                </w:tcPr>
                <w:p>
                  <w:pPr>
                    <w:pStyle w:val="129"/>
                    <w:rPr>
                      <w:rFonts w:hint="eastAsia"/>
                    </w:rPr>
                  </w:pPr>
                </w:p>
              </w:tc>
              <w:tc>
                <w:tcPr>
                  <w:tcW w:w="1263" w:type="dxa"/>
                  <w:noWrap w:val="0"/>
                  <w:vAlign w:val="center"/>
                </w:tcPr>
                <w:p>
                  <w:pPr>
                    <w:pStyle w:val="129"/>
                    <w:rPr>
                      <w:rFonts w:hint="eastAsia"/>
                    </w:rPr>
                  </w:pPr>
                  <w:r>
                    <w:rPr>
                      <w:rFonts w:hint="eastAsia"/>
                    </w:rPr>
                    <w:t>医疗废物</w:t>
                  </w:r>
                </w:p>
              </w:tc>
              <w:tc>
                <w:tcPr>
                  <w:tcW w:w="1372" w:type="dxa"/>
                  <w:noWrap w:val="0"/>
                  <w:vAlign w:val="center"/>
                </w:tcPr>
                <w:p>
                  <w:pPr>
                    <w:adjustRightInd w:val="0"/>
                    <w:jc w:val="center"/>
                    <w:rPr>
                      <w:rFonts w:hint="eastAsia"/>
                      <w:szCs w:val="21"/>
                    </w:rPr>
                  </w:pPr>
                  <w:r>
                    <w:rPr>
                      <w:rFonts w:hint="eastAsia"/>
                      <w:szCs w:val="21"/>
                    </w:rPr>
                    <w:t>院区内</w:t>
                  </w:r>
                </w:p>
              </w:tc>
              <w:tc>
                <w:tcPr>
                  <w:tcW w:w="1445" w:type="dxa"/>
                  <w:vMerge w:val="restart"/>
                  <w:noWrap w:val="0"/>
                  <w:vAlign w:val="center"/>
                </w:tcPr>
                <w:p>
                  <w:pPr>
                    <w:adjustRightInd w:val="0"/>
                    <w:jc w:val="center"/>
                    <w:rPr>
                      <w:rFonts w:hint="eastAsia"/>
                      <w:szCs w:val="21"/>
                    </w:rPr>
                  </w:pPr>
                  <w:r>
                    <w:rPr>
                      <w:rFonts w:hint="eastAsia"/>
                      <w:szCs w:val="21"/>
                    </w:rPr>
                    <w:t>危险废物</w:t>
                  </w:r>
                </w:p>
              </w:tc>
              <w:tc>
                <w:tcPr>
                  <w:tcW w:w="2892" w:type="dxa"/>
                  <w:vMerge w:val="restart"/>
                  <w:noWrap w:val="0"/>
                  <w:vAlign w:val="center"/>
                </w:tcPr>
                <w:p>
                  <w:pPr>
                    <w:adjustRightInd w:val="0"/>
                    <w:jc w:val="center"/>
                    <w:rPr>
                      <w:rFonts w:hint="eastAsia"/>
                      <w:bCs/>
                      <w:szCs w:val="21"/>
                    </w:rPr>
                  </w:pPr>
                  <w:r>
                    <w:rPr>
                      <w:rFonts w:hint="eastAsia"/>
                      <w:bCs/>
                      <w:szCs w:val="21"/>
                    </w:rPr>
                    <w:t>交由有资质单位处理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353" w:type="dxa"/>
                  <w:vMerge w:val="continue"/>
                  <w:noWrap w:val="0"/>
                  <w:vAlign w:val="center"/>
                </w:tcPr>
                <w:p>
                  <w:pPr>
                    <w:widowControl/>
                    <w:jc w:val="left"/>
                    <w:rPr>
                      <w:szCs w:val="21"/>
                    </w:rPr>
                  </w:pPr>
                </w:p>
              </w:tc>
              <w:tc>
                <w:tcPr>
                  <w:tcW w:w="713" w:type="dxa"/>
                  <w:vMerge w:val="continue"/>
                  <w:noWrap w:val="0"/>
                  <w:vAlign w:val="center"/>
                </w:tcPr>
                <w:p>
                  <w:pPr>
                    <w:pStyle w:val="129"/>
                    <w:rPr>
                      <w:rFonts w:hint="eastAsia"/>
                    </w:rPr>
                  </w:pPr>
                </w:p>
              </w:tc>
              <w:tc>
                <w:tcPr>
                  <w:tcW w:w="1263" w:type="dxa"/>
                  <w:noWrap w:val="0"/>
                  <w:vAlign w:val="center"/>
                </w:tcPr>
                <w:p>
                  <w:pPr>
                    <w:pStyle w:val="129"/>
                    <w:rPr>
                      <w:rFonts w:hint="eastAsia"/>
                    </w:rPr>
                  </w:pPr>
                  <w:r>
                    <w:rPr>
                      <w:rFonts w:hint="eastAsia"/>
                    </w:rPr>
                    <w:t>污水处理站污泥</w:t>
                  </w:r>
                </w:p>
              </w:tc>
              <w:tc>
                <w:tcPr>
                  <w:tcW w:w="1372" w:type="dxa"/>
                  <w:noWrap w:val="0"/>
                  <w:vAlign w:val="center"/>
                </w:tcPr>
                <w:p>
                  <w:pPr>
                    <w:adjustRightInd w:val="0"/>
                    <w:jc w:val="center"/>
                    <w:rPr>
                      <w:rFonts w:hint="eastAsia"/>
                      <w:szCs w:val="21"/>
                    </w:rPr>
                  </w:pPr>
                  <w:r>
                    <w:rPr>
                      <w:rFonts w:hint="eastAsia"/>
                      <w:szCs w:val="21"/>
                    </w:rPr>
                    <w:t>污水处理站</w:t>
                  </w:r>
                </w:p>
              </w:tc>
              <w:tc>
                <w:tcPr>
                  <w:tcW w:w="1445" w:type="dxa"/>
                  <w:vMerge w:val="continue"/>
                  <w:noWrap w:val="0"/>
                  <w:vAlign w:val="center"/>
                </w:tcPr>
                <w:p>
                  <w:pPr>
                    <w:adjustRightInd w:val="0"/>
                    <w:jc w:val="center"/>
                    <w:rPr>
                      <w:rFonts w:hint="eastAsia"/>
                      <w:szCs w:val="21"/>
                    </w:rPr>
                  </w:pPr>
                </w:p>
              </w:tc>
              <w:tc>
                <w:tcPr>
                  <w:tcW w:w="2892" w:type="dxa"/>
                  <w:vMerge w:val="continue"/>
                  <w:noWrap w:val="0"/>
                  <w:vAlign w:val="center"/>
                </w:tcPr>
                <w:p>
                  <w:pPr>
                    <w:adjustRightInd w:val="0"/>
                    <w:jc w:val="center"/>
                    <w:rPr>
                      <w:rFonts w:hint="eastAsia"/>
                      <w:bCs/>
                      <w:szCs w:val="21"/>
                    </w:rPr>
                  </w:pPr>
                </w:p>
              </w:tc>
            </w:tr>
          </w:tbl>
          <w:p>
            <w:pPr>
              <w:pStyle w:val="185"/>
              <w:ind w:firstLine="480"/>
              <w:rPr>
                <w:rFonts w:ascii="Times New Roman" w:hAnsi="Times New Roman" w:eastAsia="宋体"/>
                <w:bCs/>
                <w:color w:val="00000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23" w:type="dxa"/>
            <w:noWrap w:val="0"/>
            <w:vAlign w:val="center"/>
          </w:tcPr>
          <w:p>
            <w:pPr>
              <w:pStyle w:val="37"/>
              <w:adjustRightInd w:val="0"/>
              <w:snapToGrid w:val="0"/>
              <w:spacing w:before="0" w:beforeAutospacing="0" w:after="0" w:afterAutospacing="0"/>
              <w:jc w:val="center"/>
              <w:rPr>
                <w:rFonts w:ascii="Times New Roman" w:hAnsi="Times New Roman" w:eastAsia="宋体"/>
                <w:color w:val="000000"/>
                <w:sz w:val="21"/>
                <w:szCs w:val="21"/>
              </w:rPr>
            </w:pPr>
            <w:r>
              <w:rPr>
                <w:rFonts w:ascii="Times New Roman" w:hAnsi="Times New Roman" w:eastAsia="宋体"/>
                <w:bCs/>
                <w:color w:val="000000"/>
                <w:kern w:val="2"/>
                <w:sz w:val="21"/>
                <w:szCs w:val="21"/>
              </w:rPr>
              <w:t>与项目有关的原有环境污染问题</w:t>
            </w:r>
          </w:p>
        </w:tc>
        <w:tc>
          <w:tcPr>
            <w:tcW w:w="8161" w:type="dxa"/>
            <w:noWrap w:val="0"/>
            <w:vAlign w:val="center"/>
          </w:tcPr>
          <w:p>
            <w:pPr>
              <w:pStyle w:val="72"/>
              <w:ind w:left="0" w:leftChars="0" w:firstLine="0" w:firstLineChars="0"/>
              <w:rPr>
                <w:rFonts w:hint="eastAsia" w:eastAsia="宋体"/>
                <w:b/>
                <w:bCs/>
                <w:sz w:val="28"/>
                <w:szCs w:val="21"/>
                <w:lang w:eastAsia="zh-CN"/>
              </w:rPr>
            </w:pPr>
            <w:r>
              <w:rPr>
                <w:rFonts w:hint="eastAsia"/>
                <w:b/>
                <w:bCs/>
                <w:sz w:val="28"/>
                <w:szCs w:val="21"/>
                <w:lang w:eastAsia="zh-CN"/>
              </w:rPr>
              <w:t>一、项目现状情况</w:t>
            </w:r>
          </w:p>
          <w:p>
            <w:pPr>
              <w:pStyle w:val="72"/>
              <w:ind w:firstLine="480"/>
              <w:rPr>
                <w:rFonts w:hint="eastAsia" w:eastAsia="宋体"/>
                <w:lang w:eastAsia="zh-CN"/>
              </w:rPr>
            </w:pPr>
            <w:r>
              <w:rPr>
                <w:rFonts w:hint="eastAsia"/>
              </w:rPr>
              <w:t>本项目为</w:t>
            </w:r>
            <w:r>
              <w:rPr>
                <w:rFonts w:hint="eastAsia"/>
                <w:lang w:eastAsia="zh-CN"/>
              </w:rPr>
              <w:t>床位</w:t>
            </w:r>
            <w:r>
              <w:rPr>
                <w:rFonts w:hint="eastAsia"/>
              </w:rPr>
              <w:t>扩建项目，依托原乐山巴川精神病专科医院现有场地进行建设，不新增占地。</w:t>
            </w:r>
            <w:r>
              <w:rPr>
                <w:rFonts w:hint="eastAsia"/>
                <w:lang w:eastAsia="zh-CN"/>
              </w:rPr>
              <w:t>现状照片如下：</w:t>
            </w:r>
          </w:p>
          <w:tbl>
            <w:tblPr>
              <w:tblStyle w:val="41"/>
              <w:tblW w:w="8120" w:type="dxa"/>
              <w:jc w:val="center"/>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4060"/>
              <w:gridCol w:w="4060"/>
            </w:tblGrid>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082" w:hRule="atLeast"/>
                <w:jc w:val="center"/>
              </w:trPr>
              <w:tc>
                <w:tcPr>
                  <w:tcW w:w="4060" w:type="dxa"/>
                  <w:noWrap w:val="0"/>
                  <w:vAlign w:val="center"/>
                </w:tcPr>
                <w:p>
                  <w:pPr>
                    <w:pStyle w:val="72"/>
                    <w:spacing w:line="240" w:lineRule="auto"/>
                    <w:ind w:firstLine="0" w:firstLineChars="0"/>
                    <w:jc w:val="center"/>
                    <w:rPr>
                      <w:rFonts w:hint="eastAsia" w:ascii="Times New Roman" w:hAnsi="Times New Roman" w:eastAsia="宋体"/>
                    </w:rPr>
                  </w:pPr>
                  <w:r>
                    <w:rPr>
                      <w:rFonts w:hint="eastAsia" w:ascii="Times New Roman" w:hAnsi="Times New Roman" w:eastAsia="宋体"/>
                    </w:rPr>
                    <w:drawing>
                      <wp:inline distT="0" distB="0" distL="114300" distR="114300">
                        <wp:extent cx="2367915" cy="1332230"/>
                        <wp:effectExtent l="0" t="0" r="13335" b="1270"/>
                        <wp:docPr id="152" name="图片 18" descr="2c57ab07a8c4e803abcbf181deb48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8" descr="2c57ab07a8c4e803abcbf181deb48e7"/>
                                <pic:cNvPicPr>
                                  <a:picLocks noChangeAspect="1"/>
                                </pic:cNvPicPr>
                              </pic:nvPicPr>
                              <pic:blipFill>
                                <a:blip r:embed="rId24"/>
                                <a:stretch>
                                  <a:fillRect/>
                                </a:stretch>
                              </pic:blipFill>
                              <pic:spPr>
                                <a:xfrm>
                                  <a:off x="0" y="0"/>
                                  <a:ext cx="2367915" cy="1332230"/>
                                </a:xfrm>
                                <a:prstGeom prst="rect">
                                  <a:avLst/>
                                </a:prstGeom>
                                <a:noFill/>
                                <a:ln>
                                  <a:noFill/>
                                </a:ln>
                              </pic:spPr>
                            </pic:pic>
                          </a:graphicData>
                        </a:graphic>
                      </wp:inline>
                    </w:drawing>
                  </w:r>
                </w:p>
              </w:tc>
              <w:tc>
                <w:tcPr>
                  <w:tcW w:w="4060" w:type="dxa"/>
                  <w:noWrap w:val="0"/>
                  <w:vAlign w:val="center"/>
                </w:tcPr>
                <w:p>
                  <w:pPr>
                    <w:pStyle w:val="72"/>
                    <w:spacing w:line="240" w:lineRule="auto"/>
                    <w:ind w:firstLine="0" w:firstLineChars="0"/>
                    <w:jc w:val="center"/>
                    <w:rPr>
                      <w:rFonts w:hint="eastAsia" w:ascii="Times New Roman" w:hAnsi="Times New Roman" w:eastAsia="宋体"/>
                    </w:rPr>
                  </w:pPr>
                  <w:r>
                    <w:rPr>
                      <w:rFonts w:hint="eastAsia" w:ascii="Times New Roman" w:hAnsi="Times New Roman" w:eastAsia="宋体"/>
                    </w:rPr>
                    <w:drawing>
                      <wp:inline distT="0" distB="0" distL="114300" distR="114300">
                        <wp:extent cx="2367915" cy="1332230"/>
                        <wp:effectExtent l="0" t="0" r="13335" b="1270"/>
                        <wp:docPr id="153" name="图片 19" descr="05351336e185ad8f57977063a0fa0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9" descr="05351336e185ad8f57977063a0fa02c"/>
                                <pic:cNvPicPr>
                                  <a:picLocks noChangeAspect="1"/>
                                </pic:cNvPicPr>
                              </pic:nvPicPr>
                              <pic:blipFill>
                                <a:blip r:embed="rId25"/>
                                <a:stretch>
                                  <a:fillRect/>
                                </a:stretch>
                              </pic:blipFill>
                              <pic:spPr>
                                <a:xfrm>
                                  <a:off x="0" y="0"/>
                                  <a:ext cx="2367915" cy="1332230"/>
                                </a:xfrm>
                                <a:prstGeom prst="rect">
                                  <a:avLst/>
                                </a:prstGeom>
                                <a:noFill/>
                                <a:ln>
                                  <a:noFill/>
                                </a:ln>
                              </pic:spPr>
                            </pic:pic>
                          </a:graphicData>
                        </a:graphic>
                      </wp:inline>
                    </w:drawing>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9" w:hRule="atLeast"/>
                <w:jc w:val="center"/>
              </w:trPr>
              <w:tc>
                <w:tcPr>
                  <w:tcW w:w="4060" w:type="dxa"/>
                  <w:noWrap w:val="0"/>
                  <w:vAlign w:val="center"/>
                </w:tcPr>
                <w:p>
                  <w:pPr>
                    <w:pStyle w:val="72"/>
                    <w:spacing w:line="240" w:lineRule="auto"/>
                    <w:ind w:firstLine="0" w:firstLineChars="0"/>
                    <w:jc w:val="center"/>
                    <w:rPr>
                      <w:rFonts w:hint="eastAsia" w:ascii="Times New Roman" w:hAnsi="Times New Roman" w:eastAsia="宋体"/>
                      <w:sz w:val="21"/>
                      <w:szCs w:val="16"/>
                    </w:rPr>
                  </w:pPr>
                  <w:r>
                    <w:rPr>
                      <w:rFonts w:hint="eastAsia" w:ascii="Times New Roman" w:hAnsi="Times New Roman" w:eastAsia="宋体"/>
                      <w:sz w:val="21"/>
                      <w:szCs w:val="16"/>
                    </w:rPr>
                    <w:t>医院北面现状</w:t>
                  </w:r>
                </w:p>
              </w:tc>
              <w:tc>
                <w:tcPr>
                  <w:tcW w:w="4060" w:type="dxa"/>
                  <w:noWrap w:val="0"/>
                  <w:vAlign w:val="center"/>
                </w:tcPr>
                <w:p>
                  <w:pPr>
                    <w:pStyle w:val="72"/>
                    <w:spacing w:line="240" w:lineRule="auto"/>
                    <w:ind w:firstLine="0" w:firstLineChars="0"/>
                    <w:jc w:val="center"/>
                    <w:rPr>
                      <w:rFonts w:hint="eastAsia" w:ascii="Times New Roman" w:hAnsi="Times New Roman" w:eastAsia="宋体"/>
                      <w:sz w:val="21"/>
                      <w:szCs w:val="16"/>
                    </w:rPr>
                  </w:pPr>
                  <w:r>
                    <w:rPr>
                      <w:rFonts w:hint="eastAsia" w:ascii="Times New Roman" w:hAnsi="Times New Roman" w:eastAsia="宋体"/>
                      <w:sz w:val="21"/>
                      <w:szCs w:val="16"/>
                    </w:rPr>
                    <w:t>医院西面现状</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082" w:hRule="atLeast"/>
                <w:jc w:val="center"/>
              </w:trPr>
              <w:tc>
                <w:tcPr>
                  <w:tcW w:w="4060" w:type="dxa"/>
                  <w:noWrap w:val="0"/>
                  <w:vAlign w:val="center"/>
                </w:tcPr>
                <w:p>
                  <w:pPr>
                    <w:pStyle w:val="72"/>
                    <w:spacing w:line="240" w:lineRule="auto"/>
                    <w:ind w:firstLine="0" w:firstLineChars="0"/>
                    <w:jc w:val="center"/>
                    <w:rPr>
                      <w:rFonts w:hint="eastAsia" w:ascii="Times New Roman" w:hAnsi="Times New Roman" w:eastAsia="宋体"/>
                      <w:sz w:val="21"/>
                      <w:szCs w:val="16"/>
                    </w:rPr>
                  </w:pPr>
                  <w:r>
                    <w:rPr>
                      <w:rFonts w:ascii="Times New Roman" w:hAnsi="Times New Roman" w:eastAsia="宋体"/>
                      <w:sz w:val="21"/>
                      <w:szCs w:val="16"/>
                    </w:rPr>
                    <w:drawing>
                      <wp:inline distT="0" distB="0" distL="114300" distR="114300">
                        <wp:extent cx="2373630" cy="1332230"/>
                        <wp:effectExtent l="0" t="0" r="7620" b="1270"/>
                        <wp:docPr id="15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0"/>
                                <pic:cNvPicPr>
                                  <a:picLocks noChangeAspect="1"/>
                                </pic:cNvPicPr>
                              </pic:nvPicPr>
                              <pic:blipFill>
                                <a:blip r:embed="rId26"/>
                                <a:stretch>
                                  <a:fillRect/>
                                </a:stretch>
                              </pic:blipFill>
                              <pic:spPr>
                                <a:xfrm>
                                  <a:off x="0" y="0"/>
                                  <a:ext cx="2373630" cy="1332230"/>
                                </a:xfrm>
                                <a:prstGeom prst="rect">
                                  <a:avLst/>
                                </a:prstGeom>
                                <a:noFill/>
                                <a:ln>
                                  <a:noFill/>
                                </a:ln>
                              </pic:spPr>
                            </pic:pic>
                          </a:graphicData>
                        </a:graphic>
                      </wp:inline>
                    </w:drawing>
                  </w:r>
                </w:p>
              </w:tc>
              <w:tc>
                <w:tcPr>
                  <w:tcW w:w="4060" w:type="dxa"/>
                  <w:noWrap w:val="0"/>
                  <w:vAlign w:val="center"/>
                </w:tcPr>
                <w:p>
                  <w:pPr>
                    <w:pStyle w:val="72"/>
                    <w:spacing w:line="240" w:lineRule="auto"/>
                    <w:ind w:firstLine="0" w:firstLineChars="0"/>
                    <w:jc w:val="center"/>
                    <w:rPr>
                      <w:rFonts w:hint="eastAsia" w:ascii="Times New Roman" w:hAnsi="Times New Roman" w:eastAsia="宋体"/>
                      <w:sz w:val="21"/>
                      <w:szCs w:val="16"/>
                    </w:rPr>
                  </w:pPr>
                  <w:r>
                    <w:rPr>
                      <w:rFonts w:hint="eastAsia" w:ascii="Times New Roman" w:hAnsi="Times New Roman" w:eastAsia="宋体"/>
                      <w:sz w:val="21"/>
                      <w:szCs w:val="16"/>
                    </w:rPr>
                    <w:drawing>
                      <wp:inline distT="0" distB="0" distL="114300" distR="114300">
                        <wp:extent cx="2367915" cy="1332230"/>
                        <wp:effectExtent l="0" t="0" r="13335" b="1270"/>
                        <wp:docPr id="155" name="图片 21" descr="55543b1fbc9f73dc65ad9deaa3ddb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1" descr="55543b1fbc9f73dc65ad9deaa3ddb23"/>
                                <pic:cNvPicPr>
                                  <a:picLocks noChangeAspect="1"/>
                                </pic:cNvPicPr>
                              </pic:nvPicPr>
                              <pic:blipFill>
                                <a:blip r:embed="rId27"/>
                                <a:stretch>
                                  <a:fillRect/>
                                </a:stretch>
                              </pic:blipFill>
                              <pic:spPr>
                                <a:xfrm>
                                  <a:off x="0" y="0"/>
                                  <a:ext cx="2367915" cy="1332230"/>
                                </a:xfrm>
                                <a:prstGeom prst="rect">
                                  <a:avLst/>
                                </a:prstGeom>
                                <a:noFill/>
                                <a:ln>
                                  <a:noFill/>
                                </a:ln>
                              </pic:spPr>
                            </pic:pic>
                          </a:graphicData>
                        </a:graphic>
                      </wp:inline>
                    </w:drawing>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 w:hRule="atLeast"/>
                <w:jc w:val="center"/>
              </w:trPr>
              <w:tc>
                <w:tcPr>
                  <w:tcW w:w="4060" w:type="dxa"/>
                  <w:noWrap w:val="0"/>
                  <w:vAlign w:val="center"/>
                </w:tcPr>
                <w:p>
                  <w:pPr>
                    <w:pStyle w:val="72"/>
                    <w:spacing w:line="240" w:lineRule="auto"/>
                    <w:ind w:firstLine="0" w:firstLineChars="0"/>
                    <w:jc w:val="center"/>
                    <w:rPr>
                      <w:rFonts w:hint="eastAsia" w:ascii="Times New Roman" w:hAnsi="Times New Roman" w:eastAsia="宋体"/>
                      <w:sz w:val="21"/>
                      <w:szCs w:val="16"/>
                    </w:rPr>
                  </w:pPr>
                  <w:r>
                    <w:rPr>
                      <w:rFonts w:hint="eastAsia" w:ascii="Times New Roman" w:hAnsi="Times New Roman" w:eastAsia="宋体"/>
                      <w:sz w:val="21"/>
                      <w:szCs w:val="16"/>
                    </w:rPr>
                    <w:t>医院现状航拍图</w:t>
                  </w:r>
                </w:p>
              </w:tc>
              <w:tc>
                <w:tcPr>
                  <w:tcW w:w="4060" w:type="dxa"/>
                  <w:noWrap w:val="0"/>
                  <w:vAlign w:val="center"/>
                </w:tcPr>
                <w:p>
                  <w:pPr>
                    <w:pStyle w:val="72"/>
                    <w:spacing w:line="240" w:lineRule="auto"/>
                    <w:ind w:firstLine="0" w:firstLineChars="0"/>
                    <w:jc w:val="center"/>
                    <w:rPr>
                      <w:rFonts w:hint="eastAsia" w:ascii="Times New Roman" w:hAnsi="Times New Roman" w:eastAsia="宋体"/>
                      <w:sz w:val="21"/>
                      <w:szCs w:val="16"/>
                    </w:rPr>
                  </w:pPr>
                  <w:r>
                    <w:rPr>
                      <w:rFonts w:hint="eastAsia" w:ascii="Times New Roman" w:hAnsi="Times New Roman" w:eastAsia="宋体"/>
                      <w:sz w:val="21"/>
                      <w:szCs w:val="16"/>
                    </w:rPr>
                    <w:t xml:space="preserve">医院外侧十字路口现状 </w:t>
                  </w:r>
                </w:p>
              </w:tc>
            </w:tr>
          </w:tbl>
          <w:p>
            <w:pPr>
              <w:pStyle w:val="72"/>
              <w:ind w:left="0" w:leftChars="0" w:firstLine="0" w:firstLineChars="0"/>
              <w:rPr>
                <w:rFonts w:hint="eastAsia" w:eastAsia="宋体"/>
                <w:b/>
                <w:bCs/>
                <w:sz w:val="28"/>
                <w:szCs w:val="21"/>
                <w:lang w:eastAsia="zh-CN"/>
              </w:rPr>
            </w:pPr>
            <w:r>
              <w:rPr>
                <w:rFonts w:hint="eastAsia"/>
                <w:b/>
                <w:bCs/>
                <w:sz w:val="28"/>
                <w:szCs w:val="21"/>
                <w:lang w:eastAsia="zh-CN"/>
              </w:rPr>
              <w:t>二、扩建前项目环保手续情况</w:t>
            </w:r>
          </w:p>
          <w:p>
            <w:pPr>
              <w:pStyle w:val="72"/>
              <w:ind w:firstLine="480"/>
              <w:rPr>
                <w:rFonts w:hint="eastAsia" w:hAnsi="宋体"/>
                <w:kern w:val="2"/>
                <w:szCs w:val="24"/>
                <w:lang w:val="en-US" w:eastAsia="zh-CN"/>
              </w:rPr>
            </w:pPr>
            <w:r>
              <w:rPr>
                <w:rFonts w:hint="eastAsia"/>
              </w:rPr>
              <w:t>乐山巴川精神病专科医院</w:t>
            </w:r>
            <w:r>
              <w:rPr>
                <w:rFonts w:hint="eastAsia" w:hAnsi="宋体"/>
                <w:kern w:val="2"/>
                <w:szCs w:val="24"/>
              </w:rPr>
              <w:t>于2017年12月通过原乐山市环境保护局取得《关于乐山巴川精神病专科医院项目环境影响报告表的审批意见》（乐市环审[2017]105号），2018年7月</w:t>
            </w:r>
            <w:r>
              <w:rPr>
                <w:rFonts w:hint="eastAsia" w:hAnsi="宋体"/>
                <w:kern w:val="2"/>
                <w:szCs w:val="24"/>
                <w:lang w:val="en-US" w:eastAsia="zh-CN"/>
              </w:rPr>
              <w:t>10日</w:t>
            </w:r>
            <w:r>
              <w:rPr>
                <w:rFonts w:hint="eastAsia" w:hAnsi="宋体"/>
                <w:kern w:val="2"/>
                <w:szCs w:val="24"/>
              </w:rPr>
              <w:t>取得了乐山巴川精神病专科医院项目自主验收意见。</w:t>
            </w:r>
            <w:r>
              <w:rPr>
                <w:kern w:val="0"/>
                <w:sz w:val="24"/>
              </w:rPr>
              <w:t>按照《排污许可管理办法（试行）》（2019年修订）、《排污许可管理条例》（国令第736号）等要求，</w:t>
            </w:r>
            <w:r>
              <w:rPr>
                <w:rFonts w:hint="eastAsia"/>
                <w:kern w:val="0"/>
                <w:sz w:val="24"/>
                <w:lang w:eastAsia="zh-CN"/>
              </w:rPr>
              <w:t>乐山巴川精神病专科医院属于登记管理，</w:t>
            </w:r>
            <w:r>
              <w:rPr>
                <w:rFonts w:hint="eastAsia" w:hAnsi="宋体"/>
                <w:kern w:val="2"/>
                <w:szCs w:val="24"/>
                <w:lang w:val="en-US" w:eastAsia="zh-CN"/>
              </w:rPr>
              <w:t>2020年4月22日完成排污登记，登记编号为91511100MA638ET820001W。</w:t>
            </w:r>
          </w:p>
          <w:p>
            <w:pPr>
              <w:autoSpaceDE w:val="0"/>
              <w:autoSpaceDN w:val="0"/>
              <w:adjustRightInd w:val="0"/>
              <w:snapToGrid w:val="0"/>
              <w:spacing w:line="360" w:lineRule="auto"/>
              <w:ind w:firstLine="480" w:firstLineChars="200"/>
              <w:rPr>
                <w:kern w:val="0"/>
                <w:sz w:val="24"/>
              </w:rPr>
            </w:pPr>
            <w:r>
              <w:rPr>
                <w:kern w:val="0"/>
                <w:sz w:val="24"/>
              </w:rPr>
              <w:t>现有项目的环评情况详见下表：</w:t>
            </w:r>
          </w:p>
          <w:p>
            <w:pPr>
              <w:autoSpaceDE w:val="0"/>
              <w:autoSpaceDN w:val="0"/>
              <w:adjustRightInd w:val="0"/>
              <w:snapToGrid w:val="0"/>
              <w:jc w:val="center"/>
              <w:rPr>
                <w:b/>
                <w:bCs/>
                <w:kern w:val="0"/>
                <w:szCs w:val="21"/>
              </w:rPr>
            </w:pPr>
            <w:r>
              <w:rPr>
                <w:b/>
                <w:bCs/>
                <w:kern w:val="0"/>
                <w:szCs w:val="21"/>
              </w:rPr>
              <w:t>表2-</w:t>
            </w:r>
            <w:r>
              <w:rPr>
                <w:rFonts w:hint="eastAsia"/>
                <w:b/>
                <w:bCs/>
                <w:kern w:val="0"/>
                <w:szCs w:val="21"/>
                <w:lang w:val="en-US" w:eastAsia="zh-CN"/>
              </w:rPr>
              <w:t>14</w:t>
            </w:r>
            <w:r>
              <w:rPr>
                <w:b/>
                <w:bCs/>
                <w:kern w:val="0"/>
                <w:szCs w:val="21"/>
              </w:rPr>
              <w:t xml:space="preserve">  </w:t>
            </w:r>
            <w:r>
              <w:rPr>
                <w:rFonts w:hint="eastAsia"/>
                <w:b/>
                <w:bCs/>
                <w:kern w:val="0"/>
                <w:szCs w:val="21"/>
                <w:lang w:eastAsia="zh-CN"/>
              </w:rPr>
              <w:t>扩建前</w:t>
            </w:r>
            <w:r>
              <w:rPr>
                <w:b/>
                <w:bCs/>
                <w:kern w:val="0"/>
                <w:szCs w:val="21"/>
              </w:rPr>
              <w:t>项目相关建设、环评情况表</w:t>
            </w:r>
          </w:p>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85"/>
              <w:gridCol w:w="50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8" w:type="pct"/>
                  <w:tcBorders>
                    <w:tl2br w:val="single" w:color="auto" w:sz="4" w:space="0"/>
                  </w:tcBorders>
                  <w:noWrap w:val="0"/>
                  <w:vAlign w:val="top"/>
                </w:tcPr>
                <w:p>
                  <w:pPr>
                    <w:autoSpaceDE w:val="0"/>
                    <w:autoSpaceDN w:val="0"/>
                    <w:adjustRightInd w:val="0"/>
                    <w:snapToGrid w:val="0"/>
                    <w:jc w:val="right"/>
                    <w:rPr>
                      <w:b/>
                      <w:bCs w:val="0"/>
                      <w:szCs w:val="21"/>
                    </w:rPr>
                  </w:pPr>
                  <w:r>
                    <w:rPr>
                      <w:b/>
                      <w:bCs w:val="0"/>
                      <w:szCs w:val="21"/>
                    </w:rPr>
                    <w:t>项目名称</w:t>
                  </w:r>
                </w:p>
                <w:p>
                  <w:pPr>
                    <w:autoSpaceDE w:val="0"/>
                    <w:autoSpaceDN w:val="0"/>
                    <w:adjustRightInd w:val="0"/>
                    <w:snapToGrid w:val="0"/>
                    <w:jc w:val="left"/>
                    <w:rPr>
                      <w:b/>
                      <w:bCs w:val="0"/>
                      <w:szCs w:val="21"/>
                    </w:rPr>
                  </w:pPr>
                  <w:r>
                    <w:rPr>
                      <w:b/>
                      <w:bCs w:val="0"/>
                      <w:szCs w:val="21"/>
                    </w:rPr>
                    <w:t>项目情况</w:t>
                  </w:r>
                </w:p>
              </w:tc>
              <w:tc>
                <w:tcPr>
                  <w:tcW w:w="3181" w:type="pct"/>
                  <w:noWrap w:val="0"/>
                  <w:vAlign w:val="center"/>
                </w:tcPr>
                <w:p>
                  <w:pPr>
                    <w:autoSpaceDE w:val="0"/>
                    <w:autoSpaceDN w:val="0"/>
                    <w:adjustRightInd w:val="0"/>
                    <w:snapToGrid w:val="0"/>
                    <w:jc w:val="center"/>
                    <w:rPr>
                      <w:b/>
                      <w:bCs w:val="0"/>
                      <w:szCs w:val="21"/>
                    </w:rPr>
                  </w:pPr>
                  <w:r>
                    <w:rPr>
                      <w:rFonts w:hint="eastAsia"/>
                      <w:b/>
                      <w:bCs w:val="0"/>
                      <w:szCs w:val="21"/>
                    </w:rPr>
                    <w:t>乐山巴川精神病专科医院项目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8" w:type="pct"/>
                  <w:noWrap w:val="0"/>
                  <w:vAlign w:val="center"/>
                </w:tcPr>
                <w:p>
                  <w:pPr>
                    <w:autoSpaceDE w:val="0"/>
                    <w:autoSpaceDN w:val="0"/>
                    <w:adjustRightInd w:val="0"/>
                    <w:snapToGrid w:val="0"/>
                    <w:jc w:val="center"/>
                    <w:rPr>
                      <w:bCs/>
                      <w:szCs w:val="21"/>
                    </w:rPr>
                  </w:pPr>
                  <w:r>
                    <w:rPr>
                      <w:bCs/>
                      <w:szCs w:val="21"/>
                    </w:rPr>
                    <w:t>总投资（万元）</w:t>
                  </w:r>
                </w:p>
              </w:tc>
              <w:tc>
                <w:tcPr>
                  <w:tcW w:w="3181" w:type="pct"/>
                  <w:noWrap w:val="0"/>
                  <w:vAlign w:val="center"/>
                </w:tcPr>
                <w:p>
                  <w:pPr>
                    <w:autoSpaceDE w:val="0"/>
                    <w:autoSpaceDN w:val="0"/>
                    <w:adjustRightInd w:val="0"/>
                    <w:snapToGrid w:val="0"/>
                    <w:jc w:val="center"/>
                    <w:rPr>
                      <w:rFonts w:hint="default" w:eastAsia="宋体"/>
                      <w:bCs/>
                      <w:szCs w:val="21"/>
                      <w:lang w:val="en-US" w:eastAsia="zh-CN"/>
                    </w:rPr>
                  </w:pPr>
                  <w:r>
                    <w:rPr>
                      <w:rFonts w:hint="eastAsia"/>
                      <w:bCs/>
                      <w:szCs w:val="21"/>
                      <w:lang w:val="en-US" w:eastAsia="zh-CN"/>
                    </w:rPr>
                    <w:t>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8" w:type="pct"/>
                  <w:noWrap w:val="0"/>
                  <w:vAlign w:val="center"/>
                </w:tcPr>
                <w:p>
                  <w:pPr>
                    <w:autoSpaceDE w:val="0"/>
                    <w:autoSpaceDN w:val="0"/>
                    <w:adjustRightInd w:val="0"/>
                    <w:snapToGrid w:val="0"/>
                    <w:jc w:val="center"/>
                    <w:rPr>
                      <w:bCs/>
                      <w:szCs w:val="21"/>
                    </w:rPr>
                  </w:pPr>
                  <w:r>
                    <w:rPr>
                      <w:bCs/>
                      <w:szCs w:val="21"/>
                    </w:rPr>
                    <w:t>环保投资（万元）</w:t>
                  </w:r>
                </w:p>
              </w:tc>
              <w:tc>
                <w:tcPr>
                  <w:tcW w:w="3181" w:type="pct"/>
                  <w:noWrap w:val="0"/>
                  <w:vAlign w:val="center"/>
                </w:tcPr>
                <w:p>
                  <w:pPr>
                    <w:autoSpaceDE w:val="0"/>
                    <w:autoSpaceDN w:val="0"/>
                    <w:adjustRightInd w:val="0"/>
                    <w:snapToGrid w:val="0"/>
                    <w:jc w:val="center"/>
                    <w:rPr>
                      <w:rFonts w:hint="default" w:eastAsia="宋体"/>
                      <w:bCs/>
                      <w:szCs w:val="21"/>
                      <w:lang w:val="en-US" w:eastAsia="zh-CN"/>
                    </w:rPr>
                  </w:pPr>
                  <w:r>
                    <w:rPr>
                      <w:rFonts w:hint="eastAsia"/>
                      <w:bCs/>
                      <w:szCs w:val="21"/>
                      <w:lang w:val="en-US" w:eastAsia="zh-CN"/>
                    </w:rPr>
                    <w:t>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8" w:type="pct"/>
                  <w:noWrap w:val="0"/>
                  <w:vAlign w:val="center"/>
                </w:tcPr>
                <w:p>
                  <w:pPr>
                    <w:autoSpaceDE w:val="0"/>
                    <w:autoSpaceDN w:val="0"/>
                    <w:adjustRightInd w:val="0"/>
                    <w:snapToGrid w:val="0"/>
                    <w:jc w:val="center"/>
                    <w:rPr>
                      <w:bCs/>
                      <w:szCs w:val="21"/>
                    </w:rPr>
                  </w:pPr>
                  <w:r>
                    <w:rPr>
                      <w:bCs/>
                      <w:szCs w:val="21"/>
                    </w:rPr>
                    <w:t>员工（人）</w:t>
                  </w:r>
                </w:p>
              </w:tc>
              <w:tc>
                <w:tcPr>
                  <w:tcW w:w="3181" w:type="pct"/>
                  <w:noWrap w:val="0"/>
                  <w:vAlign w:val="center"/>
                </w:tcPr>
                <w:p>
                  <w:pPr>
                    <w:autoSpaceDE w:val="0"/>
                    <w:autoSpaceDN w:val="0"/>
                    <w:adjustRightInd w:val="0"/>
                    <w:snapToGrid w:val="0"/>
                    <w:jc w:val="center"/>
                    <w:rPr>
                      <w:rFonts w:hint="default" w:eastAsia="宋体"/>
                      <w:bCs/>
                      <w:szCs w:val="21"/>
                      <w:lang w:val="en-US" w:eastAsia="zh-CN"/>
                    </w:rPr>
                  </w:pPr>
                  <w:r>
                    <w:rPr>
                      <w:rFonts w:hint="eastAsia"/>
                      <w:bCs/>
                      <w:szCs w:val="21"/>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8" w:type="pct"/>
                  <w:noWrap w:val="0"/>
                  <w:vAlign w:val="center"/>
                </w:tcPr>
                <w:p>
                  <w:pPr>
                    <w:autoSpaceDE w:val="0"/>
                    <w:autoSpaceDN w:val="0"/>
                    <w:adjustRightInd w:val="0"/>
                    <w:snapToGrid w:val="0"/>
                    <w:jc w:val="center"/>
                    <w:rPr>
                      <w:bCs/>
                      <w:szCs w:val="21"/>
                    </w:rPr>
                  </w:pPr>
                  <w:r>
                    <w:rPr>
                      <w:bCs/>
                      <w:szCs w:val="21"/>
                    </w:rPr>
                    <w:t>编制床位数</w:t>
                  </w:r>
                </w:p>
              </w:tc>
              <w:tc>
                <w:tcPr>
                  <w:tcW w:w="3181" w:type="pct"/>
                  <w:noWrap w:val="0"/>
                  <w:vAlign w:val="center"/>
                </w:tcPr>
                <w:p>
                  <w:pPr>
                    <w:autoSpaceDE w:val="0"/>
                    <w:autoSpaceDN w:val="0"/>
                    <w:adjustRightInd w:val="0"/>
                    <w:snapToGrid w:val="0"/>
                    <w:jc w:val="center"/>
                    <w:rPr>
                      <w:bCs/>
                      <w:szCs w:val="21"/>
                    </w:rPr>
                  </w:pPr>
                  <w:r>
                    <w:rPr>
                      <w:rFonts w:hint="eastAsia"/>
                      <w:bCs/>
                      <w:szCs w:val="21"/>
                      <w:lang w:val="en-US" w:eastAsia="zh-CN"/>
                    </w:rPr>
                    <w:t>7</w:t>
                  </w:r>
                  <w:r>
                    <w:rPr>
                      <w:bCs/>
                      <w:szCs w:val="21"/>
                    </w:rPr>
                    <w:t>0张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8" w:type="pct"/>
                  <w:noWrap w:val="0"/>
                  <w:vAlign w:val="center"/>
                </w:tcPr>
                <w:p>
                  <w:pPr>
                    <w:autoSpaceDE w:val="0"/>
                    <w:autoSpaceDN w:val="0"/>
                    <w:adjustRightInd w:val="0"/>
                    <w:snapToGrid w:val="0"/>
                    <w:jc w:val="center"/>
                    <w:rPr>
                      <w:bCs/>
                      <w:szCs w:val="21"/>
                    </w:rPr>
                  </w:pPr>
                  <w:r>
                    <w:rPr>
                      <w:bCs/>
                      <w:szCs w:val="21"/>
                    </w:rPr>
                    <w:t>环评批复机关</w:t>
                  </w:r>
                </w:p>
              </w:tc>
              <w:tc>
                <w:tcPr>
                  <w:tcW w:w="3181" w:type="pct"/>
                  <w:noWrap w:val="0"/>
                  <w:vAlign w:val="center"/>
                </w:tcPr>
                <w:p>
                  <w:pPr>
                    <w:autoSpaceDE w:val="0"/>
                    <w:autoSpaceDN w:val="0"/>
                    <w:adjustRightInd w:val="0"/>
                    <w:snapToGrid w:val="0"/>
                    <w:jc w:val="center"/>
                    <w:rPr>
                      <w:bCs/>
                      <w:szCs w:val="21"/>
                    </w:rPr>
                  </w:pPr>
                  <w:r>
                    <w:rPr>
                      <w:bCs/>
                      <w:szCs w:val="21"/>
                    </w:rPr>
                    <w:t>原</w:t>
                  </w:r>
                  <w:r>
                    <w:rPr>
                      <w:rFonts w:hint="eastAsia"/>
                      <w:bCs/>
                      <w:szCs w:val="21"/>
                    </w:rPr>
                    <w:t>乐山市环境保护局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8" w:type="pct"/>
                  <w:noWrap w:val="0"/>
                  <w:vAlign w:val="center"/>
                </w:tcPr>
                <w:p>
                  <w:pPr>
                    <w:autoSpaceDE w:val="0"/>
                    <w:autoSpaceDN w:val="0"/>
                    <w:adjustRightInd w:val="0"/>
                    <w:snapToGrid w:val="0"/>
                    <w:jc w:val="center"/>
                    <w:rPr>
                      <w:bCs/>
                      <w:szCs w:val="21"/>
                    </w:rPr>
                  </w:pPr>
                  <w:r>
                    <w:rPr>
                      <w:bCs/>
                      <w:szCs w:val="21"/>
                    </w:rPr>
                    <w:t>环评文件类型</w:t>
                  </w:r>
                </w:p>
              </w:tc>
              <w:tc>
                <w:tcPr>
                  <w:tcW w:w="3181" w:type="pct"/>
                  <w:noWrap w:val="0"/>
                  <w:vAlign w:val="center"/>
                </w:tcPr>
                <w:p>
                  <w:pPr>
                    <w:autoSpaceDE w:val="0"/>
                    <w:autoSpaceDN w:val="0"/>
                    <w:adjustRightInd w:val="0"/>
                    <w:snapToGrid w:val="0"/>
                    <w:jc w:val="center"/>
                    <w:rPr>
                      <w:bCs/>
                      <w:szCs w:val="21"/>
                    </w:rPr>
                  </w:pPr>
                  <w:r>
                    <w:rPr>
                      <w:bCs/>
                      <w:szCs w:val="21"/>
                    </w:rPr>
                    <w:t>环境影响</w:t>
                  </w:r>
                  <w:r>
                    <w:rPr>
                      <w:rFonts w:hint="eastAsia" w:hAnsi="宋体"/>
                      <w:kern w:val="2"/>
                      <w:szCs w:val="24"/>
                    </w:rPr>
                    <w:t>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8" w:type="pct"/>
                  <w:noWrap w:val="0"/>
                  <w:vAlign w:val="center"/>
                </w:tcPr>
                <w:p>
                  <w:pPr>
                    <w:autoSpaceDE w:val="0"/>
                    <w:autoSpaceDN w:val="0"/>
                    <w:adjustRightInd w:val="0"/>
                    <w:snapToGrid w:val="0"/>
                    <w:jc w:val="center"/>
                    <w:rPr>
                      <w:bCs/>
                      <w:szCs w:val="21"/>
                    </w:rPr>
                  </w:pPr>
                  <w:r>
                    <w:rPr>
                      <w:bCs/>
                      <w:szCs w:val="21"/>
                    </w:rPr>
                    <w:t>环评批复文件</w:t>
                  </w:r>
                </w:p>
              </w:tc>
              <w:tc>
                <w:tcPr>
                  <w:tcW w:w="3181" w:type="pct"/>
                  <w:noWrap w:val="0"/>
                  <w:vAlign w:val="center"/>
                </w:tcPr>
                <w:p>
                  <w:pPr>
                    <w:autoSpaceDE w:val="0"/>
                    <w:autoSpaceDN w:val="0"/>
                    <w:adjustRightInd w:val="0"/>
                    <w:snapToGrid w:val="0"/>
                    <w:jc w:val="center"/>
                    <w:rPr>
                      <w:bCs/>
                      <w:szCs w:val="21"/>
                    </w:rPr>
                  </w:pPr>
                  <w:r>
                    <w:rPr>
                      <w:rFonts w:hint="eastAsia"/>
                      <w:bCs/>
                      <w:szCs w:val="21"/>
                    </w:rPr>
                    <w:t>乐市环审[2017]105号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8" w:type="pct"/>
                  <w:noWrap w:val="0"/>
                  <w:vAlign w:val="center"/>
                </w:tcPr>
                <w:p>
                  <w:pPr>
                    <w:autoSpaceDE w:val="0"/>
                    <w:autoSpaceDN w:val="0"/>
                    <w:adjustRightInd w:val="0"/>
                    <w:snapToGrid w:val="0"/>
                    <w:jc w:val="center"/>
                    <w:rPr>
                      <w:bCs/>
                      <w:szCs w:val="21"/>
                    </w:rPr>
                  </w:pPr>
                  <w:r>
                    <w:rPr>
                      <w:bCs/>
                      <w:szCs w:val="21"/>
                    </w:rPr>
                    <w:t>环评批复时间</w:t>
                  </w:r>
                </w:p>
              </w:tc>
              <w:tc>
                <w:tcPr>
                  <w:tcW w:w="3181" w:type="pct"/>
                  <w:noWrap w:val="0"/>
                  <w:vAlign w:val="center"/>
                </w:tcPr>
                <w:p>
                  <w:pPr>
                    <w:autoSpaceDE w:val="0"/>
                    <w:autoSpaceDN w:val="0"/>
                    <w:adjustRightInd w:val="0"/>
                    <w:snapToGrid w:val="0"/>
                    <w:jc w:val="center"/>
                    <w:rPr>
                      <w:bCs/>
                      <w:szCs w:val="21"/>
                    </w:rPr>
                  </w:pPr>
                  <w:r>
                    <w:rPr>
                      <w:rFonts w:hint="eastAsia" w:hAnsi="宋体"/>
                      <w:kern w:val="2"/>
                      <w:szCs w:val="24"/>
                    </w:rPr>
                    <w:t>2017年12月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8" w:type="pct"/>
                  <w:noWrap w:val="0"/>
                  <w:vAlign w:val="center"/>
                </w:tcPr>
                <w:p>
                  <w:pPr>
                    <w:autoSpaceDE w:val="0"/>
                    <w:autoSpaceDN w:val="0"/>
                    <w:adjustRightInd w:val="0"/>
                    <w:snapToGrid w:val="0"/>
                    <w:jc w:val="center"/>
                    <w:rPr>
                      <w:bCs/>
                      <w:szCs w:val="21"/>
                    </w:rPr>
                  </w:pPr>
                  <w:r>
                    <w:rPr>
                      <w:bCs/>
                      <w:szCs w:val="21"/>
                    </w:rPr>
                    <w:t>排污许可办理</w:t>
                  </w:r>
                </w:p>
              </w:tc>
              <w:tc>
                <w:tcPr>
                  <w:tcW w:w="3181" w:type="pct"/>
                  <w:noWrap w:val="0"/>
                  <w:vAlign w:val="center"/>
                </w:tcPr>
                <w:p>
                  <w:pPr>
                    <w:autoSpaceDE w:val="0"/>
                    <w:autoSpaceDN w:val="0"/>
                    <w:adjustRightInd w:val="0"/>
                    <w:snapToGrid w:val="0"/>
                    <w:jc w:val="center"/>
                    <w:rPr>
                      <w:bCs/>
                      <w:szCs w:val="21"/>
                    </w:rPr>
                  </w:pPr>
                  <w:r>
                    <w:rPr>
                      <w:rFonts w:hint="eastAsia" w:hAnsi="宋体"/>
                      <w:kern w:val="2"/>
                      <w:szCs w:val="24"/>
                      <w:lang w:val="en-US" w:eastAsia="zh-CN"/>
                    </w:rPr>
                    <w:t>登记管理（登记编号为91511100MA638ET820001W）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8" w:type="pct"/>
                  <w:noWrap w:val="0"/>
                  <w:vAlign w:val="center"/>
                </w:tcPr>
                <w:p>
                  <w:pPr>
                    <w:autoSpaceDE w:val="0"/>
                    <w:autoSpaceDN w:val="0"/>
                    <w:adjustRightInd w:val="0"/>
                    <w:snapToGrid w:val="0"/>
                    <w:jc w:val="center"/>
                    <w:rPr>
                      <w:bCs/>
                      <w:szCs w:val="21"/>
                    </w:rPr>
                  </w:pPr>
                  <w:r>
                    <w:rPr>
                      <w:bCs/>
                      <w:szCs w:val="21"/>
                    </w:rPr>
                    <w:t>竣工验收情况</w:t>
                  </w:r>
                </w:p>
              </w:tc>
              <w:tc>
                <w:tcPr>
                  <w:tcW w:w="3181" w:type="pct"/>
                  <w:noWrap w:val="0"/>
                  <w:vAlign w:val="center"/>
                </w:tcPr>
                <w:p>
                  <w:pPr>
                    <w:autoSpaceDE w:val="0"/>
                    <w:autoSpaceDN w:val="0"/>
                    <w:adjustRightInd w:val="0"/>
                    <w:snapToGrid w:val="0"/>
                    <w:jc w:val="center"/>
                    <w:rPr>
                      <w:bCs/>
                      <w:szCs w:val="21"/>
                    </w:rPr>
                  </w:pPr>
                  <w:r>
                    <w:rPr>
                      <w:rFonts w:hint="eastAsia" w:hAnsi="宋体"/>
                      <w:kern w:val="2"/>
                      <w:szCs w:val="24"/>
                    </w:rPr>
                    <w:t>2018年7月</w:t>
                  </w:r>
                  <w:r>
                    <w:rPr>
                      <w:rFonts w:hint="eastAsia" w:hAnsi="宋体"/>
                      <w:kern w:val="2"/>
                      <w:szCs w:val="24"/>
                      <w:lang w:val="en-US" w:eastAsia="zh-CN"/>
                    </w:rPr>
                    <w:t>10日取得自主验收意见</w:t>
                  </w:r>
                </w:p>
              </w:tc>
            </w:tr>
          </w:tbl>
          <w:p>
            <w:pPr>
              <w:pStyle w:val="72"/>
              <w:numPr>
                <w:ilvl w:val="0"/>
                <w:numId w:val="0"/>
              </w:numPr>
              <w:rPr>
                <w:rFonts w:hint="eastAsia" w:hAnsi="宋体" w:eastAsia="宋体"/>
                <w:b/>
                <w:bCs/>
                <w:kern w:val="2"/>
                <w:sz w:val="28"/>
                <w:szCs w:val="28"/>
                <w:lang w:eastAsia="zh-CN"/>
              </w:rPr>
            </w:pPr>
            <w:r>
              <w:rPr>
                <w:rFonts w:hint="eastAsia" w:hAnsi="宋体"/>
                <w:b/>
                <w:bCs/>
                <w:kern w:val="2"/>
                <w:sz w:val="28"/>
                <w:szCs w:val="28"/>
                <w:lang w:val="en-US" w:eastAsia="zh-CN"/>
              </w:rPr>
              <w:t>三、</w:t>
            </w:r>
            <w:r>
              <w:rPr>
                <w:rFonts w:hint="eastAsia" w:hAnsi="宋体"/>
                <w:b/>
                <w:bCs/>
                <w:kern w:val="2"/>
                <w:sz w:val="28"/>
                <w:szCs w:val="28"/>
              </w:rPr>
              <w:t>扩建前项目组成</w:t>
            </w:r>
            <w:r>
              <w:rPr>
                <w:rFonts w:hint="eastAsia" w:hAnsi="宋体"/>
                <w:b/>
                <w:bCs/>
                <w:kern w:val="2"/>
                <w:sz w:val="28"/>
                <w:szCs w:val="28"/>
                <w:lang w:eastAsia="zh-CN"/>
              </w:rPr>
              <w:t>情况</w:t>
            </w:r>
          </w:p>
          <w:p>
            <w:pPr>
              <w:pStyle w:val="72"/>
              <w:ind w:firstLine="480"/>
              <w:rPr>
                <w:rFonts w:hint="eastAsia" w:hAnsi="宋体"/>
                <w:kern w:val="2"/>
                <w:szCs w:val="24"/>
              </w:rPr>
            </w:pPr>
            <w:r>
              <w:rPr>
                <w:rFonts w:hint="eastAsia" w:hAnsi="宋体"/>
                <w:kern w:val="2"/>
                <w:szCs w:val="24"/>
              </w:rPr>
              <w:t>根据查阅原乐山市环境保护局《关于乐山巴川精神病专科医院项目环境影响报告表的审批意见》（乐市环审[2017]105号）、四川中环立新环保工程咨询有限公司编制的《乐山巴川精神病专科医院项目环境影响报告表》、四川衡测检测技术股份有限公司编制的《乐山巴川精神病专科医院项目竣工环境保护验收监测报告表》以及现场勘查，目前院区内基本情况如下所述：</w:t>
            </w:r>
          </w:p>
          <w:p>
            <w:pPr>
              <w:wordWrap w:val="0"/>
              <w:adjustRightInd w:val="0"/>
              <w:snapToGrid w:val="0"/>
              <w:spacing w:line="360" w:lineRule="auto"/>
              <w:ind w:firstLine="480" w:firstLineChars="200"/>
              <w:jc w:val="left"/>
              <w:rPr>
                <w:rFonts w:hint="eastAsia"/>
                <w:color w:val="000000"/>
                <w:sz w:val="24"/>
                <w:szCs w:val="32"/>
              </w:rPr>
            </w:pPr>
            <w:r>
              <w:rPr>
                <w:rFonts w:hint="eastAsia"/>
                <w:sz w:val="24"/>
                <w:szCs w:val="32"/>
              </w:rPr>
              <w:t>乐山巴川精神病专科医院占地约3576m</w:t>
            </w:r>
            <w:r>
              <w:rPr>
                <w:rFonts w:hint="eastAsia"/>
                <w:sz w:val="24"/>
                <w:szCs w:val="32"/>
                <w:vertAlign w:val="superscript"/>
              </w:rPr>
              <w:t>2</w:t>
            </w:r>
            <w:r>
              <w:rPr>
                <w:rFonts w:hint="eastAsia"/>
                <w:sz w:val="24"/>
                <w:szCs w:val="32"/>
              </w:rPr>
              <w:t>，扩建前项目主要由主体工程、辅助配套工程、公用工程及环保工程组成。</w:t>
            </w:r>
            <w:r>
              <w:rPr>
                <w:rFonts w:hint="eastAsia"/>
                <w:color w:val="000000"/>
                <w:sz w:val="24"/>
                <w:szCs w:val="32"/>
              </w:rPr>
              <w:t>原项目组成如下表所示：</w:t>
            </w:r>
          </w:p>
          <w:p>
            <w:pPr>
              <w:pStyle w:val="72"/>
              <w:spacing w:line="240" w:lineRule="auto"/>
              <w:ind w:firstLine="0" w:firstLineChars="0"/>
              <w:jc w:val="center"/>
              <w:rPr>
                <w:rFonts w:hint="eastAsia" w:hAnsi="宋体"/>
                <w:b/>
                <w:bCs/>
                <w:kern w:val="2"/>
                <w:sz w:val="21"/>
                <w:szCs w:val="21"/>
              </w:rPr>
            </w:pPr>
            <w:r>
              <w:rPr>
                <w:rFonts w:hint="eastAsia" w:hAnsi="宋体"/>
                <w:b/>
                <w:bCs/>
                <w:kern w:val="2"/>
                <w:sz w:val="21"/>
                <w:szCs w:val="21"/>
              </w:rPr>
              <w:t>表2-</w:t>
            </w:r>
            <w:r>
              <w:rPr>
                <w:rFonts w:hint="eastAsia" w:hAnsi="宋体"/>
                <w:b/>
                <w:bCs/>
                <w:kern w:val="2"/>
                <w:sz w:val="21"/>
                <w:szCs w:val="21"/>
                <w:lang w:val="en-US" w:eastAsia="zh-CN"/>
              </w:rPr>
              <w:t xml:space="preserve">15 </w:t>
            </w:r>
            <w:r>
              <w:rPr>
                <w:rFonts w:hint="eastAsia" w:hAnsi="宋体"/>
                <w:b/>
                <w:bCs/>
                <w:kern w:val="2"/>
                <w:sz w:val="21"/>
                <w:szCs w:val="21"/>
              </w:rPr>
              <w:t xml:space="preserve"> 扩建前项目组成一览表</w:t>
            </w:r>
          </w:p>
          <w:tbl>
            <w:tblPr>
              <w:tblStyle w:val="41"/>
              <w:tblW w:w="7933"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5"/>
              <w:gridCol w:w="1107"/>
              <w:gridCol w:w="581"/>
              <w:gridCol w:w="540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845" w:type="dxa"/>
                  <w:noWrap w:val="0"/>
                  <w:vAlign w:val="center"/>
                </w:tcPr>
                <w:p>
                  <w:pPr>
                    <w:pStyle w:val="72"/>
                    <w:spacing w:line="240" w:lineRule="auto"/>
                    <w:ind w:firstLine="0" w:firstLineChars="0"/>
                    <w:jc w:val="center"/>
                    <w:rPr>
                      <w:rFonts w:hint="eastAsia" w:hAnsi="宋体"/>
                      <w:b/>
                      <w:bCs/>
                      <w:kern w:val="2"/>
                      <w:sz w:val="21"/>
                      <w:szCs w:val="21"/>
                    </w:rPr>
                  </w:pPr>
                  <w:r>
                    <w:rPr>
                      <w:rFonts w:hint="eastAsia" w:hAnsi="宋体"/>
                      <w:b/>
                      <w:bCs/>
                      <w:kern w:val="2"/>
                      <w:sz w:val="21"/>
                      <w:szCs w:val="21"/>
                    </w:rPr>
                    <w:t>工程分类</w:t>
                  </w:r>
                </w:p>
              </w:tc>
              <w:tc>
                <w:tcPr>
                  <w:tcW w:w="1688" w:type="dxa"/>
                  <w:gridSpan w:val="2"/>
                  <w:noWrap w:val="0"/>
                  <w:vAlign w:val="center"/>
                </w:tcPr>
                <w:p>
                  <w:pPr>
                    <w:pStyle w:val="72"/>
                    <w:spacing w:line="240" w:lineRule="auto"/>
                    <w:ind w:firstLine="0" w:firstLineChars="0"/>
                    <w:jc w:val="center"/>
                    <w:rPr>
                      <w:rFonts w:hint="eastAsia" w:hAnsi="宋体"/>
                      <w:b/>
                      <w:bCs/>
                      <w:kern w:val="2"/>
                      <w:sz w:val="21"/>
                      <w:szCs w:val="21"/>
                    </w:rPr>
                  </w:pPr>
                  <w:r>
                    <w:rPr>
                      <w:rFonts w:hint="eastAsia" w:hAnsi="宋体"/>
                      <w:b/>
                      <w:bCs/>
                      <w:kern w:val="2"/>
                      <w:sz w:val="21"/>
                      <w:szCs w:val="21"/>
                    </w:rPr>
                    <w:t>建设内容</w:t>
                  </w:r>
                </w:p>
              </w:tc>
              <w:tc>
                <w:tcPr>
                  <w:tcW w:w="5400" w:type="dxa"/>
                  <w:noWrap w:val="0"/>
                  <w:vAlign w:val="center"/>
                </w:tcPr>
                <w:p>
                  <w:pPr>
                    <w:pStyle w:val="72"/>
                    <w:spacing w:line="240" w:lineRule="auto"/>
                    <w:ind w:firstLine="0" w:firstLineChars="0"/>
                    <w:jc w:val="center"/>
                    <w:rPr>
                      <w:rFonts w:hint="eastAsia" w:hAnsi="宋体"/>
                      <w:b/>
                      <w:bCs/>
                      <w:kern w:val="2"/>
                      <w:sz w:val="21"/>
                      <w:szCs w:val="21"/>
                    </w:rPr>
                  </w:pPr>
                  <w:r>
                    <w:rPr>
                      <w:rFonts w:hint="eastAsia" w:hAnsi="宋体"/>
                      <w:b/>
                      <w:bCs/>
                      <w:kern w:val="2"/>
                      <w:sz w:val="21"/>
                      <w:szCs w:val="21"/>
                    </w:rPr>
                    <w:t>建设规模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3" w:hRule="atLeast"/>
                <w:jc w:val="center"/>
              </w:trPr>
              <w:tc>
                <w:tcPr>
                  <w:tcW w:w="845" w:type="dxa"/>
                  <w:vMerge w:val="restart"/>
                  <w:noWrap w:val="0"/>
                  <w:vAlign w:val="center"/>
                </w:tcPr>
                <w:p>
                  <w:pPr>
                    <w:pStyle w:val="72"/>
                    <w:spacing w:line="240" w:lineRule="auto"/>
                    <w:ind w:firstLine="0" w:firstLineChars="0"/>
                    <w:jc w:val="center"/>
                    <w:rPr>
                      <w:rFonts w:hint="eastAsia" w:hAnsi="宋体"/>
                      <w:kern w:val="2"/>
                      <w:sz w:val="21"/>
                      <w:szCs w:val="21"/>
                    </w:rPr>
                  </w:pPr>
                  <w:r>
                    <w:rPr>
                      <w:rFonts w:hint="eastAsia" w:hAnsi="宋体"/>
                      <w:kern w:val="2"/>
                      <w:sz w:val="21"/>
                      <w:szCs w:val="21"/>
                    </w:rPr>
                    <w:t>主体工程</w:t>
                  </w:r>
                </w:p>
              </w:tc>
              <w:tc>
                <w:tcPr>
                  <w:tcW w:w="1107" w:type="dxa"/>
                  <w:vMerge w:val="restart"/>
                  <w:noWrap w:val="0"/>
                  <w:vAlign w:val="center"/>
                </w:tcPr>
                <w:p>
                  <w:pPr>
                    <w:pStyle w:val="72"/>
                    <w:spacing w:line="240" w:lineRule="auto"/>
                    <w:ind w:firstLine="0" w:firstLineChars="0"/>
                    <w:jc w:val="center"/>
                    <w:rPr>
                      <w:rFonts w:hint="eastAsia" w:hAnsi="宋体"/>
                      <w:kern w:val="2"/>
                      <w:sz w:val="21"/>
                      <w:szCs w:val="21"/>
                      <w:lang w:eastAsia="zh-CN"/>
                    </w:rPr>
                  </w:pPr>
                  <w:r>
                    <w:rPr>
                      <w:rFonts w:hint="eastAsia" w:hAnsi="宋体"/>
                      <w:kern w:val="2"/>
                      <w:sz w:val="21"/>
                      <w:szCs w:val="21"/>
                      <w:lang w:eastAsia="zh-CN"/>
                    </w:rPr>
                    <w:t>门诊楼</w:t>
                  </w:r>
                </w:p>
                <w:p>
                  <w:pPr>
                    <w:pStyle w:val="72"/>
                    <w:spacing w:line="240" w:lineRule="auto"/>
                    <w:ind w:firstLine="0" w:firstLineChars="0"/>
                    <w:jc w:val="center"/>
                    <w:rPr>
                      <w:rFonts w:hint="eastAsia" w:hAnsi="宋体" w:eastAsia="宋体"/>
                      <w:kern w:val="2"/>
                      <w:sz w:val="21"/>
                      <w:szCs w:val="21"/>
                      <w:lang w:eastAsia="zh-CN"/>
                    </w:rPr>
                  </w:pPr>
                  <w:r>
                    <w:rPr>
                      <w:rFonts w:hint="eastAsia" w:hAnsi="宋体"/>
                      <w:kern w:val="2"/>
                      <w:sz w:val="21"/>
                      <w:szCs w:val="21"/>
                      <w:lang w:eastAsia="zh-CN"/>
                    </w:rPr>
                    <w:t>（</w:t>
                  </w:r>
                  <w:r>
                    <w:rPr>
                      <w:rFonts w:hint="eastAsia" w:hAnsi="宋体"/>
                      <w:kern w:val="2"/>
                      <w:sz w:val="21"/>
                      <w:szCs w:val="21"/>
                      <w:lang w:val="en-US" w:eastAsia="zh-CN"/>
                    </w:rPr>
                    <w:t>1号楼</w:t>
                  </w:r>
                  <w:r>
                    <w:rPr>
                      <w:rFonts w:hint="eastAsia" w:hAnsi="宋体"/>
                      <w:kern w:val="2"/>
                      <w:sz w:val="21"/>
                      <w:szCs w:val="21"/>
                      <w:lang w:eastAsia="zh-CN"/>
                    </w:rPr>
                    <w:t>）</w:t>
                  </w:r>
                </w:p>
              </w:tc>
              <w:tc>
                <w:tcPr>
                  <w:tcW w:w="581" w:type="dxa"/>
                  <w:noWrap w:val="0"/>
                  <w:vAlign w:val="center"/>
                </w:tcPr>
                <w:p>
                  <w:pPr>
                    <w:pStyle w:val="72"/>
                    <w:spacing w:line="240" w:lineRule="auto"/>
                    <w:ind w:firstLine="0" w:firstLineChars="0"/>
                    <w:jc w:val="center"/>
                    <w:rPr>
                      <w:rFonts w:hint="default" w:hAnsi="宋体" w:eastAsia="宋体"/>
                      <w:kern w:val="2"/>
                      <w:sz w:val="21"/>
                      <w:szCs w:val="21"/>
                      <w:lang w:val="en-US" w:eastAsia="zh-CN"/>
                    </w:rPr>
                  </w:pPr>
                  <w:r>
                    <w:rPr>
                      <w:rFonts w:hint="eastAsia" w:hAnsi="宋体"/>
                      <w:kern w:val="2"/>
                      <w:sz w:val="21"/>
                      <w:szCs w:val="21"/>
                      <w:lang w:val="en-US" w:eastAsia="zh-CN"/>
                    </w:rPr>
                    <w:t>1F</w:t>
                  </w:r>
                </w:p>
              </w:tc>
              <w:tc>
                <w:tcPr>
                  <w:tcW w:w="5400" w:type="dxa"/>
                  <w:noWrap w:val="0"/>
                  <w:vAlign w:val="center"/>
                </w:tcPr>
                <w:p>
                  <w:pPr>
                    <w:adjustRightInd w:val="0"/>
                    <w:jc w:val="center"/>
                    <w:rPr>
                      <w:rFonts w:hAnsi="宋体"/>
                      <w:kern w:val="2"/>
                      <w:sz w:val="21"/>
                      <w:szCs w:val="21"/>
                    </w:rPr>
                  </w:pPr>
                  <w:r>
                    <w:rPr>
                      <w:rFonts w:hint="eastAsia"/>
                      <w:szCs w:val="21"/>
                      <w:lang w:eastAsia="zh-CN"/>
                    </w:rPr>
                    <w:t>建筑面积约</w:t>
                  </w:r>
                  <w:r>
                    <w:rPr>
                      <w:rFonts w:hint="eastAsia"/>
                      <w:szCs w:val="21"/>
                      <w:lang w:val="en-US" w:eastAsia="zh-CN"/>
                    </w:rPr>
                    <w:t>620m</w:t>
                  </w:r>
                  <w:r>
                    <w:rPr>
                      <w:rFonts w:hint="eastAsia"/>
                      <w:szCs w:val="21"/>
                      <w:vertAlign w:val="superscript"/>
                      <w:lang w:val="en-US" w:eastAsia="zh-CN"/>
                    </w:rPr>
                    <w:t>2</w:t>
                  </w:r>
                  <w:r>
                    <w:rPr>
                      <w:rFonts w:hint="eastAsia"/>
                      <w:szCs w:val="21"/>
                      <w:lang w:val="en-US" w:eastAsia="zh-CN"/>
                    </w:rPr>
                    <w:t>，设医疗废物暂存间、门诊室、收费室、药房、财务室、办公室、会议室、杂物间、医务科、门卫室、病房等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845" w:type="dxa"/>
                  <w:vMerge w:val="continue"/>
                  <w:noWrap w:val="0"/>
                  <w:vAlign w:val="center"/>
                </w:tcPr>
                <w:p>
                  <w:pPr>
                    <w:pStyle w:val="72"/>
                    <w:spacing w:line="240" w:lineRule="auto"/>
                    <w:ind w:firstLine="0" w:firstLineChars="0"/>
                    <w:jc w:val="center"/>
                    <w:rPr>
                      <w:rFonts w:hint="eastAsia" w:hAnsi="宋体"/>
                      <w:kern w:val="2"/>
                      <w:sz w:val="21"/>
                      <w:szCs w:val="21"/>
                    </w:rPr>
                  </w:pPr>
                </w:p>
              </w:tc>
              <w:tc>
                <w:tcPr>
                  <w:tcW w:w="1107" w:type="dxa"/>
                  <w:vMerge w:val="continue"/>
                  <w:noWrap w:val="0"/>
                  <w:vAlign w:val="center"/>
                </w:tcPr>
                <w:p>
                  <w:pPr>
                    <w:pStyle w:val="72"/>
                    <w:spacing w:line="240" w:lineRule="auto"/>
                    <w:ind w:firstLine="0" w:firstLineChars="0"/>
                    <w:jc w:val="center"/>
                    <w:rPr>
                      <w:rFonts w:hint="eastAsia" w:hAnsi="宋体"/>
                      <w:kern w:val="2"/>
                      <w:sz w:val="21"/>
                      <w:szCs w:val="21"/>
                    </w:rPr>
                  </w:pPr>
                </w:p>
              </w:tc>
              <w:tc>
                <w:tcPr>
                  <w:tcW w:w="581" w:type="dxa"/>
                  <w:noWrap w:val="0"/>
                  <w:vAlign w:val="center"/>
                </w:tcPr>
                <w:p>
                  <w:pPr>
                    <w:pStyle w:val="72"/>
                    <w:spacing w:line="240" w:lineRule="auto"/>
                    <w:ind w:firstLine="0" w:firstLineChars="0"/>
                    <w:jc w:val="center"/>
                    <w:rPr>
                      <w:rFonts w:hint="default" w:hAnsi="宋体" w:eastAsia="宋体"/>
                      <w:kern w:val="2"/>
                      <w:sz w:val="21"/>
                      <w:szCs w:val="21"/>
                      <w:lang w:val="en-US" w:eastAsia="zh-CN"/>
                    </w:rPr>
                  </w:pPr>
                  <w:r>
                    <w:rPr>
                      <w:rFonts w:hint="eastAsia" w:hAnsi="宋体"/>
                      <w:kern w:val="2"/>
                      <w:sz w:val="21"/>
                      <w:szCs w:val="21"/>
                      <w:lang w:val="en-US" w:eastAsia="zh-CN"/>
                    </w:rPr>
                    <w:t>2F</w:t>
                  </w:r>
                </w:p>
              </w:tc>
              <w:tc>
                <w:tcPr>
                  <w:tcW w:w="5400" w:type="dxa"/>
                  <w:noWrap w:val="0"/>
                  <w:vAlign w:val="center"/>
                </w:tcPr>
                <w:p>
                  <w:pPr>
                    <w:adjustRightInd w:val="0"/>
                    <w:jc w:val="center"/>
                    <w:rPr>
                      <w:rFonts w:hAnsi="宋体"/>
                      <w:kern w:val="2"/>
                      <w:sz w:val="21"/>
                      <w:szCs w:val="21"/>
                    </w:rPr>
                  </w:pPr>
                  <w:r>
                    <w:rPr>
                      <w:rFonts w:hint="eastAsia"/>
                      <w:szCs w:val="21"/>
                      <w:lang w:eastAsia="zh-CN"/>
                    </w:rPr>
                    <w:t>建筑面积约</w:t>
                  </w:r>
                  <w:r>
                    <w:rPr>
                      <w:rFonts w:hint="eastAsia"/>
                      <w:szCs w:val="21"/>
                      <w:lang w:val="en-US" w:eastAsia="zh-CN"/>
                    </w:rPr>
                    <w:t>520m</w:t>
                  </w:r>
                  <w:r>
                    <w:rPr>
                      <w:rFonts w:hint="eastAsia"/>
                      <w:szCs w:val="21"/>
                      <w:vertAlign w:val="superscript"/>
                      <w:lang w:val="en-US" w:eastAsia="zh-CN"/>
                    </w:rPr>
                    <w:t>2</w:t>
                  </w:r>
                  <w:r>
                    <w:rPr>
                      <w:rFonts w:hint="eastAsia"/>
                      <w:szCs w:val="21"/>
                      <w:lang w:val="en-US" w:eastAsia="zh-CN"/>
                    </w:rPr>
                    <w:t>，设办公室、心理咨询室、保健室、资料室、会议室等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5" w:type="dxa"/>
                  <w:vMerge w:val="continue"/>
                  <w:noWrap w:val="0"/>
                  <w:vAlign w:val="center"/>
                </w:tcPr>
                <w:p>
                  <w:pPr>
                    <w:pStyle w:val="72"/>
                    <w:spacing w:line="240" w:lineRule="auto"/>
                    <w:ind w:firstLine="0" w:firstLineChars="0"/>
                    <w:jc w:val="center"/>
                    <w:rPr>
                      <w:rFonts w:hint="eastAsia" w:hAnsi="宋体"/>
                      <w:kern w:val="2"/>
                      <w:sz w:val="21"/>
                      <w:szCs w:val="21"/>
                    </w:rPr>
                  </w:pPr>
                </w:p>
              </w:tc>
              <w:tc>
                <w:tcPr>
                  <w:tcW w:w="1107" w:type="dxa"/>
                  <w:vMerge w:val="continue"/>
                  <w:noWrap w:val="0"/>
                  <w:vAlign w:val="center"/>
                </w:tcPr>
                <w:p>
                  <w:pPr>
                    <w:pStyle w:val="72"/>
                    <w:spacing w:line="240" w:lineRule="auto"/>
                    <w:ind w:firstLine="0" w:firstLineChars="0"/>
                    <w:jc w:val="center"/>
                    <w:rPr>
                      <w:rFonts w:hint="eastAsia" w:hAnsi="宋体"/>
                      <w:kern w:val="2"/>
                      <w:sz w:val="21"/>
                      <w:szCs w:val="21"/>
                    </w:rPr>
                  </w:pPr>
                </w:p>
              </w:tc>
              <w:tc>
                <w:tcPr>
                  <w:tcW w:w="581" w:type="dxa"/>
                  <w:noWrap w:val="0"/>
                  <w:vAlign w:val="center"/>
                </w:tcPr>
                <w:p>
                  <w:pPr>
                    <w:pStyle w:val="72"/>
                    <w:spacing w:line="240" w:lineRule="auto"/>
                    <w:ind w:firstLine="0" w:firstLineChars="0"/>
                    <w:jc w:val="center"/>
                    <w:rPr>
                      <w:rFonts w:hint="default" w:hAnsi="宋体"/>
                      <w:kern w:val="2"/>
                      <w:sz w:val="21"/>
                      <w:szCs w:val="21"/>
                      <w:lang w:val="en-US" w:eastAsia="zh-CN"/>
                    </w:rPr>
                  </w:pPr>
                  <w:r>
                    <w:rPr>
                      <w:rFonts w:hint="eastAsia" w:hAnsi="宋体"/>
                      <w:kern w:val="2"/>
                      <w:sz w:val="21"/>
                      <w:szCs w:val="21"/>
                      <w:lang w:val="en-US" w:eastAsia="zh-CN"/>
                    </w:rPr>
                    <w:t>3F</w:t>
                  </w:r>
                </w:p>
              </w:tc>
              <w:tc>
                <w:tcPr>
                  <w:tcW w:w="5400" w:type="dxa"/>
                  <w:noWrap w:val="0"/>
                  <w:vAlign w:val="center"/>
                </w:tcPr>
                <w:p>
                  <w:pPr>
                    <w:adjustRightInd w:val="0"/>
                    <w:jc w:val="center"/>
                    <w:rPr>
                      <w:rFonts w:hint="eastAsia" w:hAnsi="宋体"/>
                      <w:kern w:val="2"/>
                      <w:sz w:val="21"/>
                      <w:szCs w:val="21"/>
                    </w:rPr>
                  </w:pPr>
                  <w:r>
                    <w:rPr>
                      <w:rFonts w:hint="eastAsia"/>
                      <w:szCs w:val="21"/>
                      <w:lang w:eastAsia="zh-CN"/>
                    </w:rPr>
                    <w:t>建筑面积约</w:t>
                  </w:r>
                  <w:r>
                    <w:rPr>
                      <w:rFonts w:hint="eastAsia"/>
                      <w:szCs w:val="21"/>
                      <w:lang w:val="en-US" w:eastAsia="zh-CN"/>
                    </w:rPr>
                    <w:t>320m</w:t>
                  </w:r>
                  <w:r>
                    <w:rPr>
                      <w:rFonts w:hint="eastAsia"/>
                      <w:szCs w:val="21"/>
                      <w:vertAlign w:val="superscript"/>
                      <w:lang w:val="en-US" w:eastAsia="zh-CN"/>
                    </w:rPr>
                    <w:t>2</w:t>
                  </w:r>
                  <w:r>
                    <w:rPr>
                      <w:rFonts w:hint="eastAsia"/>
                      <w:szCs w:val="21"/>
                      <w:lang w:val="en-US" w:eastAsia="zh-CN"/>
                    </w:rPr>
                    <w:t>，设隔离室、病房等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5" w:type="dxa"/>
                  <w:vMerge w:val="continue"/>
                  <w:noWrap w:val="0"/>
                  <w:vAlign w:val="center"/>
                </w:tcPr>
                <w:p>
                  <w:pPr>
                    <w:pStyle w:val="72"/>
                    <w:spacing w:line="240" w:lineRule="auto"/>
                    <w:ind w:firstLine="0" w:firstLineChars="0"/>
                    <w:jc w:val="center"/>
                    <w:rPr>
                      <w:rFonts w:hint="eastAsia" w:hAnsi="宋体"/>
                      <w:kern w:val="2"/>
                      <w:sz w:val="21"/>
                      <w:szCs w:val="21"/>
                    </w:rPr>
                  </w:pPr>
                </w:p>
              </w:tc>
              <w:tc>
                <w:tcPr>
                  <w:tcW w:w="1107" w:type="dxa"/>
                  <w:vMerge w:val="restart"/>
                  <w:noWrap w:val="0"/>
                  <w:vAlign w:val="center"/>
                </w:tcPr>
                <w:p>
                  <w:pPr>
                    <w:pStyle w:val="72"/>
                    <w:spacing w:line="240" w:lineRule="auto"/>
                    <w:ind w:firstLine="0" w:firstLineChars="0"/>
                    <w:jc w:val="center"/>
                    <w:rPr>
                      <w:rFonts w:hint="eastAsia" w:hAnsi="宋体"/>
                      <w:kern w:val="2"/>
                      <w:sz w:val="21"/>
                      <w:szCs w:val="21"/>
                    </w:rPr>
                  </w:pPr>
                  <w:r>
                    <w:rPr>
                      <w:rFonts w:hint="eastAsia" w:hAnsi="宋体"/>
                      <w:kern w:val="2"/>
                      <w:sz w:val="21"/>
                      <w:szCs w:val="21"/>
                    </w:rPr>
                    <w:t>住院楼</w:t>
                  </w:r>
                </w:p>
                <w:p>
                  <w:pPr>
                    <w:pStyle w:val="72"/>
                    <w:spacing w:line="240" w:lineRule="auto"/>
                    <w:ind w:firstLine="0" w:firstLineChars="0"/>
                    <w:jc w:val="center"/>
                    <w:rPr>
                      <w:rFonts w:hint="eastAsia" w:hAnsi="宋体" w:eastAsia="宋体"/>
                      <w:kern w:val="2"/>
                      <w:sz w:val="21"/>
                      <w:szCs w:val="21"/>
                      <w:lang w:eastAsia="zh-CN"/>
                    </w:rPr>
                  </w:pPr>
                  <w:r>
                    <w:rPr>
                      <w:rFonts w:hint="eastAsia" w:hAnsi="宋体"/>
                      <w:kern w:val="2"/>
                      <w:sz w:val="21"/>
                      <w:szCs w:val="21"/>
                      <w:lang w:eastAsia="zh-CN"/>
                    </w:rPr>
                    <w:t>（</w:t>
                  </w:r>
                  <w:r>
                    <w:rPr>
                      <w:rFonts w:hint="eastAsia" w:hAnsi="宋体"/>
                      <w:kern w:val="2"/>
                      <w:sz w:val="21"/>
                      <w:szCs w:val="21"/>
                      <w:lang w:val="en-US" w:eastAsia="zh-CN"/>
                    </w:rPr>
                    <w:t>2号楼</w:t>
                  </w:r>
                  <w:r>
                    <w:rPr>
                      <w:rFonts w:hint="eastAsia" w:hAnsi="宋体"/>
                      <w:kern w:val="2"/>
                      <w:sz w:val="21"/>
                      <w:szCs w:val="21"/>
                      <w:lang w:eastAsia="zh-CN"/>
                    </w:rPr>
                    <w:t>）</w:t>
                  </w:r>
                </w:p>
              </w:tc>
              <w:tc>
                <w:tcPr>
                  <w:tcW w:w="581" w:type="dxa"/>
                  <w:noWrap w:val="0"/>
                  <w:vAlign w:val="center"/>
                </w:tcPr>
                <w:p>
                  <w:pPr>
                    <w:pStyle w:val="72"/>
                    <w:spacing w:line="240" w:lineRule="auto"/>
                    <w:ind w:firstLine="0" w:firstLineChars="0"/>
                    <w:jc w:val="center"/>
                    <w:rPr>
                      <w:rFonts w:hint="eastAsia" w:hAnsi="宋体"/>
                      <w:kern w:val="2"/>
                      <w:sz w:val="21"/>
                      <w:szCs w:val="21"/>
                    </w:rPr>
                  </w:pPr>
                  <w:r>
                    <w:rPr>
                      <w:rFonts w:hint="eastAsia" w:hAnsi="宋体"/>
                      <w:kern w:val="2"/>
                      <w:sz w:val="21"/>
                      <w:szCs w:val="21"/>
                      <w:lang w:val="en-US" w:eastAsia="zh-CN"/>
                    </w:rPr>
                    <w:t>1F</w:t>
                  </w:r>
                </w:p>
              </w:tc>
              <w:tc>
                <w:tcPr>
                  <w:tcW w:w="5400" w:type="dxa"/>
                  <w:noWrap w:val="0"/>
                  <w:vAlign w:val="center"/>
                </w:tcPr>
                <w:p>
                  <w:pPr>
                    <w:adjustRightInd w:val="0"/>
                    <w:jc w:val="center"/>
                    <w:rPr>
                      <w:rFonts w:hAnsi="宋体"/>
                      <w:kern w:val="2"/>
                      <w:sz w:val="21"/>
                      <w:szCs w:val="21"/>
                    </w:rPr>
                  </w:pPr>
                  <w:r>
                    <w:rPr>
                      <w:rFonts w:hint="eastAsia"/>
                      <w:szCs w:val="21"/>
                      <w:lang w:eastAsia="zh-CN"/>
                    </w:rPr>
                    <w:t>建筑面积约</w:t>
                  </w:r>
                  <w:r>
                    <w:rPr>
                      <w:rFonts w:hint="eastAsia"/>
                      <w:szCs w:val="21"/>
                      <w:lang w:val="en-US" w:eastAsia="zh-CN"/>
                    </w:rPr>
                    <w:t>610m</w:t>
                  </w:r>
                  <w:r>
                    <w:rPr>
                      <w:rFonts w:hint="eastAsia"/>
                      <w:szCs w:val="21"/>
                      <w:vertAlign w:val="superscript"/>
                      <w:lang w:val="en-US" w:eastAsia="zh-CN"/>
                    </w:rPr>
                    <w:t>2</w:t>
                  </w:r>
                  <w:r>
                    <w:rPr>
                      <w:rFonts w:hint="eastAsia"/>
                      <w:szCs w:val="21"/>
                      <w:lang w:val="en-US" w:eastAsia="zh-CN"/>
                    </w:rPr>
                    <w:t>，设卫生间、病房等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5" w:type="dxa"/>
                  <w:vMerge w:val="continue"/>
                  <w:noWrap w:val="0"/>
                  <w:vAlign w:val="center"/>
                </w:tcPr>
                <w:p>
                  <w:pPr>
                    <w:pStyle w:val="72"/>
                    <w:spacing w:line="240" w:lineRule="auto"/>
                    <w:ind w:firstLine="0" w:firstLineChars="0"/>
                    <w:jc w:val="center"/>
                    <w:rPr>
                      <w:rFonts w:hint="eastAsia" w:hAnsi="宋体"/>
                      <w:kern w:val="2"/>
                      <w:sz w:val="21"/>
                      <w:szCs w:val="21"/>
                    </w:rPr>
                  </w:pPr>
                </w:p>
              </w:tc>
              <w:tc>
                <w:tcPr>
                  <w:tcW w:w="1107" w:type="dxa"/>
                  <w:vMerge w:val="continue"/>
                  <w:noWrap w:val="0"/>
                  <w:vAlign w:val="center"/>
                </w:tcPr>
                <w:p>
                  <w:pPr>
                    <w:pStyle w:val="72"/>
                    <w:spacing w:line="240" w:lineRule="auto"/>
                    <w:ind w:firstLine="0" w:firstLineChars="0"/>
                    <w:jc w:val="center"/>
                    <w:rPr>
                      <w:rFonts w:hint="eastAsia" w:hAnsi="宋体"/>
                      <w:kern w:val="2"/>
                      <w:sz w:val="21"/>
                      <w:szCs w:val="21"/>
                      <w:lang w:eastAsia="zh-CN"/>
                    </w:rPr>
                  </w:pPr>
                </w:p>
              </w:tc>
              <w:tc>
                <w:tcPr>
                  <w:tcW w:w="581" w:type="dxa"/>
                  <w:noWrap w:val="0"/>
                  <w:vAlign w:val="center"/>
                </w:tcPr>
                <w:p>
                  <w:pPr>
                    <w:pStyle w:val="72"/>
                    <w:spacing w:line="240" w:lineRule="auto"/>
                    <w:ind w:firstLine="0" w:firstLineChars="0"/>
                    <w:jc w:val="center"/>
                    <w:rPr>
                      <w:rFonts w:hint="eastAsia" w:hAnsi="宋体"/>
                      <w:kern w:val="2"/>
                      <w:sz w:val="21"/>
                      <w:szCs w:val="21"/>
                    </w:rPr>
                  </w:pPr>
                  <w:r>
                    <w:rPr>
                      <w:rFonts w:hint="eastAsia" w:hAnsi="宋体"/>
                      <w:kern w:val="2"/>
                      <w:sz w:val="21"/>
                      <w:szCs w:val="21"/>
                      <w:lang w:val="en-US" w:eastAsia="zh-CN"/>
                    </w:rPr>
                    <w:t>2F</w:t>
                  </w:r>
                </w:p>
              </w:tc>
              <w:tc>
                <w:tcPr>
                  <w:tcW w:w="5400" w:type="dxa"/>
                  <w:noWrap w:val="0"/>
                  <w:vAlign w:val="center"/>
                </w:tcPr>
                <w:p>
                  <w:pPr>
                    <w:adjustRightInd w:val="0"/>
                    <w:jc w:val="center"/>
                    <w:rPr>
                      <w:rFonts w:hint="eastAsia" w:hAnsi="宋体"/>
                      <w:kern w:val="2"/>
                      <w:sz w:val="21"/>
                      <w:szCs w:val="21"/>
                    </w:rPr>
                  </w:pPr>
                  <w:r>
                    <w:rPr>
                      <w:rFonts w:hint="eastAsia"/>
                      <w:szCs w:val="21"/>
                      <w:lang w:eastAsia="zh-CN"/>
                    </w:rPr>
                    <w:t>建筑面积约</w:t>
                  </w:r>
                  <w:r>
                    <w:rPr>
                      <w:rFonts w:hint="eastAsia"/>
                      <w:szCs w:val="21"/>
                      <w:lang w:val="en-US" w:eastAsia="zh-CN"/>
                    </w:rPr>
                    <w:t>610m</w:t>
                  </w:r>
                  <w:r>
                    <w:rPr>
                      <w:rFonts w:hint="eastAsia"/>
                      <w:szCs w:val="21"/>
                      <w:vertAlign w:val="superscript"/>
                      <w:lang w:val="en-US" w:eastAsia="zh-CN"/>
                    </w:rPr>
                    <w:t>2</w:t>
                  </w:r>
                  <w:r>
                    <w:rPr>
                      <w:rFonts w:hint="eastAsia"/>
                      <w:szCs w:val="21"/>
                      <w:lang w:val="en-US" w:eastAsia="zh-CN"/>
                    </w:rPr>
                    <w:t>，设卫生间、病房等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845" w:type="dxa"/>
                  <w:vMerge w:val="continue"/>
                  <w:noWrap w:val="0"/>
                  <w:vAlign w:val="center"/>
                </w:tcPr>
                <w:p>
                  <w:pPr>
                    <w:pStyle w:val="72"/>
                    <w:spacing w:line="240" w:lineRule="auto"/>
                    <w:ind w:firstLine="0" w:firstLineChars="0"/>
                    <w:jc w:val="center"/>
                    <w:rPr>
                      <w:rFonts w:hint="eastAsia" w:hAnsi="宋体"/>
                      <w:kern w:val="2"/>
                      <w:sz w:val="21"/>
                      <w:szCs w:val="21"/>
                    </w:rPr>
                  </w:pPr>
                </w:p>
              </w:tc>
              <w:tc>
                <w:tcPr>
                  <w:tcW w:w="1107" w:type="dxa"/>
                  <w:noWrap w:val="0"/>
                  <w:vAlign w:val="center"/>
                </w:tcPr>
                <w:p>
                  <w:pPr>
                    <w:pStyle w:val="72"/>
                    <w:spacing w:line="240" w:lineRule="auto"/>
                    <w:ind w:firstLine="0" w:firstLineChars="0"/>
                    <w:jc w:val="center"/>
                    <w:rPr>
                      <w:rFonts w:hint="eastAsia" w:hAnsi="宋体"/>
                      <w:kern w:val="2"/>
                      <w:sz w:val="21"/>
                      <w:szCs w:val="21"/>
                      <w:lang w:eastAsia="zh-CN"/>
                    </w:rPr>
                  </w:pPr>
                  <w:r>
                    <w:rPr>
                      <w:rFonts w:hint="eastAsia" w:hAnsi="宋体"/>
                      <w:kern w:val="2"/>
                      <w:sz w:val="21"/>
                      <w:szCs w:val="21"/>
                      <w:lang w:eastAsia="zh-CN"/>
                    </w:rPr>
                    <w:t>住院楼</w:t>
                  </w:r>
                </w:p>
                <w:p>
                  <w:pPr>
                    <w:pStyle w:val="72"/>
                    <w:spacing w:line="240" w:lineRule="auto"/>
                    <w:ind w:firstLine="0" w:firstLineChars="0"/>
                    <w:jc w:val="center"/>
                    <w:rPr>
                      <w:rFonts w:hint="eastAsia" w:hAnsi="宋体"/>
                      <w:kern w:val="2"/>
                      <w:sz w:val="21"/>
                      <w:szCs w:val="21"/>
                      <w:lang w:eastAsia="zh-CN"/>
                    </w:rPr>
                  </w:pPr>
                  <w:r>
                    <w:rPr>
                      <w:rFonts w:hint="eastAsia" w:hAnsi="宋体"/>
                      <w:kern w:val="2"/>
                      <w:sz w:val="21"/>
                      <w:szCs w:val="21"/>
                      <w:lang w:eastAsia="zh-CN"/>
                    </w:rPr>
                    <w:t>（</w:t>
                  </w:r>
                  <w:r>
                    <w:rPr>
                      <w:rFonts w:hint="eastAsia" w:hAnsi="宋体"/>
                      <w:kern w:val="2"/>
                      <w:sz w:val="21"/>
                      <w:szCs w:val="21"/>
                      <w:lang w:val="en-US" w:eastAsia="zh-CN"/>
                    </w:rPr>
                    <w:t>3号楼</w:t>
                  </w:r>
                  <w:r>
                    <w:rPr>
                      <w:rFonts w:hint="eastAsia" w:hAnsi="宋体"/>
                      <w:kern w:val="2"/>
                      <w:sz w:val="21"/>
                      <w:szCs w:val="21"/>
                      <w:lang w:eastAsia="zh-CN"/>
                    </w:rPr>
                    <w:t>）</w:t>
                  </w:r>
                </w:p>
              </w:tc>
              <w:tc>
                <w:tcPr>
                  <w:tcW w:w="581" w:type="dxa"/>
                  <w:noWrap w:val="0"/>
                  <w:vAlign w:val="center"/>
                </w:tcPr>
                <w:p>
                  <w:pPr>
                    <w:pStyle w:val="72"/>
                    <w:spacing w:line="240" w:lineRule="auto"/>
                    <w:ind w:firstLine="0" w:firstLineChars="0"/>
                    <w:jc w:val="center"/>
                    <w:rPr>
                      <w:rFonts w:hint="default" w:hAnsi="宋体"/>
                      <w:kern w:val="2"/>
                      <w:sz w:val="21"/>
                      <w:szCs w:val="21"/>
                      <w:lang w:val="en-US" w:eastAsia="zh-CN"/>
                    </w:rPr>
                  </w:pPr>
                  <w:r>
                    <w:rPr>
                      <w:rFonts w:hint="eastAsia" w:hAnsi="宋体"/>
                      <w:kern w:val="2"/>
                      <w:sz w:val="21"/>
                      <w:szCs w:val="21"/>
                      <w:lang w:val="en-US" w:eastAsia="zh-CN"/>
                    </w:rPr>
                    <w:t>1～4F</w:t>
                  </w:r>
                </w:p>
              </w:tc>
              <w:tc>
                <w:tcPr>
                  <w:tcW w:w="5400" w:type="dxa"/>
                  <w:noWrap w:val="0"/>
                  <w:vAlign w:val="center"/>
                </w:tcPr>
                <w:p>
                  <w:pPr>
                    <w:adjustRightInd w:val="0"/>
                    <w:jc w:val="center"/>
                    <w:rPr>
                      <w:rFonts w:hint="eastAsia"/>
                      <w:szCs w:val="21"/>
                      <w:lang w:eastAsia="zh-CN"/>
                    </w:rPr>
                  </w:pPr>
                  <w:r>
                    <w:rPr>
                      <w:rFonts w:hint="eastAsia"/>
                      <w:szCs w:val="21"/>
                      <w:lang w:val="en-US" w:eastAsia="zh-CN"/>
                    </w:rPr>
                    <w:t>位于项目北侧，总建筑面积约1400m</w:t>
                  </w:r>
                  <w:r>
                    <w:rPr>
                      <w:rFonts w:hint="eastAsia"/>
                      <w:szCs w:val="21"/>
                      <w:vertAlign w:val="superscript"/>
                      <w:lang w:val="en-US" w:eastAsia="zh-CN"/>
                    </w:rPr>
                    <w:t>2</w:t>
                  </w:r>
                  <w:r>
                    <w:rPr>
                      <w:rFonts w:hint="eastAsia"/>
                      <w:szCs w:val="21"/>
                      <w:lang w:val="en-US" w:eastAsia="zh-CN"/>
                    </w:rPr>
                    <w:t>，主要设置办公室、治疗室、餐厅及病房</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845" w:type="dxa"/>
                  <w:vMerge w:val="continue"/>
                  <w:noWrap w:val="0"/>
                  <w:vAlign w:val="center"/>
                </w:tcPr>
                <w:p>
                  <w:pPr>
                    <w:pStyle w:val="72"/>
                    <w:spacing w:line="240" w:lineRule="auto"/>
                    <w:ind w:firstLine="0" w:firstLineChars="0"/>
                    <w:jc w:val="center"/>
                    <w:rPr>
                      <w:rFonts w:hint="eastAsia" w:hAnsi="宋体"/>
                      <w:kern w:val="2"/>
                      <w:sz w:val="21"/>
                      <w:szCs w:val="21"/>
                    </w:rPr>
                  </w:pPr>
                </w:p>
              </w:tc>
              <w:tc>
                <w:tcPr>
                  <w:tcW w:w="1688" w:type="dxa"/>
                  <w:gridSpan w:val="2"/>
                  <w:noWrap w:val="0"/>
                  <w:vAlign w:val="center"/>
                </w:tcPr>
                <w:p>
                  <w:pPr>
                    <w:pStyle w:val="72"/>
                    <w:spacing w:line="240" w:lineRule="auto"/>
                    <w:ind w:firstLine="0" w:firstLineChars="0"/>
                    <w:jc w:val="center"/>
                    <w:rPr>
                      <w:rFonts w:hint="eastAsia" w:hAnsi="宋体"/>
                      <w:kern w:val="2"/>
                      <w:sz w:val="21"/>
                      <w:szCs w:val="21"/>
                    </w:rPr>
                  </w:pPr>
                  <w:r>
                    <w:rPr>
                      <w:rFonts w:hint="eastAsia" w:hAnsi="宋体"/>
                      <w:kern w:val="2"/>
                      <w:sz w:val="21"/>
                      <w:szCs w:val="21"/>
                    </w:rPr>
                    <w:t>检验室</w:t>
                  </w:r>
                </w:p>
              </w:tc>
              <w:tc>
                <w:tcPr>
                  <w:tcW w:w="5400" w:type="dxa"/>
                  <w:noWrap w:val="0"/>
                  <w:vAlign w:val="center"/>
                </w:tcPr>
                <w:p>
                  <w:pPr>
                    <w:pStyle w:val="72"/>
                    <w:spacing w:line="240" w:lineRule="auto"/>
                    <w:ind w:firstLine="0" w:firstLineChars="0"/>
                    <w:jc w:val="center"/>
                    <w:rPr>
                      <w:rFonts w:hAnsi="宋体"/>
                      <w:kern w:val="2"/>
                      <w:sz w:val="21"/>
                      <w:szCs w:val="21"/>
                    </w:rPr>
                  </w:pPr>
                  <w:r>
                    <w:rPr>
                      <w:rFonts w:hint="eastAsia" w:hAnsi="宋体"/>
                      <w:kern w:val="2"/>
                      <w:sz w:val="21"/>
                      <w:szCs w:val="21"/>
                    </w:rPr>
                    <w:t>设置于项目区东侧，建筑面积约为100m</w:t>
                  </w:r>
                  <w:r>
                    <w:rPr>
                      <w:rFonts w:hint="eastAsia" w:hAnsi="宋体"/>
                      <w:kern w:val="2"/>
                      <w:sz w:val="21"/>
                      <w:szCs w:val="21"/>
                      <w:vertAlign w:val="superscript"/>
                    </w:rPr>
                    <w:t>2</w:t>
                  </w:r>
                  <w:r>
                    <w:rPr>
                      <w:rFonts w:hint="eastAsia" w:hAnsi="宋体"/>
                      <w:kern w:val="2"/>
                      <w:sz w:val="21"/>
                      <w:szCs w:val="21"/>
                      <w:lang w:eastAsia="zh-CN"/>
                    </w:rPr>
                    <w:t>，设</w:t>
                  </w:r>
                  <w:r>
                    <w:rPr>
                      <w:rFonts w:hint="eastAsia" w:hAnsi="宋体"/>
                      <w:kern w:val="2"/>
                      <w:sz w:val="21"/>
                      <w:szCs w:val="21"/>
                      <w:lang w:val="en-US" w:eastAsia="zh-CN"/>
                    </w:rPr>
                    <w:t>B超室、脑电室、检验室、杂物间和库房等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845" w:type="dxa"/>
                  <w:vMerge w:val="continue"/>
                  <w:noWrap w:val="0"/>
                  <w:vAlign w:val="center"/>
                </w:tcPr>
                <w:p>
                  <w:pPr>
                    <w:pStyle w:val="72"/>
                    <w:spacing w:line="240" w:lineRule="auto"/>
                    <w:ind w:firstLine="0" w:firstLineChars="0"/>
                    <w:jc w:val="center"/>
                    <w:rPr>
                      <w:rFonts w:hint="eastAsia" w:hAnsi="宋体"/>
                      <w:kern w:val="2"/>
                      <w:sz w:val="21"/>
                      <w:szCs w:val="21"/>
                    </w:rPr>
                  </w:pPr>
                </w:p>
              </w:tc>
              <w:tc>
                <w:tcPr>
                  <w:tcW w:w="1688" w:type="dxa"/>
                  <w:gridSpan w:val="2"/>
                  <w:noWrap w:val="0"/>
                  <w:vAlign w:val="center"/>
                </w:tcPr>
                <w:p>
                  <w:pPr>
                    <w:pStyle w:val="72"/>
                    <w:spacing w:line="240" w:lineRule="auto"/>
                    <w:ind w:firstLine="0" w:firstLineChars="0"/>
                    <w:jc w:val="center"/>
                    <w:rPr>
                      <w:rFonts w:hint="eastAsia" w:hAnsi="宋体" w:eastAsia="宋体"/>
                      <w:kern w:val="2"/>
                      <w:sz w:val="21"/>
                      <w:szCs w:val="21"/>
                      <w:lang w:eastAsia="zh-CN"/>
                    </w:rPr>
                  </w:pPr>
                  <w:r>
                    <w:rPr>
                      <w:rFonts w:hint="eastAsia" w:hAnsi="宋体"/>
                      <w:kern w:val="2"/>
                      <w:sz w:val="21"/>
                      <w:szCs w:val="21"/>
                      <w:lang w:eastAsia="zh-CN"/>
                    </w:rPr>
                    <w:t>护理部</w:t>
                  </w:r>
                </w:p>
              </w:tc>
              <w:tc>
                <w:tcPr>
                  <w:tcW w:w="5400" w:type="dxa"/>
                  <w:noWrap w:val="0"/>
                  <w:vAlign w:val="center"/>
                </w:tcPr>
                <w:p>
                  <w:pPr>
                    <w:pStyle w:val="72"/>
                    <w:spacing w:line="240" w:lineRule="auto"/>
                    <w:ind w:firstLine="0" w:firstLineChars="0"/>
                    <w:jc w:val="center"/>
                    <w:rPr>
                      <w:rFonts w:hAnsi="宋体"/>
                      <w:kern w:val="2"/>
                      <w:sz w:val="21"/>
                      <w:szCs w:val="21"/>
                    </w:rPr>
                  </w:pPr>
                  <w:r>
                    <w:rPr>
                      <w:rFonts w:hint="eastAsia" w:hAnsi="宋体"/>
                      <w:kern w:val="2"/>
                      <w:sz w:val="21"/>
                      <w:szCs w:val="21"/>
                    </w:rPr>
                    <w:t>设置于项目西侧两栋住院楼中间位置，建筑面积约60m</w:t>
                  </w:r>
                  <w:r>
                    <w:rPr>
                      <w:rFonts w:hint="eastAsia" w:hAnsi="宋体"/>
                      <w:kern w:val="2"/>
                      <w:sz w:val="21"/>
                      <w:szCs w:val="21"/>
                      <w:vertAlign w:val="superscript"/>
                    </w:rPr>
                    <w:t>2</w:t>
                  </w:r>
                  <w:r>
                    <w:rPr>
                      <w:rFonts w:hint="eastAsia" w:hAnsi="宋体"/>
                      <w:kern w:val="2"/>
                      <w:sz w:val="21"/>
                      <w:szCs w:val="21"/>
                    </w:rPr>
                    <w:t>，设检查室、X光室、办公室等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845" w:type="dxa"/>
                  <w:vMerge w:val="restart"/>
                  <w:noWrap w:val="0"/>
                  <w:vAlign w:val="center"/>
                </w:tcPr>
                <w:p>
                  <w:pPr>
                    <w:pStyle w:val="72"/>
                    <w:spacing w:line="240" w:lineRule="auto"/>
                    <w:ind w:firstLine="0" w:firstLineChars="0"/>
                    <w:jc w:val="center"/>
                    <w:rPr>
                      <w:rFonts w:hint="eastAsia" w:hAnsi="宋体"/>
                      <w:kern w:val="2"/>
                      <w:sz w:val="21"/>
                      <w:szCs w:val="21"/>
                    </w:rPr>
                  </w:pPr>
                  <w:r>
                    <w:rPr>
                      <w:rFonts w:hint="eastAsia" w:hAnsi="宋体"/>
                      <w:kern w:val="2"/>
                      <w:sz w:val="21"/>
                      <w:szCs w:val="21"/>
                    </w:rPr>
                    <w:t>辅助配套工程</w:t>
                  </w:r>
                </w:p>
              </w:tc>
              <w:tc>
                <w:tcPr>
                  <w:tcW w:w="1688" w:type="dxa"/>
                  <w:gridSpan w:val="2"/>
                  <w:noWrap w:val="0"/>
                  <w:vAlign w:val="center"/>
                </w:tcPr>
                <w:p>
                  <w:pPr>
                    <w:adjustRightInd w:val="0"/>
                    <w:jc w:val="center"/>
                    <w:rPr>
                      <w:rFonts w:hint="eastAsia" w:hAnsi="宋体"/>
                      <w:kern w:val="2"/>
                      <w:sz w:val="21"/>
                      <w:szCs w:val="21"/>
                    </w:rPr>
                  </w:pPr>
                  <w:r>
                    <w:rPr>
                      <w:rFonts w:ascii="宋体" w:hAnsi="宋体" w:cs="宋体"/>
                      <w:spacing w:val="-2"/>
                      <w:sz w:val="21"/>
                      <w:szCs w:val="21"/>
                    </w:rPr>
                    <w:t>洗衣房</w:t>
                  </w:r>
                </w:p>
              </w:tc>
              <w:tc>
                <w:tcPr>
                  <w:tcW w:w="5400" w:type="dxa"/>
                  <w:noWrap w:val="0"/>
                  <w:vAlign w:val="center"/>
                </w:tcPr>
                <w:p>
                  <w:pPr>
                    <w:adjustRightInd w:val="0"/>
                    <w:jc w:val="center"/>
                    <w:rPr>
                      <w:rFonts w:hAnsi="宋体"/>
                      <w:kern w:val="2"/>
                      <w:sz w:val="21"/>
                      <w:szCs w:val="21"/>
                    </w:rPr>
                  </w:pPr>
                  <w:r>
                    <w:rPr>
                      <w:szCs w:val="21"/>
                    </w:rPr>
                    <w:t>项目</w:t>
                  </w:r>
                  <w:r>
                    <w:rPr>
                      <w:rFonts w:hint="eastAsia"/>
                      <w:szCs w:val="21"/>
                    </w:rPr>
                    <w:t>门诊1号</w:t>
                  </w:r>
                  <w:r>
                    <w:rPr>
                      <w:szCs w:val="21"/>
                    </w:rPr>
                    <w:t>楼</w:t>
                  </w:r>
                  <w:r>
                    <w:rPr>
                      <w:rFonts w:hint="eastAsia"/>
                      <w:szCs w:val="21"/>
                    </w:rPr>
                    <w:t>1</w:t>
                  </w:r>
                  <w:r>
                    <w:rPr>
                      <w:szCs w:val="21"/>
                    </w:rPr>
                    <w:t>F</w:t>
                  </w:r>
                  <w:r>
                    <w:rPr>
                      <w:rFonts w:hint="eastAsia"/>
                      <w:szCs w:val="21"/>
                    </w:rPr>
                    <w:t>东北侧</w:t>
                  </w:r>
                  <w:r>
                    <w:rPr>
                      <w:rFonts w:hint="eastAsia"/>
                      <w:szCs w:val="21"/>
                      <w:lang w:eastAsia="zh-CN"/>
                    </w:rPr>
                    <w:t>，建筑面积约</w:t>
                  </w:r>
                  <w:r>
                    <w:rPr>
                      <w:rFonts w:hint="eastAsia"/>
                      <w:szCs w:val="21"/>
                      <w:lang w:val="en-US" w:eastAsia="zh-CN"/>
                    </w:rPr>
                    <w:t>60</w:t>
                  </w:r>
                  <w:r>
                    <w:rPr>
                      <w:rFonts w:hint="eastAsia"/>
                      <w:szCs w:val="21"/>
                      <w:vertAlign w:val="baseline"/>
                      <w:lang w:val="en-US" w:eastAsia="zh-CN"/>
                    </w:rPr>
                    <w:t>m</w:t>
                  </w:r>
                  <w:r>
                    <w:rPr>
                      <w:rFonts w:hint="eastAsia"/>
                      <w:szCs w:val="21"/>
                      <w:vertAlign w:val="superscript"/>
                      <w:lang w:val="en-US" w:eastAsia="zh-CN"/>
                    </w:rPr>
                    <w:t>2</w:t>
                  </w:r>
                  <w:r>
                    <w:rPr>
                      <w:rFonts w:hint="eastAsia"/>
                      <w:szCs w:val="21"/>
                      <w:vertAlign w:val="baseline"/>
                      <w:lang w:val="en-US" w:eastAsia="zh-CN"/>
                    </w:rPr>
                    <w:t>，设2台洗衣机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845" w:type="dxa"/>
                  <w:vMerge w:val="continue"/>
                  <w:noWrap w:val="0"/>
                  <w:vAlign w:val="center"/>
                </w:tcPr>
                <w:p>
                  <w:pPr>
                    <w:pStyle w:val="72"/>
                    <w:spacing w:line="240" w:lineRule="auto"/>
                    <w:ind w:firstLine="0" w:firstLineChars="0"/>
                    <w:jc w:val="center"/>
                    <w:rPr>
                      <w:rFonts w:hint="eastAsia" w:hAnsi="宋体"/>
                      <w:kern w:val="2"/>
                      <w:sz w:val="21"/>
                      <w:szCs w:val="21"/>
                    </w:rPr>
                  </w:pPr>
                </w:p>
              </w:tc>
              <w:tc>
                <w:tcPr>
                  <w:tcW w:w="1688" w:type="dxa"/>
                  <w:gridSpan w:val="2"/>
                  <w:noWrap w:val="0"/>
                  <w:vAlign w:val="center"/>
                </w:tcPr>
                <w:p>
                  <w:pPr>
                    <w:adjustRightInd w:val="0"/>
                    <w:jc w:val="center"/>
                    <w:rPr>
                      <w:rFonts w:hint="eastAsia" w:hAnsi="宋体"/>
                      <w:kern w:val="2"/>
                      <w:sz w:val="21"/>
                      <w:szCs w:val="21"/>
                    </w:rPr>
                  </w:pPr>
                  <w:r>
                    <w:rPr>
                      <w:rFonts w:hint="eastAsia" w:ascii="宋体" w:hAnsi="宋体" w:cs="宋体"/>
                      <w:spacing w:val="-2"/>
                      <w:sz w:val="21"/>
                      <w:szCs w:val="21"/>
                      <w:lang w:eastAsia="zh-CN"/>
                    </w:rPr>
                    <w:t>供热制冷</w:t>
                  </w:r>
                </w:p>
              </w:tc>
              <w:tc>
                <w:tcPr>
                  <w:tcW w:w="5400" w:type="dxa"/>
                  <w:noWrap w:val="0"/>
                  <w:vAlign w:val="center"/>
                </w:tcPr>
                <w:p>
                  <w:pPr>
                    <w:adjustRightInd w:val="0"/>
                    <w:jc w:val="center"/>
                    <w:rPr>
                      <w:rFonts w:hAnsi="宋体"/>
                      <w:kern w:val="2"/>
                      <w:sz w:val="21"/>
                      <w:szCs w:val="21"/>
                    </w:rPr>
                  </w:pPr>
                  <w:r>
                    <w:rPr>
                      <w:szCs w:val="21"/>
                    </w:rPr>
                    <w:t>设分体式空调，不设锅炉及中央空调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845" w:type="dxa"/>
                  <w:vMerge w:val="restart"/>
                  <w:noWrap w:val="0"/>
                  <w:vAlign w:val="center"/>
                </w:tcPr>
                <w:p>
                  <w:pPr>
                    <w:pStyle w:val="72"/>
                    <w:spacing w:line="240" w:lineRule="auto"/>
                    <w:ind w:firstLine="0" w:firstLineChars="0"/>
                    <w:jc w:val="center"/>
                    <w:rPr>
                      <w:rFonts w:hint="eastAsia" w:hAnsi="宋体"/>
                      <w:kern w:val="2"/>
                      <w:sz w:val="21"/>
                      <w:szCs w:val="21"/>
                    </w:rPr>
                  </w:pPr>
                  <w:r>
                    <w:rPr>
                      <w:rFonts w:hint="eastAsia"/>
                      <w:sz w:val="21"/>
                      <w:szCs w:val="16"/>
                    </w:rPr>
                    <w:t>办公及生活设施</w:t>
                  </w:r>
                </w:p>
              </w:tc>
              <w:tc>
                <w:tcPr>
                  <w:tcW w:w="1688" w:type="dxa"/>
                  <w:gridSpan w:val="2"/>
                  <w:noWrap w:val="0"/>
                  <w:vAlign w:val="center"/>
                </w:tcPr>
                <w:p>
                  <w:pPr>
                    <w:adjustRightInd w:val="0"/>
                    <w:jc w:val="center"/>
                    <w:rPr>
                      <w:rFonts w:hint="eastAsia"/>
                      <w:kern w:val="2"/>
                      <w:sz w:val="21"/>
                      <w:szCs w:val="21"/>
                      <w:lang w:val="en-US" w:eastAsia="zh-CN" w:bidi="ar-SA"/>
                    </w:rPr>
                  </w:pPr>
                  <w:r>
                    <w:rPr>
                      <w:rFonts w:hint="eastAsia"/>
                      <w:kern w:val="2"/>
                      <w:sz w:val="21"/>
                      <w:szCs w:val="21"/>
                      <w:lang w:val="en-US" w:eastAsia="zh-CN" w:bidi="ar-SA"/>
                    </w:rPr>
                    <w:t>宿舍楼</w:t>
                  </w:r>
                </w:p>
              </w:tc>
              <w:tc>
                <w:tcPr>
                  <w:tcW w:w="5400" w:type="dxa"/>
                  <w:noWrap w:val="0"/>
                  <w:vAlign w:val="center"/>
                </w:tcPr>
                <w:p>
                  <w:pPr>
                    <w:adjustRightInd w:val="0"/>
                    <w:jc w:val="center"/>
                    <w:rPr>
                      <w:rFonts w:hint="default"/>
                      <w:kern w:val="2"/>
                      <w:sz w:val="21"/>
                      <w:szCs w:val="21"/>
                      <w:lang w:val="en-US" w:eastAsia="zh-CN" w:bidi="ar-SA"/>
                    </w:rPr>
                  </w:pPr>
                  <w:r>
                    <w:rPr>
                      <w:rFonts w:hint="eastAsia"/>
                      <w:kern w:val="2"/>
                      <w:sz w:val="21"/>
                      <w:szCs w:val="21"/>
                      <w:lang w:val="en-US" w:eastAsia="zh-CN" w:bidi="ar-SA"/>
                    </w:rPr>
                    <w:t>1栋4F员工宿舍楼，位于项目东侧，建筑面积约1800</w:t>
                  </w:r>
                  <w:r>
                    <w:rPr>
                      <w:rFonts w:hint="eastAsia"/>
                      <w:szCs w:val="21"/>
                      <w:vertAlign w:val="baseline"/>
                      <w:lang w:val="en-US" w:eastAsia="zh-CN"/>
                    </w:rPr>
                    <w:t>m</w:t>
                  </w:r>
                  <w:r>
                    <w:rPr>
                      <w:rFonts w:hint="eastAsia"/>
                      <w:szCs w:val="21"/>
                      <w:vertAlign w:val="superscript"/>
                      <w:lang w:val="en-US" w:eastAsia="zh-CN"/>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845" w:type="dxa"/>
                  <w:vMerge w:val="continue"/>
                  <w:noWrap w:val="0"/>
                  <w:vAlign w:val="center"/>
                </w:tcPr>
                <w:p>
                  <w:pPr>
                    <w:pStyle w:val="72"/>
                    <w:spacing w:line="240" w:lineRule="auto"/>
                    <w:ind w:firstLine="0" w:firstLineChars="0"/>
                    <w:jc w:val="center"/>
                    <w:rPr>
                      <w:rFonts w:hint="eastAsia" w:hAnsi="宋体"/>
                      <w:kern w:val="2"/>
                      <w:sz w:val="21"/>
                      <w:szCs w:val="21"/>
                    </w:rPr>
                  </w:pPr>
                </w:p>
              </w:tc>
              <w:tc>
                <w:tcPr>
                  <w:tcW w:w="1688" w:type="dxa"/>
                  <w:gridSpan w:val="2"/>
                  <w:noWrap w:val="0"/>
                  <w:vAlign w:val="center"/>
                </w:tcPr>
                <w:p>
                  <w:pPr>
                    <w:adjustRightInd w:val="0"/>
                    <w:jc w:val="center"/>
                    <w:rPr>
                      <w:rFonts w:hint="eastAsia" w:eastAsia="宋体"/>
                      <w:kern w:val="2"/>
                      <w:sz w:val="21"/>
                      <w:szCs w:val="21"/>
                      <w:lang w:val="en-US" w:eastAsia="zh-CN" w:bidi="ar-SA"/>
                    </w:rPr>
                  </w:pPr>
                  <w:r>
                    <w:rPr>
                      <w:rFonts w:hint="eastAsia"/>
                      <w:szCs w:val="21"/>
                      <w:lang w:eastAsia="zh-CN"/>
                    </w:rPr>
                    <w:t>厨房</w:t>
                  </w:r>
                </w:p>
              </w:tc>
              <w:tc>
                <w:tcPr>
                  <w:tcW w:w="5400" w:type="dxa"/>
                  <w:noWrap w:val="0"/>
                  <w:vAlign w:val="center"/>
                </w:tcPr>
                <w:p>
                  <w:pPr>
                    <w:adjustRightInd w:val="0"/>
                    <w:jc w:val="center"/>
                    <w:rPr>
                      <w:kern w:val="2"/>
                      <w:sz w:val="21"/>
                      <w:szCs w:val="21"/>
                      <w:lang w:val="en-US" w:eastAsia="zh-CN" w:bidi="ar-SA"/>
                    </w:rPr>
                  </w:pPr>
                  <w:r>
                    <w:rPr>
                      <w:rFonts w:hint="eastAsia"/>
                      <w:szCs w:val="21"/>
                    </w:rPr>
                    <w:t>1栋</w:t>
                  </w:r>
                  <w:r>
                    <w:rPr>
                      <w:rFonts w:hint="eastAsia"/>
                      <w:szCs w:val="21"/>
                      <w:lang w:val="en-US" w:eastAsia="zh-CN"/>
                    </w:rPr>
                    <w:t>1F厨房</w:t>
                  </w:r>
                  <w:r>
                    <w:rPr>
                      <w:rFonts w:hint="eastAsia"/>
                      <w:szCs w:val="21"/>
                    </w:rPr>
                    <w:t>，</w:t>
                  </w:r>
                  <w:r>
                    <w:rPr>
                      <w:rFonts w:hint="eastAsia"/>
                      <w:szCs w:val="21"/>
                      <w:lang w:eastAsia="zh-CN"/>
                    </w:rPr>
                    <w:t>位于项目东北侧，</w:t>
                  </w:r>
                  <w:r>
                    <w:rPr>
                      <w:rFonts w:hint="eastAsia"/>
                      <w:szCs w:val="21"/>
                    </w:rPr>
                    <w:t>建筑面积约20m</w:t>
                  </w:r>
                  <w:r>
                    <w:rPr>
                      <w:szCs w:val="21"/>
                    </w:rPr>
                    <w:t>²</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845" w:type="dxa"/>
                  <w:vMerge w:val="continue"/>
                  <w:noWrap w:val="0"/>
                  <w:vAlign w:val="center"/>
                </w:tcPr>
                <w:p>
                  <w:pPr>
                    <w:pStyle w:val="72"/>
                    <w:spacing w:line="240" w:lineRule="auto"/>
                    <w:ind w:firstLine="0" w:firstLineChars="0"/>
                    <w:jc w:val="center"/>
                    <w:rPr>
                      <w:rFonts w:hint="eastAsia" w:hAnsi="宋体"/>
                      <w:kern w:val="2"/>
                      <w:sz w:val="21"/>
                      <w:szCs w:val="21"/>
                    </w:rPr>
                  </w:pPr>
                </w:p>
              </w:tc>
              <w:tc>
                <w:tcPr>
                  <w:tcW w:w="1688" w:type="dxa"/>
                  <w:gridSpan w:val="2"/>
                  <w:noWrap w:val="0"/>
                  <w:vAlign w:val="center"/>
                </w:tcPr>
                <w:p>
                  <w:pPr>
                    <w:adjustRightInd w:val="0"/>
                    <w:jc w:val="center"/>
                    <w:rPr>
                      <w:rFonts w:hint="eastAsia"/>
                      <w:kern w:val="2"/>
                      <w:sz w:val="21"/>
                      <w:szCs w:val="21"/>
                      <w:lang w:val="en-US" w:eastAsia="zh-CN" w:bidi="ar-SA"/>
                    </w:rPr>
                  </w:pPr>
                  <w:r>
                    <w:rPr>
                      <w:rFonts w:hint="eastAsia"/>
                      <w:szCs w:val="21"/>
                      <w:lang w:eastAsia="zh-CN"/>
                    </w:rPr>
                    <w:t>管理用房</w:t>
                  </w:r>
                </w:p>
              </w:tc>
              <w:tc>
                <w:tcPr>
                  <w:tcW w:w="5400" w:type="dxa"/>
                  <w:noWrap w:val="0"/>
                  <w:vAlign w:val="center"/>
                </w:tcPr>
                <w:p>
                  <w:pPr>
                    <w:adjustRightInd w:val="0"/>
                    <w:jc w:val="center"/>
                    <w:rPr>
                      <w:rFonts w:hint="default" w:eastAsia="宋体"/>
                      <w:kern w:val="2"/>
                      <w:sz w:val="21"/>
                      <w:szCs w:val="21"/>
                      <w:lang w:val="en-US" w:eastAsia="zh-CN" w:bidi="ar-SA"/>
                    </w:rPr>
                  </w:pPr>
                  <w:r>
                    <w:rPr>
                      <w:rFonts w:hint="eastAsia"/>
                      <w:szCs w:val="21"/>
                      <w:lang w:val="en-US" w:eastAsia="zh-CN"/>
                    </w:rPr>
                    <w:t>1栋1F管理用房，位于项目东北侧，建筑面积约35</w:t>
                  </w:r>
                  <w:r>
                    <w:rPr>
                      <w:rFonts w:hint="eastAsia"/>
                      <w:szCs w:val="21"/>
                      <w:vertAlign w:val="baseline"/>
                      <w:lang w:val="en-US" w:eastAsia="zh-CN"/>
                    </w:rPr>
                    <w:t>m</w:t>
                  </w:r>
                  <w:r>
                    <w:rPr>
                      <w:rFonts w:hint="eastAsia"/>
                      <w:szCs w:val="21"/>
                      <w:vertAlign w:val="superscript"/>
                      <w:lang w:val="en-US" w:eastAsia="zh-CN"/>
                    </w:rPr>
                    <w:t>2</w:t>
                  </w:r>
                  <w:r>
                    <w:rPr>
                      <w:rFonts w:hint="eastAsia"/>
                      <w:szCs w:val="21"/>
                      <w:vertAlign w:val="baseline"/>
                      <w:lang w:val="en-US" w:eastAsia="zh-CN"/>
                    </w:rPr>
                    <w:t>，设有管理室与办公室</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845" w:type="dxa"/>
                  <w:vMerge w:val="restart"/>
                  <w:noWrap w:val="0"/>
                  <w:vAlign w:val="center"/>
                </w:tcPr>
                <w:p>
                  <w:pPr>
                    <w:pStyle w:val="72"/>
                    <w:spacing w:line="240" w:lineRule="auto"/>
                    <w:ind w:firstLine="0" w:firstLineChars="0"/>
                    <w:jc w:val="center"/>
                    <w:rPr>
                      <w:rFonts w:hint="eastAsia" w:hAnsi="宋体"/>
                      <w:kern w:val="2"/>
                      <w:sz w:val="21"/>
                      <w:szCs w:val="21"/>
                    </w:rPr>
                  </w:pPr>
                  <w:r>
                    <w:rPr>
                      <w:rFonts w:hint="eastAsia" w:hAnsi="宋体"/>
                      <w:kern w:val="2"/>
                      <w:sz w:val="21"/>
                      <w:szCs w:val="21"/>
                    </w:rPr>
                    <w:t>公用工程</w:t>
                  </w:r>
                </w:p>
              </w:tc>
              <w:tc>
                <w:tcPr>
                  <w:tcW w:w="1688" w:type="dxa"/>
                  <w:gridSpan w:val="2"/>
                  <w:noWrap w:val="0"/>
                  <w:vAlign w:val="center"/>
                </w:tcPr>
                <w:p>
                  <w:pPr>
                    <w:pStyle w:val="72"/>
                    <w:spacing w:line="240" w:lineRule="auto"/>
                    <w:ind w:firstLine="0" w:firstLineChars="0"/>
                    <w:jc w:val="center"/>
                    <w:rPr>
                      <w:rFonts w:hint="eastAsia" w:hAnsi="宋体"/>
                      <w:kern w:val="2"/>
                      <w:sz w:val="21"/>
                      <w:szCs w:val="21"/>
                    </w:rPr>
                  </w:pPr>
                  <w:r>
                    <w:rPr>
                      <w:rFonts w:hint="eastAsia" w:hAnsi="宋体"/>
                      <w:kern w:val="2"/>
                      <w:sz w:val="21"/>
                      <w:szCs w:val="21"/>
                    </w:rPr>
                    <w:t>供水</w:t>
                  </w:r>
                </w:p>
              </w:tc>
              <w:tc>
                <w:tcPr>
                  <w:tcW w:w="5400" w:type="dxa"/>
                  <w:noWrap w:val="0"/>
                  <w:vAlign w:val="center"/>
                </w:tcPr>
                <w:p>
                  <w:pPr>
                    <w:pStyle w:val="72"/>
                    <w:spacing w:line="240" w:lineRule="auto"/>
                    <w:ind w:firstLine="0" w:firstLineChars="0"/>
                    <w:jc w:val="center"/>
                    <w:rPr>
                      <w:rFonts w:hint="eastAsia" w:hAnsi="宋体"/>
                      <w:kern w:val="2"/>
                      <w:sz w:val="21"/>
                      <w:szCs w:val="21"/>
                    </w:rPr>
                  </w:pPr>
                  <w:r>
                    <w:rPr>
                      <w:rFonts w:hint="eastAsia" w:hAnsi="宋体"/>
                      <w:kern w:val="2"/>
                      <w:sz w:val="21"/>
                      <w:szCs w:val="21"/>
                    </w:rPr>
                    <w:t>接自附近市政自来水管道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845" w:type="dxa"/>
                  <w:vMerge w:val="continue"/>
                  <w:noWrap w:val="0"/>
                  <w:vAlign w:val="center"/>
                </w:tcPr>
                <w:p>
                  <w:pPr>
                    <w:pStyle w:val="72"/>
                    <w:spacing w:line="240" w:lineRule="auto"/>
                    <w:ind w:firstLine="0" w:firstLineChars="0"/>
                    <w:jc w:val="center"/>
                    <w:rPr>
                      <w:rFonts w:hint="eastAsia" w:hAnsi="宋体"/>
                      <w:kern w:val="2"/>
                      <w:sz w:val="21"/>
                      <w:szCs w:val="21"/>
                    </w:rPr>
                  </w:pPr>
                </w:p>
              </w:tc>
              <w:tc>
                <w:tcPr>
                  <w:tcW w:w="1688" w:type="dxa"/>
                  <w:gridSpan w:val="2"/>
                  <w:noWrap w:val="0"/>
                  <w:vAlign w:val="center"/>
                </w:tcPr>
                <w:p>
                  <w:pPr>
                    <w:pStyle w:val="72"/>
                    <w:spacing w:line="240" w:lineRule="auto"/>
                    <w:ind w:firstLine="0" w:firstLineChars="0"/>
                    <w:jc w:val="center"/>
                    <w:rPr>
                      <w:rFonts w:hint="eastAsia" w:hAnsi="宋体"/>
                      <w:kern w:val="2"/>
                      <w:sz w:val="21"/>
                      <w:szCs w:val="21"/>
                    </w:rPr>
                  </w:pPr>
                  <w:r>
                    <w:rPr>
                      <w:rFonts w:hint="eastAsia" w:hAnsi="宋体"/>
                      <w:kern w:val="2"/>
                      <w:sz w:val="21"/>
                      <w:szCs w:val="21"/>
                    </w:rPr>
                    <w:t>供电</w:t>
                  </w:r>
                </w:p>
              </w:tc>
              <w:tc>
                <w:tcPr>
                  <w:tcW w:w="5400" w:type="dxa"/>
                  <w:noWrap w:val="0"/>
                  <w:vAlign w:val="center"/>
                </w:tcPr>
                <w:p>
                  <w:pPr>
                    <w:pStyle w:val="72"/>
                    <w:spacing w:line="240" w:lineRule="auto"/>
                    <w:ind w:firstLine="0" w:firstLineChars="0"/>
                    <w:jc w:val="center"/>
                    <w:rPr>
                      <w:rFonts w:hint="eastAsia" w:hAnsi="宋体"/>
                      <w:kern w:val="2"/>
                      <w:sz w:val="21"/>
                      <w:szCs w:val="21"/>
                    </w:rPr>
                  </w:pPr>
                  <w:r>
                    <w:rPr>
                      <w:rFonts w:hint="eastAsia" w:hAnsi="宋体"/>
                      <w:kern w:val="2"/>
                      <w:sz w:val="21"/>
                      <w:szCs w:val="21"/>
                    </w:rPr>
                    <w:t>接自周边市政电网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845" w:type="dxa"/>
                  <w:vMerge w:val="continue"/>
                  <w:noWrap w:val="0"/>
                  <w:vAlign w:val="center"/>
                </w:tcPr>
                <w:p>
                  <w:pPr>
                    <w:pStyle w:val="72"/>
                    <w:spacing w:line="240" w:lineRule="auto"/>
                    <w:ind w:firstLine="0" w:firstLineChars="0"/>
                    <w:jc w:val="center"/>
                    <w:rPr>
                      <w:rFonts w:hint="eastAsia" w:hAnsi="宋体"/>
                      <w:kern w:val="2"/>
                      <w:sz w:val="21"/>
                      <w:szCs w:val="21"/>
                    </w:rPr>
                  </w:pPr>
                </w:p>
              </w:tc>
              <w:tc>
                <w:tcPr>
                  <w:tcW w:w="1688" w:type="dxa"/>
                  <w:gridSpan w:val="2"/>
                  <w:noWrap w:val="0"/>
                  <w:vAlign w:val="center"/>
                </w:tcPr>
                <w:p>
                  <w:pPr>
                    <w:pStyle w:val="72"/>
                    <w:spacing w:line="240" w:lineRule="auto"/>
                    <w:ind w:firstLine="0" w:firstLineChars="0"/>
                    <w:jc w:val="center"/>
                    <w:rPr>
                      <w:rFonts w:hint="eastAsia" w:hAnsi="宋体"/>
                      <w:kern w:val="2"/>
                      <w:sz w:val="21"/>
                      <w:szCs w:val="21"/>
                    </w:rPr>
                  </w:pPr>
                  <w:r>
                    <w:rPr>
                      <w:rFonts w:hint="eastAsia" w:hAnsi="宋体"/>
                      <w:kern w:val="2"/>
                      <w:sz w:val="21"/>
                      <w:szCs w:val="21"/>
                    </w:rPr>
                    <w:t>排水</w:t>
                  </w:r>
                </w:p>
              </w:tc>
              <w:tc>
                <w:tcPr>
                  <w:tcW w:w="5400" w:type="dxa"/>
                  <w:noWrap w:val="0"/>
                  <w:vAlign w:val="center"/>
                </w:tcPr>
                <w:p>
                  <w:pPr>
                    <w:pStyle w:val="72"/>
                    <w:spacing w:line="240" w:lineRule="auto"/>
                    <w:ind w:firstLine="0" w:firstLineChars="0"/>
                    <w:jc w:val="center"/>
                    <w:rPr>
                      <w:rFonts w:hint="eastAsia" w:hAnsi="宋体"/>
                      <w:kern w:val="2"/>
                      <w:sz w:val="21"/>
                      <w:szCs w:val="21"/>
                    </w:rPr>
                  </w:pPr>
                  <w:r>
                    <w:rPr>
                      <w:rFonts w:hint="eastAsia" w:hAnsi="宋体"/>
                      <w:kern w:val="2"/>
                      <w:sz w:val="21"/>
                      <w:szCs w:val="21"/>
                    </w:rPr>
                    <w:t>医院废水经污水处理站处理达标后，排入</w:t>
                  </w:r>
                  <w:r>
                    <w:rPr>
                      <w:rFonts w:hint="eastAsia" w:hAnsi="宋体"/>
                      <w:kern w:val="2"/>
                      <w:sz w:val="21"/>
                      <w:szCs w:val="21"/>
                      <w:lang w:eastAsia="zh-CN"/>
                    </w:rPr>
                    <w:t>乐山市第三污水处理厂处理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845" w:type="dxa"/>
                  <w:vMerge w:val="continue"/>
                  <w:noWrap w:val="0"/>
                  <w:vAlign w:val="center"/>
                </w:tcPr>
                <w:p>
                  <w:pPr>
                    <w:pStyle w:val="72"/>
                    <w:spacing w:line="240" w:lineRule="auto"/>
                    <w:ind w:firstLine="0" w:firstLineChars="0"/>
                    <w:jc w:val="center"/>
                    <w:rPr>
                      <w:rFonts w:hint="eastAsia" w:hAnsi="宋体"/>
                      <w:kern w:val="2"/>
                      <w:sz w:val="21"/>
                      <w:szCs w:val="21"/>
                    </w:rPr>
                  </w:pPr>
                </w:p>
              </w:tc>
              <w:tc>
                <w:tcPr>
                  <w:tcW w:w="1688" w:type="dxa"/>
                  <w:gridSpan w:val="2"/>
                  <w:noWrap w:val="0"/>
                  <w:vAlign w:val="center"/>
                </w:tcPr>
                <w:p>
                  <w:pPr>
                    <w:pStyle w:val="72"/>
                    <w:spacing w:line="240" w:lineRule="auto"/>
                    <w:ind w:firstLine="0" w:firstLineChars="0"/>
                    <w:jc w:val="center"/>
                    <w:rPr>
                      <w:rFonts w:hint="eastAsia" w:hAnsi="宋体"/>
                      <w:kern w:val="2"/>
                      <w:sz w:val="21"/>
                      <w:szCs w:val="21"/>
                    </w:rPr>
                  </w:pPr>
                  <w:r>
                    <w:rPr>
                      <w:rFonts w:hint="eastAsia" w:hAnsi="宋体"/>
                      <w:kern w:val="2"/>
                      <w:sz w:val="21"/>
                      <w:szCs w:val="21"/>
                    </w:rPr>
                    <w:t>通风</w:t>
                  </w:r>
                </w:p>
              </w:tc>
              <w:tc>
                <w:tcPr>
                  <w:tcW w:w="5400" w:type="dxa"/>
                  <w:noWrap w:val="0"/>
                  <w:vAlign w:val="center"/>
                </w:tcPr>
                <w:p>
                  <w:pPr>
                    <w:pStyle w:val="72"/>
                    <w:spacing w:line="240" w:lineRule="auto"/>
                    <w:ind w:firstLine="0" w:firstLineChars="0"/>
                    <w:jc w:val="center"/>
                    <w:rPr>
                      <w:rFonts w:hint="eastAsia" w:hAnsi="宋体"/>
                      <w:kern w:val="2"/>
                      <w:sz w:val="21"/>
                      <w:szCs w:val="21"/>
                    </w:rPr>
                  </w:pPr>
                  <w:r>
                    <w:rPr>
                      <w:rFonts w:hint="eastAsia" w:hAnsi="宋体"/>
                      <w:kern w:val="2"/>
                      <w:sz w:val="21"/>
                      <w:szCs w:val="21"/>
                    </w:rPr>
                    <w:t>通风管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845" w:type="dxa"/>
                  <w:vMerge w:val="continue"/>
                  <w:noWrap w:val="0"/>
                  <w:vAlign w:val="center"/>
                </w:tcPr>
                <w:p>
                  <w:pPr>
                    <w:pStyle w:val="72"/>
                    <w:spacing w:line="240" w:lineRule="auto"/>
                    <w:ind w:firstLine="0" w:firstLineChars="0"/>
                    <w:jc w:val="center"/>
                    <w:rPr>
                      <w:rFonts w:hint="eastAsia" w:hAnsi="宋体"/>
                      <w:kern w:val="2"/>
                      <w:sz w:val="21"/>
                      <w:szCs w:val="21"/>
                    </w:rPr>
                  </w:pPr>
                </w:p>
              </w:tc>
              <w:tc>
                <w:tcPr>
                  <w:tcW w:w="1688" w:type="dxa"/>
                  <w:gridSpan w:val="2"/>
                  <w:noWrap w:val="0"/>
                  <w:vAlign w:val="center"/>
                </w:tcPr>
                <w:p>
                  <w:pPr>
                    <w:pStyle w:val="72"/>
                    <w:spacing w:line="240" w:lineRule="auto"/>
                    <w:ind w:firstLine="0" w:firstLineChars="0"/>
                    <w:jc w:val="center"/>
                    <w:rPr>
                      <w:rFonts w:hint="eastAsia" w:hAnsi="宋体"/>
                      <w:kern w:val="2"/>
                      <w:sz w:val="21"/>
                      <w:szCs w:val="21"/>
                    </w:rPr>
                  </w:pPr>
                  <w:r>
                    <w:rPr>
                      <w:rFonts w:hint="eastAsia" w:hAnsi="宋体"/>
                      <w:kern w:val="2"/>
                      <w:sz w:val="21"/>
                      <w:szCs w:val="21"/>
                    </w:rPr>
                    <w:t>停车场</w:t>
                  </w:r>
                </w:p>
              </w:tc>
              <w:tc>
                <w:tcPr>
                  <w:tcW w:w="5400" w:type="dxa"/>
                  <w:noWrap w:val="0"/>
                  <w:vAlign w:val="center"/>
                </w:tcPr>
                <w:p>
                  <w:pPr>
                    <w:pStyle w:val="72"/>
                    <w:spacing w:line="240" w:lineRule="auto"/>
                    <w:ind w:firstLine="0" w:firstLineChars="0"/>
                    <w:jc w:val="center"/>
                    <w:rPr>
                      <w:rFonts w:hint="default" w:hAnsi="宋体" w:eastAsia="宋体"/>
                      <w:kern w:val="2"/>
                      <w:sz w:val="21"/>
                      <w:szCs w:val="21"/>
                      <w:lang w:val="en-US" w:eastAsia="zh-CN"/>
                    </w:rPr>
                  </w:pPr>
                  <w:r>
                    <w:rPr>
                      <w:rFonts w:hint="eastAsia" w:hAnsi="宋体"/>
                      <w:kern w:val="2"/>
                      <w:sz w:val="21"/>
                      <w:szCs w:val="21"/>
                    </w:rPr>
                    <w:t>位于医院院内空场地</w:t>
                  </w:r>
                  <w:r>
                    <w:rPr>
                      <w:rFonts w:hint="eastAsia" w:hAnsi="宋体"/>
                      <w:kern w:val="2"/>
                      <w:sz w:val="21"/>
                      <w:szCs w:val="21"/>
                      <w:lang w:eastAsia="zh-CN"/>
                    </w:rPr>
                    <w:t>及门诊楼</w:t>
                  </w:r>
                  <w:r>
                    <w:rPr>
                      <w:rFonts w:hint="eastAsia" w:hAnsi="宋体"/>
                      <w:kern w:val="2"/>
                      <w:sz w:val="21"/>
                      <w:szCs w:val="21"/>
                      <w:lang w:val="en-US" w:eastAsia="zh-CN"/>
                    </w:rPr>
                    <w:t>1楼院坝</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845" w:type="dxa"/>
                  <w:vMerge w:val="restart"/>
                  <w:noWrap w:val="0"/>
                  <w:vAlign w:val="center"/>
                </w:tcPr>
                <w:p>
                  <w:pPr>
                    <w:pStyle w:val="72"/>
                    <w:spacing w:line="240" w:lineRule="auto"/>
                    <w:ind w:firstLine="0" w:firstLineChars="0"/>
                    <w:jc w:val="center"/>
                    <w:rPr>
                      <w:rFonts w:hint="eastAsia" w:hAnsi="宋体"/>
                      <w:kern w:val="2"/>
                      <w:sz w:val="21"/>
                      <w:szCs w:val="21"/>
                    </w:rPr>
                  </w:pPr>
                  <w:r>
                    <w:rPr>
                      <w:rFonts w:hint="eastAsia" w:hAnsi="宋体"/>
                      <w:kern w:val="2"/>
                      <w:sz w:val="21"/>
                      <w:szCs w:val="21"/>
                    </w:rPr>
                    <w:t>环保工程</w:t>
                  </w:r>
                </w:p>
              </w:tc>
              <w:tc>
                <w:tcPr>
                  <w:tcW w:w="1688" w:type="dxa"/>
                  <w:gridSpan w:val="2"/>
                  <w:vMerge w:val="restart"/>
                  <w:noWrap w:val="0"/>
                  <w:vAlign w:val="center"/>
                </w:tcPr>
                <w:p>
                  <w:pPr>
                    <w:pStyle w:val="72"/>
                    <w:spacing w:line="240" w:lineRule="auto"/>
                    <w:ind w:firstLine="0" w:firstLineChars="0"/>
                    <w:jc w:val="center"/>
                    <w:rPr>
                      <w:rFonts w:hint="eastAsia" w:hAnsi="宋体" w:eastAsia="宋体"/>
                      <w:kern w:val="2"/>
                      <w:sz w:val="21"/>
                      <w:szCs w:val="21"/>
                      <w:lang w:eastAsia="zh-CN"/>
                    </w:rPr>
                  </w:pPr>
                  <w:r>
                    <w:rPr>
                      <w:rFonts w:hint="eastAsia" w:hAnsi="宋体"/>
                      <w:kern w:val="2"/>
                      <w:sz w:val="21"/>
                      <w:szCs w:val="21"/>
                      <w:lang w:eastAsia="zh-CN"/>
                    </w:rPr>
                    <w:t>废水</w:t>
                  </w:r>
                </w:p>
              </w:tc>
              <w:tc>
                <w:tcPr>
                  <w:tcW w:w="5400" w:type="dxa"/>
                  <w:noWrap w:val="0"/>
                  <w:vAlign w:val="center"/>
                </w:tcPr>
                <w:p>
                  <w:pPr>
                    <w:pStyle w:val="72"/>
                    <w:spacing w:line="240" w:lineRule="auto"/>
                    <w:ind w:firstLine="0" w:firstLineChars="0"/>
                    <w:jc w:val="center"/>
                    <w:rPr>
                      <w:rFonts w:hAnsi="宋体"/>
                      <w:kern w:val="2"/>
                      <w:sz w:val="21"/>
                      <w:szCs w:val="21"/>
                    </w:rPr>
                  </w:pPr>
                  <w:r>
                    <w:rPr>
                      <w:rFonts w:hint="eastAsia" w:hAnsi="宋体"/>
                      <w:kern w:val="2"/>
                      <w:sz w:val="21"/>
                      <w:szCs w:val="21"/>
                      <w:lang w:eastAsia="zh-CN"/>
                    </w:rPr>
                    <w:t>污水处理站</w:t>
                  </w:r>
                  <w:r>
                    <w:rPr>
                      <w:rFonts w:hint="eastAsia" w:hAnsi="宋体"/>
                      <w:kern w:val="2"/>
                      <w:sz w:val="21"/>
                      <w:szCs w:val="21"/>
                    </w:rPr>
                    <w:t>1座，处理达标后，排入市政污水管网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845" w:type="dxa"/>
                  <w:vMerge w:val="continue"/>
                  <w:noWrap w:val="0"/>
                  <w:vAlign w:val="center"/>
                </w:tcPr>
                <w:p>
                  <w:pPr>
                    <w:pStyle w:val="72"/>
                    <w:spacing w:line="240" w:lineRule="auto"/>
                    <w:ind w:firstLine="0" w:firstLineChars="0"/>
                    <w:jc w:val="center"/>
                    <w:rPr>
                      <w:rFonts w:hint="eastAsia" w:hAnsi="宋体"/>
                      <w:kern w:val="2"/>
                      <w:sz w:val="21"/>
                      <w:szCs w:val="21"/>
                    </w:rPr>
                  </w:pPr>
                </w:p>
              </w:tc>
              <w:tc>
                <w:tcPr>
                  <w:tcW w:w="1688" w:type="dxa"/>
                  <w:gridSpan w:val="2"/>
                  <w:vMerge w:val="continue"/>
                  <w:noWrap w:val="0"/>
                  <w:vAlign w:val="center"/>
                </w:tcPr>
                <w:p>
                  <w:pPr>
                    <w:pStyle w:val="72"/>
                    <w:spacing w:line="240" w:lineRule="auto"/>
                    <w:ind w:firstLine="0" w:firstLineChars="0"/>
                    <w:jc w:val="center"/>
                    <w:rPr>
                      <w:rFonts w:hint="eastAsia" w:hAnsi="宋体" w:eastAsia="宋体"/>
                      <w:kern w:val="2"/>
                      <w:sz w:val="21"/>
                      <w:szCs w:val="21"/>
                      <w:lang w:eastAsia="zh-CN"/>
                    </w:rPr>
                  </w:pPr>
                </w:p>
              </w:tc>
              <w:tc>
                <w:tcPr>
                  <w:tcW w:w="5400" w:type="dxa"/>
                  <w:noWrap w:val="0"/>
                  <w:vAlign w:val="center"/>
                </w:tcPr>
                <w:p>
                  <w:pPr>
                    <w:pStyle w:val="72"/>
                    <w:spacing w:line="240" w:lineRule="auto"/>
                    <w:ind w:firstLine="0" w:firstLineChars="0"/>
                    <w:jc w:val="center"/>
                    <w:rPr>
                      <w:rFonts w:hAnsi="宋体"/>
                      <w:kern w:val="2"/>
                      <w:sz w:val="21"/>
                      <w:szCs w:val="21"/>
                    </w:rPr>
                  </w:pPr>
                  <w:r>
                    <w:rPr>
                      <w:rFonts w:hint="eastAsia" w:hAnsi="宋体"/>
                      <w:kern w:val="2"/>
                      <w:sz w:val="21"/>
                      <w:szCs w:val="21"/>
                      <w:lang w:eastAsia="zh-CN"/>
                    </w:rPr>
                    <w:t>隔油池</w:t>
                  </w:r>
                  <w:r>
                    <w:rPr>
                      <w:rFonts w:hint="eastAsia" w:hAnsi="宋体"/>
                      <w:kern w:val="2"/>
                      <w:sz w:val="21"/>
                      <w:szCs w:val="21"/>
                    </w:rPr>
                    <w:t>1座，食堂污水经隔油池预处理后，进入医院污水处理站处理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845" w:type="dxa"/>
                  <w:vMerge w:val="continue"/>
                  <w:noWrap w:val="0"/>
                  <w:vAlign w:val="center"/>
                </w:tcPr>
                <w:p>
                  <w:pPr>
                    <w:pStyle w:val="72"/>
                    <w:spacing w:line="240" w:lineRule="auto"/>
                    <w:ind w:firstLine="0" w:firstLineChars="0"/>
                    <w:jc w:val="center"/>
                    <w:rPr>
                      <w:rFonts w:hint="eastAsia" w:hAnsi="宋体"/>
                      <w:kern w:val="2"/>
                      <w:sz w:val="21"/>
                      <w:szCs w:val="21"/>
                    </w:rPr>
                  </w:pPr>
                </w:p>
              </w:tc>
              <w:tc>
                <w:tcPr>
                  <w:tcW w:w="1688" w:type="dxa"/>
                  <w:gridSpan w:val="2"/>
                  <w:vMerge w:val="continue"/>
                  <w:noWrap w:val="0"/>
                  <w:vAlign w:val="center"/>
                </w:tcPr>
                <w:p>
                  <w:pPr>
                    <w:pStyle w:val="72"/>
                    <w:spacing w:line="240" w:lineRule="auto"/>
                    <w:ind w:firstLine="0" w:firstLineChars="0"/>
                    <w:jc w:val="center"/>
                    <w:rPr>
                      <w:rFonts w:hint="eastAsia" w:hAnsi="宋体" w:eastAsia="宋体"/>
                      <w:kern w:val="2"/>
                      <w:sz w:val="21"/>
                      <w:szCs w:val="21"/>
                      <w:lang w:eastAsia="zh-CN"/>
                    </w:rPr>
                  </w:pPr>
                </w:p>
              </w:tc>
              <w:tc>
                <w:tcPr>
                  <w:tcW w:w="5400" w:type="dxa"/>
                  <w:noWrap w:val="0"/>
                  <w:vAlign w:val="center"/>
                </w:tcPr>
                <w:p>
                  <w:pPr>
                    <w:pStyle w:val="72"/>
                    <w:spacing w:line="240" w:lineRule="auto"/>
                    <w:ind w:firstLine="0" w:firstLineChars="0"/>
                    <w:jc w:val="center"/>
                    <w:rPr>
                      <w:rFonts w:hAnsi="宋体"/>
                      <w:kern w:val="2"/>
                      <w:sz w:val="21"/>
                      <w:szCs w:val="21"/>
                    </w:rPr>
                  </w:pPr>
                  <w:r>
                    <w:rPr>
                      <w:rFonts w:hint="eastAsia" w:hAnsi="宋体"/>
                      <w:kern w:val="2"/>
                      <w:sz w:val="21"/>
                      <w:szCs w:val="21"/>
                      <w:lang w:eastAsia="zh-CN"/>
                    </w:rPr>
                    <w:t>化粪池</w:t>
                  </w:r>
                  <w:r>
                    <w:rPr>
                      <w:rFonts w:hint="eastAsia" w:hAnsi="宋体"/>
                      <w:kern w:val="2"/>
                      <w:sz w:val="21"/>
                      <w:szCs w:val="21"/>
                    </w:rPr>
                    <w:t>2座，砖混结构，</w:t>
                  </w:r>
                  <w:r>
                    <w:rPr>
                      <w:rFonts w:hint="eastAsia" w:hAnsi="宋体"/>
                      <w:kern w:val="2"/>
                      <w:sz w:val="21"/>
                      <w:szCs w:val="21"/>
                      <w:lang w:eastAsia="zh-CN"/>
                    </w:rPr>
                    <w:t>产生废水</w:t>
                  </w:r>
                  <w:r>
                    <w:rPr>
                      <w:rFonts w:hint="eastAsia" w:hAnsi="宋体"/>
                      <w:kern w:val="2"/>
                      <w:sz w:val="21"/>
                      <w:szCs w:val="21"/>
                    </w:rPr>
                    <w:t>经化粪池预处理后，进入医院污水处理站处理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845" w:type="dxa"/>
                  <w:vMerge w:val="continue"/>
                  <w:noWrap w:val="0"/>
                  <w:vAlign w:val="center"/>
                </w:tcPr>
                <w:p>
                  <w:pPr>
                    <w:pStyle w:val="72"/>
                    <w:spacing w:line="240" w:lineRule="auto"/>
                    <w:ind w:firstLine="0" w:firstLineChars="0"/>
                    <w:jc w:val="center"/>
                    <w:rPr>
                      <w:rFonts w:hint="eastAsia" w:hAnsi="宋体"/>
                      <w:kern w:val="2"/>
                      <w:sz w:val="21"/>
                      <w:szCs w:val="21"/>
                    </w:rPr>
                  </w:pPr>
                </w:p>
              </w:tc>
              <w:tc>
                <w:tcPr>
                  <w:tcW w:w="1688" w:type="dxa"/>
                  <w:gridSpan w:val="2"/>
                  <w:vMerge w:val="restart"/>
                  <w:noWrap w:val="0"/>
                  <w:vAlign w:val="center"/>
                </w:tcPr>
                <w:p>
                  <w:pPr>
                    <w:pStyle w:val="72"/>
                    <w:spacing w:line="240" w:lineRule="auto"/>
                    <w:ind w:firstLine="0" w:firstLineChars="0"/>
                    <w:jc w:val="center"/>
                    <w:rPr>
                      <w:rFonts w:hint="eastAsia" w:hAnsi="宋体" w:eastAsia="宋体"/>
                      <w:kern w:val="2"/>
                      <w:sz w:val="21"/>
                      <w:szCs w:val="21"/>
                      <w:lang w:eastAsia="zh-CN"/>
                    </w:rPr>
                  </w:pPr>
                  <w:r>
                    <w:rPr>
                      <w:rFonts w:hint="eastAsia" w:hAnsi="宋体"/>
                      <w:kern w:val="2"/>
                      <w:sz w:val="21"/>
                      <w:szCs w:val="21"/>
                      <w:lang w:eastAsia="zh-CN"/>
                    </w:rPr>
                    <w:t>固废</w:t>
                  </w:r>
                </w:p>
              </w:tc>
              <w:tc>
                <w:tcPr>
                  <w:tcW w:w="5400" w:type="dxa"/>
                  <w:noWrap w:val="0"/>
                  <w:vAlign w:val="center"/>
                </w:tcPr>
                <w:p>
                  <w:pPr>
                    <w:pStyle w:val="72"/>
                    <w:spacing w:line="240" w:lineRule="auto"/>
                    <w:ind w:firstLine="0" w:firstLineChars="0"/>
                    <w:jc w:val="center"/>
                    <w:rPr>
                      <w:rFonts w:hAnsi="宋体"/>
                      <w:kern w:val="2"/>
                      <w:sz w:val="21"/>
                      <w:szCs w:val="21"/>
                    </w:rPr>
                  </w:pPr>
                  <w:r>
                    <w:rPr>
                      <w:rFonts w:hint="eastAsia" w:hAnsi="宋体"/>
                      <w:kern w:val="2"/>
                      <w:sz w:val="21"/>
                      <w:szCs w:val="21"/>
                      <w:lang w:eastAsia="zh-CN"/>
                    </w:rPr>
                    <w:t>医废暂存间位于</w:t>
                  </w:r>
                  <w:r>
                    <w:rPr>
                      <w:rFonts w:hint="eastAsia" w:hAnsi="宋体"/>
                      <w:kern w:val="2"/>
                      <w:sz w:val="21"/>
                      <w:szCs w:val="21"/>
                    </w:rPr>
                    <w:t>门诊楼1号楼东北侧洗衣房及污水处理东侧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845" w:type="dxa"/>
                  <w:vMerge w:val="continue"/>
                  <w:noWrap w:val="0"/>
                  <w:vAlign w:val="center"/>
                </w:tcPr>
                <w:p>
                  <w:pPr>
                    <w:pStyle w:val="72"/>
                    <w:spacing w:line="240" w:lineRule="auto"/>
                    <w:ind w:firstLine="0" w:firstLineChars="0"/>
                    <w:jc w:val="center"/>
                    <w:rPr>
                      <w:rFonts w:hint="eastAsia" w:hAnsi="宋体"/>
                      <w:kern w:val="2"/>
                      <w:sz w:val="21"/>
                      <w:szCs w:val="21"/>
                    </w:rPr>
                  </w:pPr>
                </w:p>
              </w:tc>
              <w:tc>
                <w:tcPr>
                  <w:tcW w:w="1688" w:type="dxa"/>
                  <w:gridSpan w:val="2"/>
                  <w:vMerge w:val="continue"/>
                  <w:noWrap w:val="0"/>
                  <w:vAlign w:val="center"/>
                </w:tcPr>
                <w:p>
                  <w:pPr>
                    <w:pStyle w:val="72"/>
                    <w:spacing w:line="240" w:lineRule="auto"/>
                    <w:ind w:firstLine="0" w:firstLineChars="0"/>
                    <w:jc w:val="center"/>
                    <w:rPr>
                      <w:rFonts w:hint="eastAsia" w:hAnsi="宋体"/>
                      <w:kern w:val="2"/>
                      <w:sz w:val="21"/>
                      <w:szCs w:val="21"/>
                    </w:rPr>
                  </w:pPr>
                </w:p>
              </w:tc>
              <w:tc>
                <w:tcPr>
                  <w:tcW w:w="5400" w:type="dxa"/>
                  <w:noWrap w:val="0"/>
                  <w:vAlign w:val="center"/>
                </w:tcPr>
                <w:p>
                  <w:pPr>
                    <w:pStyle w:val="72"/>
                    <w:spacing w:line="240" w:lineRule="auto"/>
                    <w:ind w:firstLine="0" w:firstLineChars="0"/>
                    <w:jc w:val="center"/>
                    <w:rPr>
                      <w:rFonts w:hint="eastAsia" w:hAnsi="宋体"/>
                      <w:kern w:val="2"/>
                      <w:sz w:val="21"/>
                      <w:szCs w:val="21"/>
                    </w:rPr>
                  </w:pPr>
                  <w:r>
                    <w:rPr>
                      <w:rFonts w:hint="eastAsia" w:hAnsi="宋体"/>
                      <w:kern w:val="2"/>
                      <w:sz w:val="21"/>
                      <w:szCs w:val="21"/>
                      <w:lang w:eastAsia="zh-CN"/>
                    </w:rPr>
                    <w:t>生活垃圾由</w:t>
                  </w:r>
                  <w:r>
                    <w:rPr>
                      <w:rFonts w:hint="eastAsia" w:hAnsi="宋体"/>
                      <w:kern w:val="2"/>
                      <w:sz w:val="21"/>
                      <w:szCs w:val="21"/>
                    </w:rPr>
                    <w:t>各层垃圾桶收集后，交当地环卫部门清运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845" w:type="dxa"/>
                  <w:vMerge w:val="continue"/>
                  <w:noWrap w:val="0"/>
                  <w:vAlign w:val="center"/>
                </w:tcPr>
                <w:p>
                  <w:pPr>
                    <w:pStyle w:val="72"/>
                    <w:spacing w:line="240" w:lineRule="auto"/>
                    <w:ind w:firstLine="0" w:firstLineChars="0"/>
                    <w:jc w:val="center"/>
                    <w:rPr>
                      <w:rFonts w:hint="eastAsia" w:hAnsi="宋体"/>
                      <w:kern w:val="2"/>
                      <w:sz w:val="21"/>
                      <w:szCs w:val="21"/>
                    </w:rPr>
                  </w:pPr>
                </w:p>
              </w:tc>
              <w:tc>
                <w:tcPr>
                  <w:tcW w:w="1688" w:type="dxa"/>
                  <w:gridSpan w:val="2"/>
                  <w:noWrap w:val="0"/>
                  <w:vAlign w:val="center"/>
                </w:tcPr>
                <w:p>
                  <w:pPr>
                    <w:pStyle w:val="72"/>
                    <w:spacing w:line="240" w:lineRule="auto"/>
                    <w:ind w:firstLine="0" w:firstLineChars="0"/>
                    <w:jc w:val="center"/>
                    <w:rPr>
                      <w:rFonts w:hint="eastAsia" w:hAnsi="宋体" w:eastAsia="宋体"/>
                      <w:kern w:val="2"/>
                      <w:sz w:val="21"/>
                      <w:szCs w:val="21"/>
                      <w:lang w:eastAsia="zh-CN"/>
                    </w:rPr>
                  </w:pPr>
                  <w:r>
                    <w:rPr>
                      <w:rFonts w:hint="eastAsia" w:hAnsi="宋体"/>
                      <w:kern w:val="2"/>
                      <w:sz w:val="21"/>
                      <w:szCs w:val="21"/>
                      <w:lang w:eastAsia="zh-CN"/>
                    </w:rPr>
                    <w:t>风险防治措施</w:t>
                  </w:r>
                </w:p>
              </w:tc>
              <w:tc>
                <w:tcPr>
                  <w:tcW w:w="5400" w:type="dxa"/>
                  <w:noWrap w:val="0"/>
                  <w:vAlign w:val="center"/>
                </w:tcPr>
                <w:p>
                  <w:pPr>
                    <w:pStyle w:val="72"/>
                    <w:spacing w:line="240" w:lineRule="auto"/>
                    <w:ind w:firstLine="0" w:firstLineChars="0"/>
                    <w:jc w:val="center"/>
                    <w:rPr>
                      <w:rFonts w:hAnsi="宋体"/>
                      <w:kern w:val="2"/>
                      <w:sz w:val="21"/>
                      <w:szCs w:val="21"/>
                    </w:rPr>
                  </w:pPr>
                  <w:r>
                    <w:rPr>
                      <w:rFonts w:hint="eastAsia" w:hAnsi="宋体"/>
                      <w:kern w:val="2"/>
                      <w:sz w:val="21"/>
                      <w:szCs w:val="21"/>
                      <w:lang w:eastAsia="zh-CN"/>
                    </w:rPr>
                    <w:t>事故应急池</w:t>
                  </w:r>
                  <w:r>
                    <w:rPr>
                      <w:rFonts w:hint="eastAsia" w:hAnsi="宋体"/>
                      <w:kern w:val="2"/>
                      <w:sz w:val="21"/>
                      <w:szCs w:val="21"/>
                    </w:rPr>
                    <w:t>1个，30m</w:t>
                  </w:r>
                  <w:r>
                    <w:rPr>
                      <w:rFonts w:hint="eastAsia" w:hAnsi="宋体"/>
                      <w:kern w:val="2"/>
                      <w:sz w:val="21"/>
                      <w:szCs w:val="21"/>
                      <w:vertAlign w:val="superscript"/>
                    </w:rPr>
                    <w:t>3</w:t>
                  </w:r>
                  <w:r>
                    <w:rPr>
                      <w:rFonts w:hint="eastAsia" w:hAnsi="宋体"/>
                      <w:kern w:val="2"/>
                      <w:sz w:val="21"/>
                      <w:szCs w:val="21"/>
                    </w:rPr>
                    <w:t>，用于收集污水处理系统事故废水</w:t>
                  </w:r>
                </w:p>
              </w:tc>
            </w:tr>
          </w:tbl>
          <w:p>
            <w:pPr>
              <w:spacing w:line="360" w:lineRule="auto"/>
              <w:rPr>
                <w:rFonts w:hint="eastAsia"/>
                <w:b/>
                <w:bCs/>
                <w:color w:val="000000"/>
                <w:sz w:val="28"/>
                <w:szCs w:val="36"/>
              </w:rPr>
            </w:pPr>
            <w:r>
              <w:rPr>
                <w:rFonts w:hint="eastAsia"/>
                <w:b/>
                <w:bCs/>
                <w:color w:val="000000"/>
                <w:sz w:val="28"/>
                <w:szCs w:val="36"/>
                <w:lang w:val="en-US" w:eastAsia="zh-CN"/>
              </w:rPr>
              <w:t>四、</w:t>
            </w:r>
            <w:r>
              <w:rPr>
                <w:rFonts w:hint="eastAsia"/>
                <w:b/>
                <w:bCs/>
                <w:color w:val="000000"/>
                <w:sz w:val="28"/>
                <w:szCs w:val="36"/>
              </w:rPr>
              <w:t>扩建前</w:t>
            </w:r>
            <w:r>
              <w:rPr>
                <w:rFonts w:hint="eastAsia"/>
                <w:b/>
                <w:bCs/>
                <w:color w:val="000000"/>
                <w:sz w:val="28"/>
                <w:szCs w:val="36"/>
                <w:lang w:eastAsia="zh-CN"/>
              </w:rPr>
              <w:t>项目</w:t>
            </w:r>
            <w:r>
              <w:rPr>
                <w:rFonts w:hint="eastAsia"/>
                <w:b/>
                <w:bCs/>
                <w:color w:val="000000"/>
                <w:sz w:val="28"/>
                <w:szCs w:val="36"/>
              </w:rPr>
              <w:t>主要环保措施及污染物排放情况</w:t>
            </w:r>
          </w:p>
          <w:p>
            <w:pPr>
              <w:spacing w:line="360" w:lineRule="auto"/>
              <w:ind w:firstLine="482" w:firstLineChars="200"/>
              <w:rPr>
                <w:rFonts w:hint="eastAsia"/>
                <w:b/>
                <w:bCs/>
                <w:color w:val="000000"/>
                <w:sz w:val="24"/>
                <w:szCs w:val="32"/>
              </w:rPr>
            </w:pPr>
            <w:r>
              <w:rPr>
                <w:rFonts w:hint="eastAsia"/>
                <w:b/>
                <w:bCs/>
                <w:color w:val="000000"/>
                <w:sz w:val="24"/>
                <w:szCs w:val="32"/>
              </w:rPr>
              <w:t>本次评价根据现场踏勘情况对原项目污染物排放情况进行简要分析。</w:t>
            </w:r>
          </w:p>
          <w:p>
            <w:pPr>
              <w:spacing w:line="360" w:lineRule="auto"/>
              <w:ind w:firstLine="482" w:firstLineChars="200"/>
              <w:rPr>
                <w:rFonts w:hint="eastAsia" w:eastAsia="宋体"/>
                <w:b/>
                <w:bCs/>
                <w:sz w:val="24"/>
                <w:lang w:eastAsia="zh-CN"/>
              </w:rPr>
            </w:pPr>
            <w:r>
              <w:rPr>
                <w:rFonts w:hint="eastAsia"/>
                <w:b/>
                <w:bCs/>
                <w:sz w:val="24"/>
                <w:lang w:val="en-US" w:eastAsia="zh-CN"/>
              </w:rPr>
              <w:t>1、</w:t>
            </w:r>
            <w:r>
              <w:rPr>
                <w:rFonts w:hint="eastAsia"/>
                <w:b/>
                <w:bCs/>
                <w:sz w:val="24"/>
              </w:rPr>
              <w:t>废水</w:t>
            </w:r>
            <w:r>
              <w:rPr>
                <w:rFonts w:hint="eastAsia"/>
                <w:b/>
                <w:bCs/>
                <w:sz w:val="24"/>
                <w:lang w:eastAsia="zh-CN"/>
              </w:rPr>
              <w:t>产生及治理措施</w:t>
            </w:r>
          </w:p>
          <w:p>
            <w:pPr>
              <w:spacing w:line="360" w:lineRule="auto"/>
              <w:ind w:firstLine="480" w:firstLineChars="200"/>
              <w:rPr>
                <w:rFonts w:hint="eastAsia"/>
                <w:sz w:val="24"/>
              </w:rPr>
            </w:pPr>
            <w:r>
              <w:rPr>
                <w:rFonts w:hint="eastAsia"/>
                <w:sz w:val="24"/>
              </w:rPr>
              <w:t>项目营运期产生的废水主要为医院工作人员</w:t>
            </w:r>
            <w:r>
              <w:rPr>
                <w:rFonts w:hint="eastAsia"/>
                <w:sz w:val="24"/>
                <w:lang w:eastAsia="zh-CN"/>
              </w:rPr>
              <w:t>产生</w:t>
            </w:r>
            <w:r>
              <w:rPr>
                <w:rFonts w:hint="eastAsia"/>
                <w:sz w:val="24"/>
              </w:rPr>
              <w:t>的生活污水</w:t>
            </w:r>
            <w:r>
              <w:rPr>
                <w:rFonts w:hint="eastAsia"/>
                <w:sz w:val="24"/>
                <w:lang w:eastAsia="zh-CN"/>
              </w:rPr>
              <w:t>、门诊病人、住院病人及检验科室产生的医疗废水、洗衣房产生的浆洗废水、院内厨房产生的食堂废水</w:t>
            </w:r>
            <w:r>
              <w:rPr>
                <w:rFonts w:hint="eastAsia"/>
                <w:sz w:val="24"/>
              </w:rPr>
              <w:t>。</w:t>
            </w:r>
          </w:p>
          <w:p>
            <w:pPr>
              <w:pStyle w:val="59"/>
              <w:rPr>
                <w:rFonts w:hint="eastAsia" w:eastAsia="宋体"/>
                <w:color w:val="000000"/>
                <w:szCs w:val="24"/>
                <w:lang w:eastAsia="zh-CN"/>
              </w:rPr>
            </w:pPr>
            <w:r>
              <w:rPr>
                <w:rFonts w:hint="eastAsia"/>
                <w:color w:val="000000"/>
                <w:szCs w:val="24"/>
              </w:rPr>
              <w:t>①医疗</w:t>
            </w:r>
            <w:r>
              <w:rPr>
                <w:rFonts w:hint="eastAsia"/>
                <w:color w:val="000000"/>
                <w:szCs w:val="24"/>
                <w:lang w:eastAsia="zh-CN"/>
              </w:rPr>
              <w:t>废水</w:t>
            </w:r>
          </w:p>
          <w:p>
            <w:pPr>
              <w:pStyle w:val="59"/>
              <w:jc w:val="both"/>
              <w:rPr>
                <w:rFonts w:hint="eastAsia"/>
                <w:color w:val="000000"/>
                <w:szCs w:val="24"/>
              </w:rPr>
            </w:pPr>
            <w:r>
              <w:rPr>
                <w:rFonts w:hint="eastAsia"/>
                <w:color w:val="000000"/>
                <w:szCs w:val="24"/>
              </w:rPr>
              <w:t>本项目医疗废水主要来源于门诊排水</w:t>
            </w:r>
            <w:r>
              <w:rPr>
                <w:rFonts w:hint="eastAsia"/>
                <w:color w:val="000000"/>
                <w:szCs w:val="24"/>
                <w:lang w:eastAsia="zh-CN"/>
              </w:rPr>
              <w:t>、</w:t>
            </w:r>
            <w:r>
              <w:rPr>
                <w:rFonts w:hint="eastAsia"/>
                <w:color w:val="000000"/>
                <w:szCs w:val="24"/>
              </w:rPr>
              <w:t>病房排水</w:t>
            </w:r>
            <w:r>
              <w:rPr>
                <w:rFonts w:hint="eastAsia"/>
                <w:color w:val="000000"/>
                <w:szCs w:val="24"/>
                <w:lang w:eastAsia="zh-CN"/>
              </w:rPr>
              <w:t>以及检验科室排水</w:t>
            </w:r>
            <w:r>
              <w:rPr>
                <w:rFonts w:hint="eastAsia"/>
                <w:color w:val="000000"/>
                <w:szCs w:val="24"/>
              </w:rPr>
              <w:t>。医疗废水经</w:t>
            </w:r>
            <w:r>
              <w:rPr>
                <w:rFonts w:hint="eastAsia"/>
                <w:color w:val="000000"/>
                <w:szCs w:val="24"/>
                <w:lang w:eastAsia="zh-CN"/>
              </w:rPr>
              <w:t>化粪</w:t>
            </w:r>
            <w:r>
              <w:rPr>
                <w:rFonts w:hint="eastAsia"/>
                <w:color w:val="000000"/>
                <w:szCs w:val="24"/>
              </w:rPr>
              <w:t>池</w:t>
            </w:r>
            <w:r>
              <w:rPr>
                <w:rFonts w:hint="eastAsia"/>
                <w:color w:val="000000"/>
                <w:szCs w:val="24"/>
                <w:lang w:eastAsia="zh-CN"/>
              </w:rPr>
              <w:t>预处理</w:t>
            </w:r>
            <w:r>
              <w:rPr>
                <w:rFonts w:hint="eastAsia"/>
                <w:color w:val="000000"/>
                <w:szCs w:val="24"/>
              </w:rPr>
              <w:t>后</w:t>
            </w:r>
            <w:r>
              <w:rPr>
                <w:rFonts w:hint="eastAsia"/>
                <w:color w:val="000000"/>
                <w:szCs w:val="24"/>
                <w:lang w:eastAsia="zh-CN"/>
              </w:rPr>
              <w:t>，</w:t>
            </w:r>
            <w:r>
              <w:rPr>
                <w:rFonts w:hint="eastAsia"/>
                <w:color w:val="000000"/>
                <w:szCs w:val="24"/>
              </w:rPr>
              <w:t>进入院内污水处理站处理</w:t>
            </w:r>
            <w:r>
              <w:rPr>
                <w:rFonts w:hint="eastAsia"/>
                <w:color w:val="000000"/>
                <w:szCs w:val="24"/>
                <w:lang w:eastAsia="zh-CN"/>
              </w:rPr>
              <w:t>后排入市政污水管网</w:t>
            </w:r>
            <w:r>
              <w:rPr>
                <w:rFonts w:hint="eastAsia"/>
                <w:color w:val="000000"/>
                <w:szCs w:val="24"/>
              </w:rPr>
              <w:t>。</w:t>
            </w:r>
          </w:p>
          <w:p>
            <w:pPr>
              <w:pStyle w:val="59"/>
              <w:rPr>
                <w:rFonts w:hint="eastAsia"/>
                <w:color w:val="000000"/>
                <w:szCs w:val="24"/>
              </w:rPr>
            </w:pPr>
            <w:r>
              <w:rPr>
                <w:rFonts w:hint="eastAsia" w:ascii="汉仪书宋二S" w:hAnsi="汉仪书宋二S" w:eastAsia="汉仪书宋二S" w:cs="汉仪书宋二S"/>
                <w:color w:val="000000"/>
                <w:szCs w:val="24"/>
              </w:rPr>
              <w:t>②</w:t>
            </w:r>
            <w:r>
              <w:rPr>
                <w:rFonts w:hint="eastAsia"/>
                <w:color w:val="000000"/>
                <w:szCs w:val="24"/>
              </w:rPr>
              <w:t>生活污水</w:t>
            </w:r>
          </w:p>
          <w:p>
            <w:pPr>
              <w:pStyle w:val="59"/>
              <w:jc w:val="both"/>
              <w:rPr>
                <w:rFonts w:hint="eastAsia"/>
                <w:color w:val="000000"/>
                <w:szCs w:val="24"/>
              </w:rPr>
            </w:pPr>
            <w:r>
              <w:rPr>
                <w:rFonts w:hint="eastAsia"/>
                <w:color w:val="000000"/>
                <w:szCs w:val="24"/>
              </w:rPr>
              <w:t>生活污水主要来源于</w:t>
            </w:r>
            <w:r>
              <w:rPr>
                <w:rFonts w:hint="eastAsia"/>
                <w:color w:val="000000"/>
                <w:szCs w:val="24"/>
                <w:lang w:eastAsia="zh-CN"/>
              </w:rPr>
              <w:t>医院职工产生的生活</w:t>
            </w:r>
            <w:r>
              <w:rPr>
                <w:rFonts w:hint="eastAsia"/>
                <w:color w:val="000000"/>
                <w:szCs w:val="24"/>
              </w:rPr>
              <w:t>污水，生活污水经</w:t>
            </w:r>
            <w:r>
              <w:rPr>
                <w:rFonts w:hint="eastAsia"/>
                <w:color w:val="000000"/>
                <w:szCs w:val="24"/>
                <w:lang w:eastAsia="zh-CN"/>
              </w:rPr>
              <w:t>化粪</w:t>
            </w:r>
            <w:r>
              <w:rPr>
                <w:rFonts w:hint="eastAsia"/>
                <w:color w:val="000000"/>
                <w:szCs w:val="24"/>
              </w:rPr>
              <w:t>池</w:t>
            </w:r>
            <w:r>
              <w:rPr>
                <w:rFonts w:hint="eastAsia"/>
                <w:color w:val="000000"/>
                <w:szCs w:val="24"/>
                <w:lang w:eastAsia="zh-CN"/>
              </w:rPr>
              <w:t>预处理</w:t>
            </w:r>
            <w:r>
              <w:rPr>
                <w:rFonts w:hint="eastAsia"/>
                <w:color w:val="000000"/>
                <w:szCs w:val="24"/>
              </w:rPr>
              <w:t>后</w:t>
            </w:r>
            <w:r>
              <w:rPr>
                <w:rFonts w:hint="eastAsia"/>
                <w:color w:val="000000"/>
                <w:szCs w:val="24"/>
                <w:lang w:eastAsia="zh-CN"/>
              </w:rPr>
              <w:t>，</w:t>
            </w:r>
            <w:r>
              <w:rPr>
                <w:rFonts w:hint="eastAsia"/>
                <w:color w:val="000000"/>
                <w:szCs w:val="24"/>
              </w:rPr>
              <w:t>进入院内污水处理站处理</w:t>
            </w:r>
            <w:r>
              <w:rPr>
                <w:rFonts w:hint="eastAsia"/>
                <w:color w:val="000000"/>
                <w:szCs w:val="24"/>
                <w:lang w:eastAsia="zh-CN"/>
              </w:rPr>
              <w:t>后排入市政污水管网</w:t>
            </w:r>
            <w:r>
              <w:rPr>
                <w:rFonts w:hint="eastAsia"/>
                <w:color w:val="000000"/>
                <w:szCs w:val="24"/>
              </w:rPr>
              <w:t>。</w:t>
            </w:r>
          </w:p>
          <w:p>
            <w:pPr>
              <w:pStyle w:val="59"/>
              <w:rPr>
                <w:rFonts w:hint="eastAsia" w:ascii="东文宋体" w:hAnsi="东文宋体" w:eastAsia="东文宋体" w:cs="东文宋体"/>
                <w:color w:val="000000"/>
                <w:szCs w:val="24"/>
              </w:rPr>
            </w:pPr>
            <w:r>
              <w:rPr>
                <w:rFonts w:hint="eastAsia" w:ascii="东文宋体" w:hAnsi="东文宋体" w:eastAsia="东文宋体" w:cs="东文宋体"/>
                <w:color w:val="000000"/>
                <w:szCs w:val="24"/>
              </w:rPr>
              <w:t>③洗涤废水</w:t>
            </w:r>
          </w:p>
          <w:p>
            <w:pPr>
              <w:pStyle w:val="72"/>
              <w:bidi w:val="0"/>
              <w:rPr>
                <w:rFonts w:hint="eastAsia"/>
              </w:rPr>
            </w:pPr>
            <w:r>
              <w:rPr>
                <w:rFonts w:hint="eastAsia"/>
                <w:color w:val="000000"/>
                <w:szCs w:val="24"/>
              </w:rPr>
              <w:t>洗涤废水和生活污水一样经</w:t>
            </w:r>
            <w:r>
              <w:rPr>
                <w:rFonts w:hint="eastAsia"/>
                <w:color w:val="000000"/>
                <w:szCs w:val="24"/>
                <w:lang w:eastAsia="zh-CN"/>
              </w:rPr>
              <w:t>化粪</w:t>
            </w:r>
            <w:r>
              <w:rPr>
                <w:rFonts w:hint="eastAsia"/>
                <w:color w:val="000000"/>
                <w:szCs w:val="24"/>
              </w:rPr>
              <w:t>池</w:t>
            </w:r>
            <w:r>
              <w:rPr>
                <w:rFonts w:hint="eastAsia"/>
                <w:color w:val="000000"/>
                <w:szCs w:val="24"/>
                <w:lang w:eastAsia="zh-CN"/>
              </w:rPr>
              <w:t>预处理</w:t>
            </w:r>
            <w:r>
              <w:rPr>
                <w:rFonts w:hint="eastAsia"/>
                <w:color w:val="000000"/>
                <w:szCs w:val="24"/>
              </w:rPr>
              <w:t>后</w:t>
            </w:r>
            <w:r>
              <w:rPr>
                <w:rFonts w:hint="eastAsia"/>
                <w:color w:val="000000"/>
                <w:szCs w:val="24"/>
                <w:lang w:eastAsia="zh-CN"/>
              </w:rPr>
              <w:t>，</w:t>
            </w:r>
            <w:r>
              <w:rPr>
                <w:rFonts w:hint="eastAsia"/>
                <w:color w:val="000000"/>
                <w:szCs w:val="24"/>
              </w:rPr>
              <w:t>进入院内污水处理站处理</w:t>
            </w:r>
            <w:r>
              <w:rPr>
                <w:rFonts w:hint="eastAsia"/>
                <w:color w:val="000000"/>
                <w:szCs w:val="24"/>
                <w:lang w:eastAsia="zh-CN"/>
              </w:rPr>
              <w:t>后排入市</w:t>
            </w:r>
            <w:r>
              <w:rPr>
                <w:rFonts w:hint="eastAsia"/>
                <w:lang w:eastAsia="zh-CN"/>
              </w:rPr>
              <w:t>政污水管网</w:t>
            </w:r>
            <w:r>
              <w:rPr>
                <w:rFonts w:hint="eastAsia"/>
              </w:rPr>
              <w:t>。</w:t>
            </w:r>
          </w:p>
          <w:p>
            <w:pPr>
              <w:pStyle w:val="72"/>
              <w:bidi w:val="0"/>
              <w:rPr>
                <w:rFonts w:hint="eastAsia"/>
                <w:lang w:eastAsia="zh-CN"/>
              </w:rPr>
            </w:pPr>
            <w:r>
              <w:rPr>
                <w:rFonts w:hint="eastAsia"/>
              </w:rPr>
              <w:t>④</w:t>
            </w:r>
            <w:r>
              <w:rPr>
                <w:rFonts w:hint="eastAsia"/>
                <w:lang w:eastAsia="zh-CN"/>
              </w:rPr>
              <w:t>食堂废水</w:t>
            </w:r>
          </w:p>
          <w:p>
            <w:pPr>
              <w:pStyle w:val="72"/>
              <w:bidi w:val="0"/>
              <w:rPr>
                <w:rFonts w:hint="eastAsia"/>
                <w:color w:val="000000"/>
                <w:szCs w:val="24"/>
                <w:lang w:eastAsia="zh-CN"/>
              </w:rPr>
            </w:pPr>
            <w:r>
              <w:rPr>
                <w:rFonts w:hint="eastAsia"/>
                <w:lang w:eastAsia="zh-CN"/>
              </w:rPr>
              <w:t>食堂废水经隔油池预处理后由化粪池收集至院内污水处理站，处理后排入市政污水管网</w:t>
            </w:r>
            <w:r>
              <w:rPr>
                <w:rFonts w:hint="eastAsia"/>
                <w:color w:val="000000"/>
                <w:szCs w:val="24"/>
                <w:lang w:eastAsia="zh-CN"/>
              </w:rPr>
              <w:t>。</w:t>
            </w:r>
          </w:p>
          <w:p>
            <w:pPr>
              <w:spacing w:line="360" w:lineRule="auto"/>
              <w:ind w:firstLine="480" w:firstLineChars="200"/>
              <w:rPr>
                <w:rFonts w:hint="eastAsia" w:eastAsia="宋体"/>
                <w:sz w:val="24"/>
                <w:lang w:eastAsia="zh-CN"/>
              </w:rPr>
            </w:pPr>
            <w:r>
              <w:rPr>
                <w:rFonts w:hint="eastAsia"/>
                <w:sz w:val="24"/>
                <w:lang w:eastAsia="zh-CN"/>
              </w:rPr>
              <w:t>根据乐山巴川精神病专科医院项目竣工环境保护验收监测报告表中四川衡测检测技术股份有限公司关于项目污水外排口的监测结果，见下表</w:t>
            </w:r>
            <w:r>
              <w:rPr>
                <w:rFonts w:hint="eastAsia"/>
                <w:sz w:val="24"/>
                <w:lang w:val="en-US" w:eastAsia="zh-CN"/>
              </w:rPr>
              <w:t>2-16,</w:t>
            </w:r>
            <w:r>
              <w:rPr>
                <w:rFonts w:hint="eastAsia"/>
                <w:sz w:val="24"/>
                <w:lang w:eastAsia="zh-CN"/>
              </w:rPr>
              <w:t>本院产生的</w:t>
            </w:r>
            <w:r>
              <w:rPr>
                <w:rFonts w:hint="eastAsia" w:hAnsi="宋体"/>
                <w:sz w:val="24"/>
              </w:rPr>
              <w:t>废水由院内污水处理站处理</w:t>
            </w:r>
            <w:r>
              <w:rPr>
                <w:rFonts w:hint="eastAsia" w:hAnsi="宋体"/>
                <w:sz w:val="24"/>
                <w:lang w:eastAsia="zh-CN"/>
              </w:rPr>
              <w:t>后水质符合</w:t>
            </w:r>
            <w:r>
              <w:rPr>
                <w:rFonts w:hint="eastAsia" w:hAnsi="宋体"/>
                <w:sz w:val="24"/>
              </w:rPr>
              <w:t>《医疗机构水污染物排放标准》（GB18466-2005）表2中</w:t>
            </w:r>
            <w:r>
              <w:rPr>
                <w:rFonts w:hint="eastAsia" w:hAnsi="宋体"/>
                <w:sz w:val="24"/>
                <w:lang w:eastAsia="zh-CN"/>
              </w:rPr>
              <w:t>的排放</w:t>
            </w:r>
            <w:r>
              <w:rPr>
                <w:rFonts w:hint="eastAsia" w:hAnsi="宋体"/>
                <w:sz w:val="24"/>
              </w:rPr>
              <w:t>标准</w:t>
            </w:r>
            <w:r>
              <w:rPr>
                <w:rFonts w:hint="eastAsia" w:hAnsi="宋体"/>
                <w:sz w:val="24"/>
                <w:lang w:eastAsia="zh-CN"/>
              </w:rPr>
              <w:t>，能够达标排放。</w:t>
            </w:r>
          </w:p>
          <w:p>
            <w:pPr>
              <w:spacing w:line="240" w:lineRule="auto"/>
              <w:ind w:firstLine="422" w:firstLineChars="200"/>
              <w:jc w:val="right"/>
              <w:rPr>
                <w:rFonts w:hint="default" w:eastAsia="宋体"/>
                <w:b/>
                <w:bCs/>
                <w:sz w:val="21"/>
                <w:szCs w:val="21"/>
                <w:lang w:val="en-US" w:eastAsia="zh-CN"/>
              </w:rPr>
            </w:pPr>
            <w:r>
              <w:rPr>
                <w:rFonts w:hint="eastAsia"/>
                <w:b/>
                <w:bCs/>
                <w:sz w:val="21"/>
                <w:szCs w:val="21"/>
                <w:lang w:eastAsia="zh-CN"/>
              </w:rPr>
              <w:t>表</w:t>
            </w:r>
            <w:r>
              <w:rPr>
                <w:rFonts w:hint="eastAsia"/>
                <w:b/>
                <w:bCs/>
                <w:sz w:val="21"/>
                <w:szCs w:val="21"/>
                <w:lang w:val="en-US" w:eastAsia="zh-CN"/>
              </w:rPr>
              <w:t>2-16  项目废水验收监测结果     单位：mg/L（pH无单位）</w:t>
            </w:r>
          </w:p>
          <w:tbl>
            <w:tblPr>
              <w:tblStyle w:val="42"/>
              <w:tblW w:w="794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73"/>
              <w:gridCol w:w="694"/>
              <w:gridCol w:w="680"/>
              <w:gridCol w:w="883"/>
              <w:gridCol w:w="883"/>
              <w:gridCol w:w="883"/>
              <w:gridCol w:w="883"/>
              <w:gridCol w:w="883"/>
              <w:gridCol w:w="88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3" w:type="dxa"/>
                  <w:vMerge w:val="restart"/>
                  <w:tcBorders>
                    <w:tl2br w:val="nil"/>
                    <w:tr2bl w:val="nil"/>
                  </w:tcBorders>
                  <w:noWrap w:val="0"/>
                  <w:vAlign w:val="center"/>
                </w:tcPr>
                <w:p>
                  <w:pPr>
                    <w:pStyle w:val="165"/>
                    <w:bidi w:val="0"/>
                    <w:spacing w:line="240" w:lineRule="auto"/>
                    <w:rPr>
                      <w:rFonts w:hint="eastAsia" w:eastAsia="宋体"/>
                      <w:b/>
                      <w:bCs/>
                      <w:sz w:val="21"/>
                      <w:szCs w:val="21"/>
                      <w:lang w:eastAsia="zh-CN"/>
                    </w:rPr>
                  </w:pPr>
                  <w:r>
                    <w:rPr>
                      <w:rFonts w:hint="eastAsia"/>
                      <w:b/>
                      <w:bCs/>
                      <w:sz w:val="21"/>
                      <w:szCs w:val="21"/>
                      <w:lang w:eastAsia="zh-CN"/>
                    </w:rPr>
                    <w:t>监测项目</w:t>
                  </w:r>
                </w:p>
              </w:tc>
              <w:tc>
                <w:tcPr>
                  <w:tcW w:w="694" w:type="dxa"/>
                  <w:vMerge w:val="restart"/>
                  <w:tcBorders>
                    <w:tl2br w:val="nil"/>
                    <w:tr2bl w:val="nil"/>
                  </w:tcBorders>
                  <w:noWrap w:val="0"/>
                  <w:vAlign w:val="center"/>
                </w:tcPr>
                <w:p>
                  <w:pPr>
                    <w:pStyle w:val="165"/>
                    <w:bidi w:val="0"/>
                    <w:spacing w:line="240" w:lineRule="auto"/>
                    <w:rPr>
                      <w:rFonts w:hint="eastAsia" w:eastAsia="宋体"/>
                      <w:b/>
                      <w:bCs/>
                      <w:sz w:val="21"/>
                      <w:szCs w:val="21"/>
                      <w:lang w:eastAsia="zh-CN"/>
                    </w:rPr>
                  </w:pPr>
                  <w:r>
                    <w:rPr>
                      <w:rFonts w:hint="eastAsia"/>
                      <w:b/>
                      <w:bCs/>
                      <w:sz w:val="21"/>
                      <w:szCs w:val="21"/>
                      <w:lang w:eastAsia="zh-CN"/>
                    </w:rPr>
                    <w:t>监测日期</w:t>
                  </w:r>
                </w:p>
              </w:tc>
              <w:tc>
                <w:tcPr>
                  <w:tcW w:w="680" w:type="dxa"/>
                  <w:vMerge w:val="restart"/>
                  <w:tcBorders>
                    <w:tl2br w:val="nil"/>
                    <w:tr2bl w:val="nil"/>
                  </w:tcBorders>
                  <w:noWrap w:val="0"/>
                  <w:vAlign w:val="center"/>
                </w:tcPr>
                <w:p>
                  <w:pPr>
                    <w:pStyle w:val="165"/>
                    <w:bidi w:val="0"/>
                    <w:spacing w:line="240" w:lineRule="auto"/>
                    <w:rPr>
                      <w:rFonts w:hint="eastAsia" w:eastAsia="宋体"/>
                      <w:b/>
                      <w:bCs/>
                      <w:sz w:val="21"/>
                      <w:szCs w:val="21"/>
                      <w:lang w:eastAsia="zh-CN"/>
                    </w:rPr>
                  </w:pPr>
                  <w:r>
                    <w:rPr>
                      <w:rFonts w:hint="eastAsia"/>
                      <w:b/>
                      <w:bCs/>
                      <w:sz w:val="21"/>
                      <w:szCs w:val="21"/>
                      <w:lang w:eastAsia="zh-CN"/>
                    </w:rPr>
                    <w:t>监测点位</w:t>
                  </w:r>
                </w:p>
              </w:tc>
              <w:tc>
                <w:tcPr>
                  <w:tcW w:w="4415" w:type="dxa"/>
                  <w:gridSpan w:val="5"/>
                  <w:tcBorders>
                    <w:tl2br w:val="nil"/>
                    <w:tr2bl w:val="nil"/>
                  </w:tcBorders>
                  <w:noWrap w:val="0"/>
                  <w:vAlign w:val="center"/>
                </w:tcPr>
                <w:p>
                  <w:pPr>
                    <w:pStyle w:val="165"/>
                    <w:bidi w:val="0"/>
                    <w:spacing w:line="240" w:lineRule="auto"/>
                    <w:rPr>
                      <w:rFonts w:hint="eastAsia"/>
                      <w:b/>
                      <w:bCs/>
                      <w:sz w:val="21"/>
                      <w:szCs w:val="21"/>
                    </w:rPr>
                  </w:pPr>
                  <w:r>
                    <w:rPr>
                      <w:rFonts w:hint="eastAsia"/>
                      <w:b/>
                      <w:bCs/>
                      <w:sz w:val="21"/>
                      <w:szCs w:val="21"/>
                      <w:lang w:eastAsia="zh-CN"/>
                    </w:rPr>
                    <w:t>监测结果</w:t>
                  </w:r>
                </w:p>
              </w:tc>
              <w:tc>
                <w:tcPr>
                  <w:tcW w:w="883" w:type="dxa"/>
                  <w:vMerge w:val="restart"/>
                  <w:tcBorders>
                    <w:tl2br w:val="nil"/>
                    <w:tr2bl w:val="nil"/>
                  </w:tcBorders>
                  <w:noWrap w:val="0"/>
                  <w:vAlign w:val="center"/>
                </w:tcPr>
                <w:p>
                  <w:pPr>
                    <w:pStyle w:val="165"/>
                    <w:bidi w:val="0"/>
                    <w:spacing w:line="240" w:lineRule="auto"/>
                    <w:rPr>
                      <w:rFonts w:hint="eastAsia" w:eastAsia="宋体"/>
                      <w:b/>
                      <w:bCs/>
                      <w:sz w:val="21"/>
                      <w:szCs w:val="21"/>
                      <w:lang w:eastAsia="zh-CN"/>
                    </w:rPr>
                  </w:pPr>
                  <w:r>
                    <w:rPr>
                      <w:rFonts w:hint="eastAsia"/>
                      <w:b/>
                      <w:bCs/>
                      <w:sz w:val="21"/>
                      <w:szCs w:val="21"/>
                      <w:lang w:eastAsia="zh-CN"/>
                    </w:rPr>
                    <w:t>标准限值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3" w:type="dxa"/>
                  <w:vMerge w:val="continue"/>
                  <w:tcBorders>
                    <w:tl2br w:val="nil"/>
                    <w:tr2bl w:val="nil"/>
                  </w:tcBorders>
                  <w:noWrap w:val="0"/>
                  <w:vAlign w:val="center"/>
                </w:tcPr>
                <w:p>
                  <w:pPr>
                    <w:pStyle w:val="165"/>
                    <w:bidi w:val="0"/>
                    <w:spacing w:line="240" w:lineRule="auto"/>
                    <w:rPr>
                      <w:rFonts w:hint="eastAsia"/>
                      <w:sz w:val="21"/>
                      <w:szCs w:val="21"/>
                    </w:rPr>
                  </w:pPr>
                </w:p>
              </w:tc>
              <w:tc>
                <w:tcPr>
                  <w:tcW w:w="694" w:type="dxa"/>
                  <w:vMerge w:val="continue"/>
                  <w:tcBorders>
                    <w:tl2br w:val="nil"/>
                    <w:tr2bl w:val="nil"/>
                  </w:tcBorders>
                  <w:noWrap w:val="0"/>
                  <w:vAlign w:val="center"/>
                </w:tcPr>
                <w:p>
                  <w:pPr>
                    <w:pStyle w:val="165"/>
                    <w:bidi w:val="0"/>
                    <w:spacing w:line="240" w:lineRule="auto"/>
                    <w:rPr>
                      <w:rFonts w:hint="eastAsia"/>
                      <w:sz w:val="21"/>
                      <w:szCs w:val="21"/>
                    </w:rPr>
                  </w:pPr>
                </w:p>
              </w:tc>
              <w:tc>
                <w:tcPr>
                  <w:tcW w:w="680" w:type="dxa"/>
                  <w:vMerge w:val="continue"/>
                  <w:tcBorders>
                    <w:tl2br w:val="nil"/>
                    <w:tr2bl w:val="nil"/>
                  </w:tcBorders>
                  <w:noWrap w:val="0"/>
                  <w:vAlign w:val="center"/>
                </w:tcPr>
                <w:p>
                  <w:pPr>
                    <w:pStyle w:val="165"/>
                    <w:bidi w:val="0"/>
                    <w:spacing w:line="240" w:lineRule="auto"/>
                    <w:rPr>
                      <w:rFonts w:hint="eastAsia"/>
                      <w:sz w:val="21"/>
                      <w:szCs w:val="21"/>
                    </w:rPr>
                  </w:pPr>
                </w:p>
              </w:tc>
              <w:tc>
                <w:tcPr>
                  <w:tcW w:w="883" w:type="dxa"/>
                  <w:tcBorders>
                    <w:tl2br w:val="nil"/>
                    <w:tr2bl w:val="nil"/>
                  </w:tcBorders>
                  <w:noWrap w:val="0"/>
                  <w:vAlign w:val="center"/>
                </w:tcPr>
                <w:p>
                  <w:pPr>
                    <w:pStyle w:val="165"/>
                    <w:bidi w:val="0"/>
                    <w:spacing w:line="240" w:lineRule="auto"/>
                    <w:rPr>
                      <w:rFonts w:hint="eastAsia" w:eastAsia="宋体"/>
                      <w:b/>
                      <w:bCs/>
                      <w:sz w:val="21"/>
                      <w:szCs w:val="21"/>
                      <w:lang w:eastAsia="zh-CN"/>
                    </w:rPr>
                  </w:pPr>
                  <w:r>
                    <w:rPr>
                      <w:rFonts w:hint="eastAsia"/>
                      <w:b/>
                      <w:bCs/>
                      <w:sz w:val="21"/>
                      <w:szCs w:val="21"/>
                      <w:lang w:eastAsia="zh-CN"/>
                    </w:rPr>
                    <w:t>一次</w:t>
                  </w:r>
                </w:p>
              </w:tc>
              <w:tc>
                <w:tcPr>
                  <w:tcW w:w="883" w:type="dxa"/>
                  <w:tcBorders>
                    <w:tl2br w:val="nil"/>
                    <w:tr2bl w:val="nil"/>
                  </w:tcBorders>
                  <w:noWrap w:val="0"/>
                  <w:vAlign w:val="center"/>
                </w:tcPr>
                <w:p>
                  <w:pPr>
                    <w:pStyle w:val="165"/>
                    <w:bidi w:val="0"/>
                    <w:spacing w:line="240" w:lineRule="auto"/>
                    <w:rPr>
                      <w:rFonts w:hint="eastAsia" w:eastAsia="宋体"/>
                      <w:b/>
                      <w:bCs/>
                      <w:sz w:val="21"/>
                      <w:szCs w:val="21"/>
                      <w:lang w:eastAsia="zh-CN"/>
                    </w:rPr>
                  </w:pPr>
                  <w:r>
                    <w:rPr>
                      <w:rFonts w:hint="eastAsia"/>
                      <w:b/>
                      <w:bCs/>
                      <w:sz w:val="21"/>
                      <w:szCs w:val="21"/>
                      <w:lang w:eastAsia="zh-CN"/>
                    </w:rPr>
                    <w:t>二次</w:t>
                  </w:r>
                </w:p>
              </w:tc>
              <w:tc>
                <w:tcPr>
                  <w:tcW w:w="883" w:type="dxa"/>
                  <w:tcBorders>
                    <w:tl2br w:val="nil"/>
                    <w:tr2bl w:val="nil"/>
                  </w:tcBorders>
                  <w:noWrap w:val="0"/>
                  <w:vAlign w:val="center"/>
                </w:tcPr>
                <w:p>
                  <w:pPr>
                    <w:pStyle w:val="165"/>
                    <w:bidi w:val="0"/>
                    <w:spacing w:line="240" w:lineRule="auto"/>
                    <w:rPr>
                      <w:rFonts w:hint="eastAsia" w:eastAsia="宋体"/>
                      <w:b/>
                      <w:bCs/>
                      <w:sz w:val="21"/>
                      <w:szCs w:val="21"/>
                      <w:lang w:eastAsia="zh-CN"/>
                    </w:rPr>
                  </w:pPr>
                  <w:r>
                    <w:rPr>
                      <w:rFonts w:hint="eastAsia"/>
                      <w:b/>
                      <w:bCs/>
                      <w:sz w:val="21"/>
                      <w:szCs w:val="21"/>
                      <w:lang w:eastAsia="zh-CN"/>
                    </w:rPr>
                    <w:t>三次</w:t>
                  </w:r>
                </w:p>
              </w:tc>
              <w:tc>
                <w:tcPr>
                  <w:tcW w:w="883" w:type="dxa"/>
                  <w:tcBorders>
                    <w:tl2br w:val="nil"/>
                    <w:tr2bl w:val="nil"/>
                  </w:tcBorders>
                  <w:noWrap w:val="0"/>
                  <w:vAlign w:val="center"/>
                </w:tcPr>
                <w:p>
                  <w:pPr>
                    <w:pStyle w:val="165"/>
                    <w:bidi w:val="0"/>
                    <w:spacing w:line="240" w:lineRule="auto"/>
                    <w:rPr>
                      <w:rFonts w:hint="eastAsia" w:eastAsia="宋体"/>
                      <w:b/>
                      <w:bCs/>
                      <w:sz w:val="21"/>
                      <w:szCs w:val="21"/>
                      <w:lang w:eastAsia="zh-CN"/>
                    </w:rPr>
                  </w:pPr>
                  <w:r>
                    <w:rPr>
                      <w:rFonts w:hint="eastAsia"/>
                      <w:b/>
                      <w:bCs/>
                      <w:sz w:val="21"/>
                      <w:szCs w:val="21"/>
                      <w:lang w:eastAsia="zh-CN"/>
                    </w:rPr>
                    <w:t>四次</w:t>
                  </w:r>
                </w:p>
              </w:tc>
              <w:tc>
                <w:tcPr>
                  <w:tcW w:w="883" w:type="dxa"/>
                  <w:tcBorders>
                    <w:tl2br w:val="nil"/>
                    <w:tr2bl w:val="nil"/>
                  </w:tcBorders>
                  <w:noWrap w:val="0"/>
                  <w:vAlign w:val="center"/>
                </w:tcPr>
                <w:p>
                  <w:pPr>
                    <w:pStyle w:val="165"/>
                    <w:bidi w:val="0"/>
                    <w:spacing w:line="240" w:lineRule="auto"/>
                    <w:rPr>
                      <w:rFonts w:hint="eastAsia" w:eastAsia="宋体"/>
                      <w:b/>
                      <w:bCs/>
                      <w:sz w:val="21"/>
                      <w:szCs w:val="21"/>
                      <w:lang w:eastAsia="zh-CN"/>
                    </w:rPr>
                  </w:pPr>
                  <w:r>
                    <w:rPr>
                      <w:rFonts w:hint="eastAsia"/>
                      <w:b/>
                      <w:bCs/>
                      <w:sz w:val="21"/>
                      <w:szCs w:val="21"/>
                      <w:lang w:eastAsia="zh-CN"/>
                    </w:rPr>
                    <w:t>平均</w:t>
                  </w:r>
                </w:p>
              </w:tc>
              <w:tc>
                <w:tcPr>
                  <w:tcW w:w="883" w:type="dxa"/>
                  <w:vMerge w:val="continue"/>
                  <w:tcBorders>
                    <w:tl2br w:val="nil"/>
                    <w:tr2bl w:val="nil"/>
                  </w:tcBorders>
                  <w:noWrap w:val="0"/>
                  <w:vAlign w:val="center"/>
                </w:tcPr>
                <w:p>
                  <w:pPr>
                    <w:pStyle w:val="165"/>
                    <w:bidi w:val="0"/>
                    <w:spacing w:line="240" w:lineRule="auto"/>
                    <w:rPr>
                      <w:rFonts w:hint="eastAsia" w:eastAsia="宋体"/>
                      <w:sz w:val="21"/>
                      <w:szCs w:val="21"/>
                      <w:lang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pH</w:t>
                  </w:r>
                </w:p>
              </w:tc>
              <w:tc>
                <w:tcPr>
                  <w:tcW w:w="694" w:type="dxa"/>
                  <w:vMerge w:val="restart"/>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2018.05.24</w:t>
                  </w:r>
                </w:p>
              </w:tc>
              <w:tc>
                <w:tcPr>
                  <w:tcW w:w="680" w:type="dxa"/>
                  <w:vMerge w:val="restart"/>
                  <w:tcBorders>
                    <w:tl2br w:val="nil"/>
                    <w:tr2bl w:val="nil"/>
                  </w:tcBorders>
                  <w:noWrap w:val="0"/>
                  <w:vAlign w:val="center"/>
                </w:tcPr>
                <w:p>
                  <w:pPr>
                    <w:pStyle w:val="165"/>
                    <w:bidi w:val="0"/>
                    <w:spacing w:line="240" w:lineRule="auto"/>
                    <w:rPr>
                      <w:rFonts w:hint="eastAsia" w:eastAsia="宋体"/>
                      <w:sz w:val="21"/>
                      <w:szCs w:val="21"/>
                      <w:lang w:eastAsia="zh-CN"/>
                    </w:rPr>
                  </w:pPr>
                  <w:r>
                    <w:rPr>
                      <w:rFonts w:hint="eastAsia"/>
                      <w:sz w:val="21"/>
                      <w:szCs w:val="21"/>
                      <w:lang w:eastAsia="zh-CN"/>
                    </w:rPr>
                    <w:t>废水排放口</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7.32</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7.33</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7.32</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7.33</w:t>
                  </w:r>
                </w:p>
              </w:tc>
              <w:tc>
                <w:tcPr>
                  <w:tcW w:w="883" w:type="dxa"/>
                  <w:tcBorders>
                    <w:tl2br w:val="nil"/>
                    <w:tr2bl w:val="nil"/>
                  </w:tcBorders>
                  <w:noWrap w:val="0"/>
                  <w:vAlign w:val="center"/>
                </w:tcPr>
                <w:p>
                  <w:pPr>
                    <w:pStyle w:val="165"/>
                    <w:bidi w:val="0"/>
                    <w:spacing w:line="240" w:lineRule="auto"/>
                    <w:rPr>
                      <w:rFonts w:hint="eastAsia" w:eastAsia="宋体"/>
                      <w:sz w:val="21"/>
                      <w:szCs w:val="21"/>
                      <w:lang w:val="en-US" w:eastAsia="zh-CN"/>
                    </w:rPr>
                  </w:pPr>
                  <w:r>
                    <w:rPr>
                      <w:rFonts w:hint="eastAsia"/>
                      <w:sz w:val="21"/>
                      <w:szCs w:val="21"/>
                      <w:lang w:val="en-US" w:eastAsia="zh-CN"/>
                    </w:rPr>
                    <w:t>/</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6～9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3" w:type="dxa"/>
                  <w:tcBorders>
                    <w:tl2br w:val="nil"/>
                    <w:tr2bl w:val="nil"/>
                  </w:tcBorders>
                  <w:noWrap w:val="0"/>
                  <w:vAlign w:val="center"/>
                </w:tcPr>
                <w:p>
                  <w:pPr>
                    <w:pStyle w:val="165"/>
                    <w:bidi w:val="0"/>
                    <w:spacing w:line="240" w:lineRule="auto"/>
                    <w:rPr>
                      <w:rFonts w:hint="eastAsia" w:eastAsia="宋体"/>
                      <w:sz w:val="21"/>
                      <w:szCs w:val="21"/>
                      <w:lang w:eastAsia="zh-CN"/>
                    </w:rPr>
                  </w:pPr>
                  <w:r>
                    <w:rPr>
                      <w:rFonts w:hint="eastAsia"/>
                      <w:sz w:val="21"/>
                      <w:szCs w:val="21"/>
                      <w:lang w:eastAsia="zh-CN"/>
                    </w:rPr>
                    <w:t>化学需氧量</w:t>
                  </w:r>
                </w:p>
              </w:tc>
              <w:tc>
                <w:tcPr>
                  <w:tcW w:w="694" w:type="dxa"/>
                  <w:vMerge w:val="continue"/>
                  <w:tcBorders>
                    <w:tl2br w:val="nil"/>
                    <w:tr2bl w:val="nil"/>
                  </w:tcBorders>
                  <w:noWrap w:val="0"/>
                  <w:vAlign w:val="center"/>
                </w:tcPr>
                <w:p>
                  <w:pPr>
                    <w:pStyle w:val="165"/>
                    <w:bidi w:val="0"/>
                    <w:spacing w:line="240" w:lineRule="auto"/>
                    <w:rPr>
                      <w:rFonts w:hint="eastAsia"/>
                      <w:sz w:val="21"/>
                      <w:szCs w:val="21"/>
                    </w:rPr>
                  </w:pPr>
                </w:p>
              </w:tc>
              <w:tc>
                <w:tcPr>
                  <w:tcW w:w="680" w:type="dxa"/>
                  <w:vMerge w:val="continue"/>
                  <w:tcBorders>
                    <w:tl2br w:val="nil"/>
                    <w:tr2bl w:val="nil"/>
                  </w:tcBorders>
                  <w:noWrap w:val="0"/>
                  <w:vAlign w:val="center"/>
                </w:tcPr>
                <w:p>
                  <w:pPr>
                    <w:pStyle w:val="165"/>
                    <w:bidi w:val="0"/>
                    <w:spacing w:line="240" w:lineRule="auto"/>
                    <w:rPr>
                      <w:rFonts w:hint="eastAsia"/>
                      <w:sz w:val="21"/>
                      <w:szCs w:val="21"/>
                    </w:rPr>
                  </w:pP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54</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57</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64</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56</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58</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eastAsia="zh-CN"/>
                    </w:rPr>
                    <w:t>五日生化需氧量</w:t>
                  </w:r>
                </w:p>
              </w:tc>
              <w:tc>
                <w:tcPr>
                  <w:tcW w:w="694" w:type="dxa"/>
                  <w:vMerge w:val="continue"/>
                  <w:tcBorders>
                    <w:tl2br w:val="nil"/>
                    <w:tr2bl w:val="nil"/>
                  </w:tcBorders>
                  <w:noWrap w:val="0"/>
                  <w:vAlign w:val="center"/>
                </w:tcPr>
                <w:p>
                  <w:pPr>
                    <w:pStyle w:val="165"/>
                    <w:bidi w:val="0"/>
                    <w:spacing w:line="240" w:lineRule="auto"/>
                    <w:rPr>
                      <w:rFonts w:hint="eastAsia"/>
                      <w:sz w:val="21"/>
                      <w:szCs w:val="21"/>
                    </w:rPr>
                  </w:pPr>
                </w:p>
              </w:tc>
              <w:tc>
                <w:tcPr>
                  <w:tcW w:w="680" w:type="dxa"/>
                  <w:vMerge w:val="continue"/>
                  <w:tcBorders>
                    <w:tl2br w:val="nil"/>
                    <w:tr2bl w:val="nil"/>
                  </w:tcBorders>
                  <w:noWrap w:val="0"/>
                  <w:vAlign w:val="center"/>
                </w:tcPr>
                <w:p>
                  <w:pPr>
                    <w:pStyle w:val="165"/>
                    <w:bidi w:val="0"/>
                    <w:spacing w:line="240" w:lineRule="auto"/>
                    <w:rPr>
                      <w:rFonts w:hint="eastAsia"/>
                      <w:sz w:val="21"/>
                      <w:szCs w:val="21"/>
                    </w:rPr>
                  </w:pP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15.2</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15.9</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18.0</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15.6</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16.2</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eastAsia="zh-CN"/>
                    </w:rPr>
                    <w:t>氨氮</w:t>
                  </w:r>
                </w:p>
              </w:tc>
              <w:tc>
                <w:tcPr>
                  <w:tcW w:w="694" w:type="dxa"/>
                  <w:vMerge w:val="continue"/>
                  <w:tcBorders>
                    <w:tl2br w:val="nil"/>
                    <w:tr2bl w:val="nil"/>
                  </w:tcBorders>
                  <w:noWrap w:val="0"/>
                  <w:vAlign w:val="center"/>
                </w:tcPr>
                <w:p>
                  <w:pPr>
                    <w:pStyle w:val="165"/>
                    <w:bidi w:val="0"/>
                    <w:spacing w:line="240" w:lineRule="auto"/>
                    <w:rPr>
                      <w:rFonts w:hint="eastAsia"/>
                      <w:sz w:val="21"/>
                      <w:szCs w:val="21"/>
                    </w:rPr>
                  </w:pPr>
                </w:p>
              </w:tc>
              <w:tc>
                <w:tcPr>
                  <w:tcW w:w="680" w:type="dxa"/>
                  <w:vMerge w:val="continue"/>
                  <w:tcBorders>
                    <w:tl2br w:val="nil"/>
                    <w:tr2bl w:val="nil"/>
                  </w:tcBorders>
                  <w:noWrap w:val="0"/>
                  <w:vAlign w:val="center"/>
                </w:tcPr>
                <w:p>
                  <w:pPr>
                    <w:pStyle w:val="165"/>
                    <w:bidi w:val="0"/>
                    <w:spacing w:line="240" w:lineRule="auto"/>
                    <w:rPr>
                      <w:rFonts w:hint="eastAsia"/>
                      <w:sz w:val="21"/>
                      <w:szCs w:val="21"/>
                    </w:rPr>
                  </w:pP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2.15</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2.31</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2.24</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2.19</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2.22</w:t>
                  </w:r>
                </w:p>
              </w:tc>
              <w:tc>
                <w:tcPr>
                  <w:tcW w:w="883" w:type="dxa"/>
                  <w:tcBorders>
                    <w:tl2br w:val="nil"/>
                    <w:tr2bl w:val="nil"/>
                  </w:tcBorders>
                  <w:noWrap w:val="0"/>
                  <w:vAlign w:val="center"/>
                </w:tcPr>
                <w:p>
                  <w:pPr>
                    <w:pStyle w:val="165"/>
                    <w:bidi w:val="0"/>
                    <w:spacing w:line="240" w:lineRule="auto"/>
                    <w:rPr>
                      <w:rFonts w:hint="eastAsia"/>
                      <w:sz w:val="21"/>
                      <w:szCs w:val="21"/>
                    </w:rPr>
                  </w:pPr>
                  <w:r>
                    <w:rPr>
                      <w:rFonts w:hint="eastAsia"/>
                      <w:sz w:val="21"/>
                      <w:szCs w:val="21"/>
                      <w:lang w:val="en-US" w:eastAsia="zh-CN"/>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eastAsia="zh-CN"/>
                    </w:rPr>
                    <w:t>动植物油</w:t>
                  </w:r>
                </w:p>
              </w:tc>
              <w:tc>
                <w:tcPr>
                  <w:tcW w:w="694" w:type="dxa"/>
                  <w:vMerge w:val="continue"/>
                  <w:tcBorders>
                    <w:tl2br w:val="nil"/>
                    <w:tr2bl w:val="nil"/>
                  </w:tcBorders>
                  <w:noWrap w:val="0"/>
                  <w:vAlign w:val="center"/>
                </w:tcPr>
                <w:p>
                  <w:pPr>
                    <w:pStyle w:val="165"/>
                    <w:bidi w:val="0"/>
                    <w:spacing w:line="240" w:lineRule="auto"/>
                    <w:rPr>
                      <w:rFonts w:hint="eastAsia"/>
                      <w:sz w:val="21"/>
                      <w:szCs w:val="21"/>
                    </w:rPr>
                  </w:pPr>
                </w:p>
              </w:tc>
              <w:tc>
                <w:tcPr>
                  <w:tcW w:w="680" w:type="dxa"/>
                  <w:vMerge w:val="continue"/>
                  <w:tcBorders>
                    <w:tl2br w:val="nil"/>
                    <w:tr2bl w:val="nil"/>
                  </w:tcBorders>
                  <w:noWrap w:val="0"/>
                  <w:vAlign w:val="center"/>
                </w:tcPr>
                <w:p>
                  <w:pPr>
                    <w:pStyle w:val="165"/>
                    <w:bidi w:val="0"/>
                    <w:spacing w:line="240" w:lineRule="auto"/>
                    <w:rPr>
                      <w:rFonts w:hint="eastAsia"/>
                      <w:sz w:val="21"/>
                      <w:szCs w:val="21"/>
                    </w:rPr>
                  </w:pP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0.05</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0.06</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0.06</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0.07</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0.06</w:t>
                  </w:r>
                </w:p>
              </w:tc>
              <w:tc>
                <w:tcPr>
                  <w:tcW w:w="883" w:type="dxa"/>
                  <w:tcBorders>
                    <w:tl2br w:val="nil"/>
                    <w:tr2bl w:val="nil"/>
                  </w:tcBorders>
                  <w:noWrap w:val="0"/>
                  <w:vAlign w:val="center"/>
                </w:tcPr>
                <w:p>
                  <w:pPr>
                    <w:pStyle w:val="165"/>
                    <w:bidi w:val="0"/>
                    <w:spacing w:line="240" w:lineRule="auto"/>
                    <w:rPr>
                      <w:rFonts w:hint="eastAsia"/>
                      <w:sz w:val="21"/>
                      <w:szCs w:val="21"/>
                    </w:rPr>
                  </w:pPr>
                  <w:r>
                    <w:rPr>
                      <w:rFonts w:hint="eastAsia"/>
                      <w:sz w:val="21"/>
                      <w:szCs w:val="21"/>
                      <w:lang w:val="en-US" w:eastAsia="zh-CN"/>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3" w:type="dxa"/>
                  <w:tcBorders>
                    <w:tl2br w:val="nil"/>
                    <w:tr2bl w:val="nil"/>
                  </w:tcBorders>
                  <w:noWrap w:val="0"/>
                  <w:vAlign w:val="center"/>
                </w:tcPr>
                <w:p>
                  <w:pPr>
                    <w:pStyle w:val="165"/>
                    <w:bidi w:val="0"/>
                    <w:spacing w:line="240" w:lineRule="auto"/>
                    <w:rPr>
                      <w:rFonts w:hint="eastAsia" w:eastAsia="宋体"/>
                      <w:sz w:val="21"/>
                      <w:szCs w:val="21"/>
                      <w:lang w:eastAsia="zh-CN"/>
                    </w:rPr>
                  </w:pPr>
                  <w:r>
                    <w:rPr>
                      <w:rFonts w:hint="eastAsia"/>
                      <w:sz w:val="21"/>
                      <w:szCs w:val="21"/>
                      <w:lang w:eastAsia="zh-CN"/>
                    </w:rPr>
                    <w:t>总余氯</w:t>
                  </w:r>
                </w:p>
              </w:tc>
              <w:tc>
                <w:tcPr>
                  <w:tcW w:w="694" w:type="dxa"/>
                  <w:vMerge w:val="continue"/>
                  <w:tcBorders>
                    <w:tl2br w:val="nil"/>
                    <w:tr2bl w:val="nil"/>
                  </w:tcBorders>
                  <w:noWrap w:val="0"/>
                  <w:vAlign w:val="center"/>
                </w:tcPr>
                <w:p>
                  <w:pPr>
                    <w:pStyle w:val="165"/>
                    <w:bidi w:val="0"/>
                    <w:spacing w:line="240" w:lineRule="auto"/>
                    <w:rPr>
                      <w:rFonts w:hint="eastAsia"/>
                      <w:sz w:val="21"/>
                      <w:szCs w:val="21"/>
                    </w:rPr>
                  </w:pPr>
                </w:p>
              </w:tc>
              <w:tc>
                <w:tcPr>
                  <w:tcW w:w="680" w:type="dxa"/>
                  <w:vMerge w:val="continue"/>
                  <w:tcBorders>
                    <w:tl2br w:val="nil"/>
                    <w:tr2bl w:val="nil"/>
                  </w:tcBorders>
                  <w:noWrap w:val="0"/>
                  <w:vAlign w:val="center"/>
                </w:tcPr>
                <w:p>
                  <w:pPr>
                    <w:pStyle w:val="165"/>
                    <w:bidi w:val="0"/>
                    <w:spacing w:line="240" w:lineRule="auto"/>
                    <w:rPr>
                      <w:rFonts w:hint="eastAsia"/>
                      <w:sz w:val="21"/>
                      <w:szCs w:val="21"/>
                    </w:rPr>
                  </w:pP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0.44</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0.43</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0.42</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0.41</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0.42</w:t>
                  </w:r>
                </w:p>
              </w:tc>
              <w:tc>
                <w:tcPr>
                  <w:tcW w:w="883" w:type="dxa"/>
                  <w:tcBorders>
                    <w:tl2br w:val="nil"/>
                    <w:tr2bl w:val="nil"/>
                  </w:tcBorders>
                  <w:noWrap w:val="0"/>
                  <w:vAlign w:val="center"/>
                </w:tcPr>
                <w:p>
                  <w:pPr>
                    <w:pStyle w:val="165"/>
                    <w:bidi w:val="0"/>
                    <w:spacing w:line="240" w:lineRule="auto"/>
                    <w:rPr>
                      <w:rFonts w:hint="eastAsia"/>
                      <w:sz w:val="21"/>
                      <w:szCs w:val="21"/>
                    </w:rPr>
                  </w:pPr>
                  <w:r>
                    <w:rPr>
                      <w:rFonts w:hint="eastAsia"/>
                      <w:sz w:val="21"/>
                      <w:szCs w:val="21"/>
                      <w:lang w:val="en-US" w:eastAsia="zh-CN"/>
                    </w:rPr>
                    <w:t>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3" w:type="dxa"/>
                  <w:tcBorders>
                    <w:tl2br w:val="nil"/>
                    <w:tr2bl w:val="nil"/>
                  </w:tcBorders>
                  <w:noWrap w:val="0"/>
                  <w:vAlign w:val="center"/>
                </w:tcPr>
                <w:p>
                  <w:pPr>
                    <w:pStyle w:val="165"/>
                    <w:bidi w:val="0"/>
                    <w:spacing w:line="240" w:lineRule="auto"/>
                    <w:rPr>
                      <w:rFonts w:hint="eastAsia" w:eastAsia="宋体"/>
                      <w:sz w:val="21"/>
                      <w:szCs w:val="21"/>
                      <w:lang w:eastAsia="zh-CN"/>
                    </w:rPr>
                  </w:pPr>
                  <w:r>
                    <w:rPr>
                      <w:rFonts w:hint="eastAsia"/>
                      <w:sz w:val="21"/>
                      <w:szCs w:val="21"/>
                      <w:lang w:eastAsia="zh-CN"/>
                    </w:rPr>
                    <w:t>粪大肠菌群（</w:t>
                  </w:r>
                  <w:r>
                    <w:rPr>
                      <w:rFonts w:hint="eastAsia"/>
                      <w:sz w:val="21"/>
                      <w:szCs w:val="21"/>
                      <w:lang w:val="en-US" w:eastAsia="zh-CN"/>
                    </w:rPr>
                    <w:t>MPN/L</w:t>
                  </w:r>
                  <w:r>
                    <w:rPr>
                      <w:rFonts w:hint="eastAsia"/>
                      <w:sz w:val="21"/>
                      <w:szCs w:val="21"/>
                      <w:lang w:eastAsia="zh-CN"/>
                    </w:rPr>
                    <w:t>）</w:t>
                  </w:r>
                </w:p>
              </w:tc>
              <w:tc>
                <w:tcPr>
                  <w:tcW w:w="694" w:type="dxa"/>
                  <w:vMerge w:val="continue"/>
                  <w:tcBorders>
                    <w:tl2br w:val="nil"/>
                    <w:tr2bl w:val="nil"/>
                  </w:tcBorders>
                  <w:noWrap w:val="0"/>
                  <w:vAlign w:val="center"/>
                </w:tcPr>
                <w:p>
                  <w:pPr>
                    <w:pStyle w:val="165"/>
                    <w:bidi w:val="0"/>
                    <w:spacing w:line="240" w:lineRule="auto"/>
                    <w:rPr>
                      <w:rFonts w:hint="eastAsia"/>
                      <w:sz w:val="21"/>
                      <w:szCs w:val="21"/>
                    </w:rPr>
                  </w:pPr>
                </w:p>
              </w:tc>
              <w:tc>
                <w:tcPr>
                  <w:tcW w:w="680" w:type="dxa"/>
                  <w:vMerge w:val="continue"/>
                  <w:tcBorders>
                    <w:tl2br w:val="nil"/>
                    <w:tr2bl w:val="nil"/>
                  </w:tcBorders>
                  <w:noWrap w:val="0"/>
                  <w:vAlign w:val="center"/>
                </w:tcPr>
                <w:p>
                  <w:pPr>
                    <w:pStyle w:val="165"/>
                    <w:bidi w:val="0"/>
                    <w:spacing w:line="240" w:lineRule="auto"/>
                    <w:rPr>
                      <w:rFonts w:hint="eastAsia"/>
                      <w:sz w:val="21"/>
                      <w:szCs w:val="21"/>
                    </w:rPr>
                  </w:pP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200</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400</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200</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200</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250</w:t>
                  </w:r>
                </w:p>
              </w:tc>
              <w:tc>
                <w:tcPr>
                  <w:tcW w:w="883" w:type="dxa"/>
                  <w:tcBorders>
                    <w:tl2br w:val="nil"/>
                    <w:tr2bl w:val="nil"/>
                  </w:tcBorders>
                  <w:noWrap w:val="0"/>
                  <w:vAlign w:val="center"/>
                </w:tcPr>
                <w:p>
                  <w:pPr>
                    <w:pStyle w:val="165"/>
                    <w:bidi w:val="0"/>
                    <w:spacing w:line="240" w:lineRule="auto"/>
                    <w:rPr>
                      <w:rFonts w:hint="eastAsia"/>
                      <w:sz w:val="21"/>
                      <w:szCs w:val="21"/>
                    </w:rPr>
                  </w:pPr>
                  <w:r>
                    <w:rPr>
                      <w:rFonts w:hint="eastAsia"/>
                      <w:sz w:val="21"/>
                      <w:szCs w:val="21"/>
                      <w:lang w:val="en-US" w:eastAsia="zh-CN"/>
                    </w:rPr>
                    <w:t>500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3" w:type="dxa"/>
                  <w:tcBorders>
                    <w:tl2br w:val="nil"/>
                    <w:tr2bl w:val="nil"/>
                  </w:tcBorders>
                  <w:noWrap w:val="0"/>
                  <w:vAlign w:val="center"/>
                </w:tcPr>
                <w:p>
                  <w:pPr>
                    <w:pStyle w:val="165"/>
                    <w:bidi w:val="0"/>
                    <w:spacing w:line="240" w:lineRule="auto"/>
                    <w:rPr>
                      <w:rFonts w:hint="eastAsia" w:ascii="Times New Roman" w:hAnsi="Times New Roman" w:eastAsia="宋体" w:cs="Times New Roman"/>
                      <w:sz w:val="21"/>
                      <w:szCs w:val="21"/>
                      <w:lang w:val="en-US" w:eastAsia="zh-CN" w:bidi="ar-SA"/>
                    </w:rPr>
                  </w:pPr>
                  <w:r>
                    <w:rPr>
                      <w:rFonts w:hint="eastAsia"/>
                      <w:sz w:val="21"/>
                      <w:szCs w:val="21"/>
                      <w:lang w:val="en-US" w:eastAsia="zh-CN"/>
                    </w:rPr>
                    <w:t>pH</w:t>
                  </w:r>
                </w:p>
              </w:tc>
              <w:tc>
                <w:tcPr>
                  <w:tcW w:w="694" w:type="dxa"/>
                  <w:vMerge w:val="restart"/>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2018.05.25</w:t>
                  </w:r>
                </w:p>
              </w:tc>
              <w:tc>
                <w:tcPr>
                  <w:tcW w:w="680" w:type="dxa"/>
                  <w:vMerge w:val="continue"/>
                  <w:tcBorders>
                    <w:tl2br w:val="nil"/>
                    <w:tr2bl w:val="nil"/>
                  </w:tcBorders>
                  <w:noWrap w:val="0"/>
                  <w:vAlign w:val="center"/>
                </w:tcPr>
                <w:p>
                  <w:pPr>
                    <w:pStyle w:val="165"/>
                    <w:bidi w:val="0"/>
                    <w:spacing w:line="240" w:lineRule="auto"/>
                    <w:rPr>
                      <w:rFonts w:hint="eastAsia"/>
                      <w:sz w:val="21"/>
                      <w:szCs w:val="21"/>
                    </w:rPr>
                  </w:pP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7.22</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7.21</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7.19</w:t>
                  </w:r>
                </w:p>
              </w:tc>
              <w:tc>
                <w:tcPr>
                  <w:tcW w:w="883" w:type="dxa"/>
                  <w:tcBorders>
                    <w:tl2br w:val="nil"/>
                    <w:tr2bl w:val="nil"/>
                  </w:tcBorders>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7.22</w:t>
                  </w:r>
                </w:p>
              </w:tc>
              <w:tc>
                <w:tcPr>
                  <w:tcW w:w="883" w:type="dxa"/>
                  <w:tcBorders>
                    <w:tl2br w:val="nil"/>
                    <w:tr2bl w:val="nil"/>
                  </w:tcBorders>
                  <w:noWrap w:val="0"/>
                  <w:vAlign w:val="center"/>
                </w:tcPr>
                <w:p>
                  <w:pPr>
                    <w:pStyle w:val="165"/>
                    <w:bidi w:val="0"/>
                    <w:spacing w:line="240" w:lineRule="auto"/>
                    <w:rPr>
                      <w:rFonts w:hint="eastAsia" w:eastAsia="宋体"/>
                      <w:sz w:val="21"/>
                      <w:szCs w:val="21"/>
                      <w:lang w:val="en-US" w:eastAsia="zh-CN"/>
                    </w:rPr>
                  </w:pPr>
                  <w:r>
                    <w:rPr>
                      <w:rFonts w:hint="eastAsia"/>
                      <w:sz w:val="21"/>
                      <w:szCs w:val="21"/>
                      <w:lang w:val="en-US" w:eastAsia="zh-CN"/>
                    </w:rPr>
                    <w:t>/</w:t>
                  </w:r>
                </w:p>
              </w:tc>
              <w:tc>
                <w:tcPr>
                  <w:tcW w:w="883" w:type="dxa"/>
                  <w:tcBorders>
                    <w:tl2br w:val="nil"/>
                    <w:tr2bl w:val="nil"/>
                  </w:tcBorders>
                  <w:noWrap w:val="0"/>
                  <w:vAlign w:val="center"/>
                </w:tcPr>
                <w:p>
                  <w:pPr>
                    <w:pStyle w:val="165"/>
                    <w:bidi w:val="0"/>
                    <w:spacing w:line="240" w:lineRule="auto"/>
                    <w:rPr>
                      <w:rFonts w:hint="eastAsia" w:ascii="Times New Roman" w:hAnsi="Times New Roman" w:eastAsia="宋体" w:cs="Times New Roman"/>
                      <w:sz w:val="21"/>
                      <w:szCs w:val="21"/>
                      <w:lang w:val="en-US" w:eastAsia="zh-CN" w:bidi="ar-SA"/>
                    </w:rPr>
                  </w:pPr>
                  <w:r>
                    <w:rPr>
                      <w:rFonts w:hint="eastAsia"/>
                      <w:sz w:val="21"/>
                      <w:szCs w:val="21"/>
                      <w:lang w:val="en-US" w:eastAsia="zh-CN"/>
                    </w:rPr>
                    <w:t>6～9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3" w:type="dxa"/>
                  <w:noWrap w:val="0"/>
                  <w:vAlign w:val="center"/>
                </w:tcPr>
                <w:p>
                  <w:pPr>
                    <w:pStyle w:val="165"/>
                    <w:bidi w:val="0"/>
                    <w:spacing w:line="240" w:lineRule="auto"/>
                    <w:rPr>
                      <w:rFonts w:hint="eastAsia" w:ascii="Times New Roman" w:hAnsi="Times New Roman" w:eastAsia="宋体" w:cs="Times New Roman"/>
                      <w:sz w:val="21"/>
                      <w:szCs w:val="21"/>
                      <w:lang w:val="en-US" w:eastAsia="zh-CN" w:bidi="ar-SA"/>
                    </w:rPr>
                  </w:pPr>
                  <w:r>
                    <w:rPr>
                      <w:rFonts w:hint="eastAsia"/>
                      <w:sz w:val="21"/>
                      <w:szCs w:val="21"/>
                      <w:lang w:eastAsia="zh-CN"/>
                    </w:rPr>
                    <w:t>化学需氧量</w:t>
                  </w:r>
                </w:p>
              </w:tc>
              <w:tc>
                <w:tcPr>
                  <w:tcW w:w="694" w:type="dxa"/>
                  <w:vMerge w:val="continue"/>
                  <w:noWrap w:val="0"/>
                  <w:vAlign w:val="center"/>
                </w:tcPr>
                <w:p>
                  <w:pPr>
                    <w:pStyle w:val="165"/>
                    <w:bidi w:val="0"/>
                    <w:spacing w:line="240" w:lineRule="auto"/>
                    <w:rPr>
                      <w:rFonts w:hint="eastAsia"/>
                      <w:sz w:val="21"/>
                      <w:szCs w:val="21"/>
                    </w:rPr>
                  </w:pPr>
                </w:p>
              </w:tc>
              <w:tc>
                <w:tcPr>
                  <w:tcW w:w="680" w:type="dxa"/>
                  <w:vMerge w:val="continue"/>
                  <w:noWrap w:val="0"/>
                  <w:vAlign w:val="center"/>
                </w:tcPr>
                <w:p>
                  <w:pPr>
                    <w:pStyle w:val="165"/>
                    <w:bidi w:val="0"/>
                    <w:spacing w:line="240" w:lineRule="auto"/>
                    <w:rPr>
                      <w:rFonts w:hint="eastAsia"/>
                      <w:sz w:val="21"/>
                      <w:szCs w:val="21"/>
                    </w:rPr>
                  </w:pP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37</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51</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47</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49</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46</w:t>
                  </w:r>
                </w:p>
              </w:tc>
              <w:tc>
                <w:tcPr>
                  <w:tcW w:w="0" w:type="auto"/>
                  <w:noWrap w:val="0"/>
                  <w:vAlign w:val="center"/>
                </w:tcPr>
                <w:p>
                  <w:pPr>
                    <w:pStyle w:val="165"/>
                    <w:bidi w:val="0"/>
                    <w:spacing w:line="240" w:lineRule="auto"/>
                    <w:rPr>
                      <w:rFonts w:hint="eastAsia" w:ascii="Times New Roman" w:hAnsi="Times New Roman" w:eastAsia="宋体" w:cs="Times New Roman"/>
                      <w:sz w:val="21"/>
                      <w:szCs w:val="21"/>
                      <w:lang w:val="en-US" w:eastAsia="zh-CN" w:bidi="ar-SA"/>
                    </w:rPr>
                  </w:pPr>
                  <w:r>
                    <w:rPr>
                      <w:rFonts w:hint="eastAsia"/>
                      <w:sz w:val="21"/>
                      <w:szCs w:val="21"/>
                      <w:lang w:val="en-US" w:eastAsia="zh-CN"/>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3" w:type="dxa"/>
                  <w:noWrap w:val="0"/>
                  <w:vAlign w:val="center"/>
                </w:tcPr>
                <w:p>
                  <w:pPr>
                    <w:pStyle w:val="165"/>
                    <w:bidi w:val="0"/>
                    <w:spacing w:line="240" w:lineRule="auto"/>
                    <w:rPr>
                      <w:rFonts w:hint="eastAsia" w:ascii="Times New Roman" w:hAnsi="Times New Roman" w:eastAsia="宋体" w:cs="Times New Roman"/>
                      <w:sz w:val="21"/>
                      <w:szCs w:val="21"/>
                      <w:lang w:val="en-US" w:eastAsia="zh-CN" w:bidi="ar-SA"/>
                    </w:rPr>
                  </w:pPr>
                  <w:r>
                    <w:rPr>
                      <w:rFonts w:hint="eastAsia"/>
                      <w:sz w:val="21"/>
                      <w:szCs w:val="21"/>
                      <w:lang w:eastAsia="zh-CN"/>
                    </w:rPr>
                    <w:t>五日生化需氧量</w:t>
                  </w:r>
                </w:p>
              </w:tc>
              <w:tc>
                <w:tcPr>
                  <w:tcW w:w="694" w:type="dxa"/>
                  <w:vMerge w:val="continue"/>
                  <w:noWrap w:val="0"/>
                  <w:vAlign w:val="center"/>
                </w:tcPr>
                <w:p>
                  <w:pPr>
                    <w:pStyle w:val="165"/>
                    <w:bidi w:val="0"/>
                    <w:spacing w:line="240" w:lineRule="auto"/>
                    <w:rPr>
                      <w:rFonts w:hint="eastAsia"/>
                      <w:sz w:val="21"/>
                      <w:szCs w:val="21"/>
                    </w:rPr>
                  </w:pPr>
                </w:p>
              </w:tc>
              <w:tc>
                <w:tcPr>
                  <w:tcW w:w="680" w:type="dxa"/>
                  <w:vMerge w:val="continue"/>
                  <w:noWrap w:val="0"/>
                  <w:vAlign w:val="center"/>
                </w:tcPr>
                <w:p>
                  <w:pPr>
                    <w:pStyle w:val="165"/>
                    <w:bidi w:val="0"/>
                    <w:spacing w:line="240" w:lineRule="auto"/>
                    <w:rPr>
                      <w:rFonts w:hint="eastAsia"/>
                      <w:sz w:val="21"/>
                      <w:szCs w:val="21"/>
                    </w:rPr>
                  </w:pP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10.4</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14.3</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13.3</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13.7</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12.9</w:t>
                  </w:r>
                </w:p>
              </w:tc>
              <w:tc>
                <w:tcPr>
                  <w:tcW w:w="0" w:type="auto"/>
                  <w:noWrap w:val="0"/>
                  <w:vAlign w:val="center"/>
                </w:tcPr>
                <w:p>
                  <w:pPr>
                    <w:pStyle w:val="165"/>
                    <w:bidi w:val="0"/>
                    <w:spacing w:line="240" w:lineRule="auto"/>
                    <w:rPr>
                      <w:rFonts w:hint="eastAsia" w:ascii="Times New Roman" w:hAnsi="Times New Roman" w:eastAsia="宋体" w:cs="Times New Roman"/>
                      <w:sz w:val="21"/>
                      <w:szCs w:val="21"/>
                      <w:lang w:val="en-US" w:eastAsia="zh-CN" w:bidi="ar-SA"/>
                    </w:rPr>
                  </w:pPr>
                  <w:r>
                    <w:rPr>
                      <w:rFonts w:hint="eastAsia"/>
                      <w:sz w:val="21"/>
                      <w:szCs w:val="21"/>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3" w:type="dxa"/>
                  <w:noWrap w:val="0"/>
                  <w:vAlign w:val="center"/>
                </w:tcPr>
                <w:p>
                  <w:pPr>
                    <w:pStyle w:val="165"/>
                    <w:bidi w:val="0"/>
                    <w:spacing w:line="240" w:lineRule="auto"/>
                    <w:rPr>
                      <w:rFonts w:hint="eastAsia" w:ascii="Times New Roman" w:hAnsi="Times New Roman" w:eastAsia="宋体" w:cs="Times New Roman"/>
                      <w:sz w:val="21"/>
                      <w:szCs w:val="21"/>
                      <w:lang w:val="en-US" w:eastAsia="zh-CN" w:bidi="ar-SA"/>
                    </w:rPr>
                  </w:pPr>
                  <w:r>
                    <w:rPr>
                      <w:rFonts w:hint="eastAsia"/>
                      <w:sz w:val="21"/>
                      <w:szCs w:val="21"/>
                      <w:lang w:eastAsia="zh-CN"/>
                    </w:rPr>
                    <w:t>氨氮</w:t>
                  </w:r>
                </w:p>
              </w:tc>
              <w:tc>
                <w:tcPr>
                  <w:tcW w:w="694" w:type="dxa"/>
                  <w:vMerge w:val="continue"/>
                  <w:noWrap w:val="0"/>
                  <w:vAlign w:val="center"/>
                </w:tcPr>
                <w:p>
                  <w:pPr>
                    <w:pStyle w:val="165"/>
                    <w:bidi w:val="0"/>
                    <w:spacing w:line="240" w:lineRule="auto"/>
                    <w:rPr>
                      <w:rFonts w:hint="eastAsia"/>
                      <w:sz w:val="21"/>
                      <w:szCs w:val="21"/>
                    </w:rPr>
                  </w:pPr>
                </w:p>
              </w:tc>
              <w:tc>
                <w:tcPr>
                  <w:tcW w:w="680" w:type="dxa"/>
                  <w:vMerge w:val="continue"/>
                  <w:noWrap w:val="0"/>
                  <w:vAlign w:val="center"/>
                </w:tcPr>
                <w:p>
                  <w:pPr>
                    <w:pStyle w:val="165"/>
                    <w:bidi w:val="0"/>
                    <w:spacing w:line="240" w:lineRule="auto"/>
                    <w:rPr>
                      <w:rFonts w:hint="eastAsia"/>
                      <w:sz w:val="21"/>
                      <w:szCs w:val="21"/>
                    </w:rPr>
                  </w:pP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2.33</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2.26</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2.27</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2.32</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2.30</w:t>
                  </w:r>
                </w:p>
              </w:tc>
              <w:tc>
                <w:tcPr>
                  <w:tcW w:w="0" w:type="auto"/>
                  <w:noWrap w:val="0"/>
                  <w:vAlign w:val="center"/>
                </w:tcPr>
                <w:p>
                  <w:pPr>
                    <w:pStyle w:val="165"/>
                    <w:bidi w:val="0"/>
                    <w:spacing w:line="240" w:lineRule="auto"/>
                    <w:rPr>
                      <w:rFonts w:hint="eastAsia" w:ascii="Times New Roman" w:hAnsi="Times New Roman" w:eastAsia="宋体" w:cs="Times New Roman"/>
                      <w:sz w:val="21"/>
                      <w:szCs w:val="21"/>
                      <w:lang w:val="en-US" w:eastAsia="zh-CN" w:bidi="ar-SA"/>
                    </w:rPr>
                  </w:pPr>
                  <w:r>
                    <w:rPr>
                      <w:rFonts w:hint="eastAsia"/>
                      <w:sz w:val="21"/>
                      <w:szCs w:val="21"/>
                      <w:lang w:val="en-US" w:eastAsia="zh-CN"/>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3" w:type="dxa"/>
                  <w:noWrap w:val="0"/>
                  <w:vAlign w:val="center"/>
                </w:tcPr>
                <w:p>
                  <w:pPr>
                    <w:pStyle w:val="165"/>
                    <w:bidi w:val="0"/>
                    <w:spacing w:line="240" w:lineRule="auto"/>
                    <w:rPr>
                      <w:rFonts w:hint="eastAsia" w:ascii="Times New Roman" w:hAnsi="Times New Roman" w:eastAsia="宋体" w:cs="Times New Roman"/>
                      <w:sz w:val="21"/>
                      <w:szCs w:val="21"/>
                      <w:lang w:val="en-US" w:eastAsia="zh-CN" w:bidi="ar-SA"/>
                    </w:rPr>
                  </w:pPr>
                  <w:r>
                    <w:rPr>
                      <w:rFonts w:hint="eastAsia"/>
                      <w:sz w:val="21"/>
                      <w:szCs w:val="21"/>
                      <w:lang w:eastAsia="zh-CN"/>
                    </w:rPr>
                    <w:t>动植物油</w:t>
                  </w:r>
                </w:p>
              </w:tc>
              <w:tc>
                <w:tcPr>
                  <w:tcW w:w="694" w:type="dxa"/>
                  <w:vMerge w:val="continue"/>
                  <w:noWrap w:val="0"/>
                  <w:vAlign w:val="center"/>
                </w:tcPr>
                <w:p>
                  <w:pPr>
                    <w:pStyle w:val="165"/>
                    <w:bidi w:val="0"/>
                    <w:spacing w:line="240" w:lineRule="auto"/>
                    <w:rPr>
                      <w:rFonts w:hint="eastAsia"/>
                      <w:sz w:val="21"/>
                      <w:szCs w:val="21"/>
                    </w:rPr>
                  </w:pPr>
                </w:p>
              </w:tc>
              <w:tc>
                <w:tcPr>
                  <w:tcW w:w="680" w:type="dxa"/>
                  <w:vMerge w:val="continue"/>
                  <w:noWrap w:val="0"/>
                  <w:vAlign w:val="center"/>
                </w:tcPr>
                <w:p>
                  <w:pPr>
                    <w:pStyle w:val="165"/>
                    <w:bidi w:val="0"/>
                    <w:spacing w:line="240" w:lineRule="auto"/>
                    <w:rPr>
                      <w:rFonts w:hint="eastAsia"/>
                      <w:sz w:val="21"/>
                      <w:szCs w:val="21"/>
                    </w:rPr>
                  </w:pP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0.06</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0.07</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0.08</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0.07</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0.07</w:t>
                  </w:r>
                </w:p>
              </w:tc>
              <w:tc>
                <w:tcPr>
                  <w:tcW w:w="0" w:type="auto"/>
                  <w:noWrap w:val="0"/>
                  <w:vAlign w:val="center"/>
                </w:tcPr>
                <w:p>
                  <w:pPr>
                    <w:pStyle w:val="165"/>
                    <w:bidi w:val="0"/>
                    <w:spacing w:line="240" w:lineRule="auto"/>
                    <w:rPr>
                      <w:rFonts w:hint="eastAsia" w:ascii="Times New Roman" w:hAnsi="Times New Roman" w:eastAsia="宋体" w:cs="Times New Roman"/>
                      <w:sz w:val="21"/>
                      <w:szCs w:val="21"/>
                      <w:lang w:val="en-US" w:eastAsia="zh-CN" w:bidi="ar-SA"/>
                    </w:rPr>
                  </w:pPr>
                  <w:r>
                    <w:rPr>
                      <w:rFonts w:hint="eastAsia"/>
                      <w:sz w:val="21"/>
                      <w:szCs w:val="21"/>
                      <w:lang w:val="en-US" w:eastAsia="zh-CN"/>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3" w:type="dxa"/>
                  <w:noWrap w:val="0"/>
                  <w:vAlign w:val="center"/>
                </w:tcPr>
                <w:p>
                  <w:pPr>
                    <w:pStyle w:val="165"/>
                    <w:bidi w:val="0"/>
                    <w:spacing w:line="240" w:lineRule="auto"/>
                    <w:rPr>
                      <w:rFonts w:hint="eastAsia" w:ascii="Times New Roman" w:hAnsi="Times New Roman" w:eastAsia="宋体" w:cs="Times New Roman"/>
                      <w:sz w:val="21"/>
                      <w:szCs w:val="21"/>
                      <w:lang w:val="en-US" w:eastAsia="zh-CN" w:bidi="ar-SA"/>
                    </w:rPr>
                  </w:pPr>
                  <w:r>
                    <w:rPr>
                      <w:rFonts w:hint="eastAsia"/>
                      <w:sz w:val="21"/>
                      <w:szCs w:val="21"/>
                      <w:lang w:eastAsia="zh-CN"/>
                    </w:rPr>
                    <w:t>总余氯</w:t>
                  </w:r>
                </w:p>
              </w:tc>
              <w:tc>
                <w:tcPr>
                  <w:tcW w:w="694" w:type="dxa"/>
                  <w:vMerge w:val="continue"/>
                  <w:noWrap w:val="0"/>
                  <w:vAlign w:val="center"/>
                </w:tcPr>
                <w:p>
                  <w:pPr>
                    <w:pStyle w:val="165"/>
                    <w:bidi w:val="0"/>
                    <w:spacing w:line="240" w:lineRule="auto"/>
                    <w:rPr>
                      <w:rFonts w:hint="eastAsia"/>
                      <w:sz w:val="21"/>
                      <w:szCs w:val="21"/>
                    </w:rPr>
                  </w:pPr>
                </w:p>
              </w:tc>
              <w:tc>
                <w:tcPr>
                  <w:tcW w:w="680" w:type="dxa"/>
                  <w:vMerge w:val="continue"/>
                  <w:noWrap w:val="0"/>
                  <w:vAlign w:val="center"/>
                </w:tcPr>
                <w:p>
                  <w:pPr>
                    <w:pStyle w:val="165"/>
                    <w:bidi w:val="0"/>
                    <w:spacing w:line="240" w:lineRule="auto"/>
                    <w:rPr>
                      <w:rFonts w:hint="eastAsia"/>
                      <w:sz w:val="21"/>
                      <w:szCs w:val="21"/>
                    </w:rPr>
                  </w:pP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0.44</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0.43</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0.40</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0.42</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0.42</w:t>
                  </w:r>
                </w:p>
              </w:tc>
              <w:tc>
                <w:tcPr>
                  <w:tcW w:w="0" w:type="auto"/>
                  <w:noWrap w:val="0"/>
                  <w:vAlign w:val="center"/>
                </w:tcPr>
                <w:p>
                  <w:pPr>
                    <w:pStyle w:val="165"/>
                    <w:bidi w:val="0"/>
                    <w:spacing w:line="240" w:lineRule="auto"/>
                    <w:rPr>
                      <w:rFonts w:hint="eastAsia" w:ascii="Times New Roman" w:hAnsi="Times New Roman" w:eastAsia="宋体" w:cs="Times New Roman"/>
                      <w:sz w:val="21"/>
                      <w:szCs w:val="21"/>
                      <w:lang w:val="en-US" w:eastAsia="zh-CN" w:bidi="ar-SA"/>
                    </w:rPr>
                  </w:pPr>
                  <w:r>
                    <w:rPr>
                      <w:rFonts w:hint="eastAsia"/>
                      <w:sz w:val="21"/>
                      <w:szCs w:val="21"/>
                      <w:lang w:val="en-US" w:eastAsia="zh-CN"/>
                    </w:rPr>
                    <w:t>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3" w:type="dxa"/>
                  <w:noWrap w:val="0"/>
                  <w:vAlign w:val="center"/>
                </w:tcPr>
                <w:p>
                  <w:pPr>
                    <w:pStyle w:val="165"/>
                    <w:bidi w:val="0"/>
                    <w:spacing w:line="240" w:lineRule="auto"/>
                    <w:rPr>
                      <w:rFonts w:hint="eastAsia" w:ascii="Times New Roman" w:hAnsi="Times New Roman" w:eastAsia="宋体" w:cs="Times New Roman"/>
                      <w:sz w:val="21"/>
                      <w:szCs w:val="21"/>
                      <w:lang w:val="en-US" w:eastAsia="zh-CN" w:bidi="ar-SA"/>
                    </w:rPr>
                  </w:pPr>
                  <w:r>
                    <w:rPr>
                      <w:rFonts w:hint="eastAsia"/>
                      <w:sz w:val="21"/>
                      <w:szCs w:val="21"/>
                      <w:lang w:eastAsia="zh-CN"/>
                    </w:rPr>
                    <w:t>粪大肠菌群（</w:t>
                  </w:r>
                  <w:r>
                    <w:rPr>
                      <w:rFonts w:hint="eastAsia"/>
                      <w:sz w:val="21"/>
                      <w:szCs w:val="21"/>
                      <w:lang w:val="en-US" w:eastAsia="zh-CN"/>
                    </w:rPr>
                    <w:t>MPN/L</w:t>
                  </w:r>
                  <w:r>
                    <w:rPr>
                      <w:rFonts w:hint="eastAsia"/>
                      <w:sz w:val="21"/>
                      <w:szCs w:val="21"/>
                      <w:lang w:eastAsia="zh-CN"/>
                    </w:rPr>
                    <w:t>）</w:t>
                  </w:r>
                </w:p>
              </w:tc>
              <w:tc>
                <w:tcPr>
                  <w:tcW w:w="694" w:type="dxa"/>
                  <w:vMerge w:val="continue"/>
                  <w:noWrap w:val="0"/>
                  <w:vAlign w:val="center"/>
                </w:tcPr>
                <w:p>
                  <w:pPr>
                    <w:pStyle w:val="165"/>
                    <w:bidi w:val="0"/>
                    <w:spacing w:line="240" w:lineRule="auto"/>
                    <w:rPr>
                      <w:rFonts w:hint="eastAsia"/>
                      <w:sz w:val="21"/>
                      <w:szCs w:val="21"/>
                    </w:rPr>
                  </w:pPr>
                </w:p>
              </w:tc>
              <w:tc>
                <w:tcPr>
                  <w:tcW w:w="680" w:type="dxa"/>
                  <w:vMerge w:val="continue"/>
                  <w:noWrap w:val="0"/>
                  <w:vAlign w:val="center"/>
                </w:tcPr>
                <w:p>
                  <w:pPr>
                    <w:pStyle w:val="165"/>
                    <w:bidi w:val="0"/>
                    <w:spacing w:line="240" w:lineRule="auto"/>
                    <w:rPr>
                      <w:rFonts w:hint="eastAsia"/>
                      <w:sz w:val="21"/>
                      <w:szCs w:val="21"/>
                    </w:rPr>
                  </w:pP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400</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200</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400</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200</w:t>
                  </w:r>
                </w:p>
              </w:tc>
              <w:tc>
                <w:tcPr>
                  <w:tcW w:w="0" w:type="auto"/>
                  <w:noWrap w:val="0"/>
                  <w:vAlign w:val="center"/>
                </w:tcPr>
                <w:p>
                  <w:pPr>
                    <w:pStyle w:val="165"/>
                    <w:bidi w:val="0"/>
                    <w:spacing w:line="240" w:lineRule="auto"/>
                    <w:rPr>
                      <w:rFonts w:hint="default" w:eastAsia="宋体"/>
                      <w:sz w:val="21"/>
                      <w:szCs w:val="21"/>
                      <w:lang w:val="en-US" w:eastAsia="zh-CN"/>
                    </w:rPr>
                  </w:pPr>
                  <w:r>
                    <w:rPr>
                      <w:rFonts w:hint="eastAsia"/>
                      <w:sz w:val="21"/>
                      <w:szCs w:val="21"/>
                      <w:lang w:val="en-US" w:eastAsia="zh-CN"/>
                    </w:rPr>
                    <w:t>300</w:t>
                  </w:r>
                </w:p>
              </w:tc>
              <w:tc>
                <w:tcPr>
                  <w:tcW w:w="0" w:type="auto"/>
                  <w:noWrap w:val="0"/>
                  <w:vAlign w:val="center"/>
                </w:tcPr>
                <w:p>
                  <w:pPr>
                    <w:pStyle w:val="165"/>
                    <w:bidi w:val="0"/>
                    <w:spacing w:line="240" w:lineRule="auto"/>
                    <w:rPr>
                      <w:rFonts w:hint="eastAsia" w:ascii="Times New Roman" w:hAnsi="Times New Roman" w:eastAsia="宋体" w:cs="Times New Roman"/>
                      <w:sz w:val="21"/>
                      <w:szCs w:val="21"/>
                      <w:lang w:val="en-US" w:eastAsia="zh-CN" w:bidi="ar-SA"/>
                    </w:rPr>
                  </w:pPr>
                  <w:r>
                    <w:rPr>
                      <w:rFonts w:hint="eastAsia"/>
                      <w:sz w:val="21"/>
                      <w:szCs w:val="21"/>
                      <w:lang w:val="en-US" w:eastAsia="zh-CN"/>
                    </w:rPr>
                    <w:t>500</w:t>
                  </w:r>
                </w:p>
              </w:tc>
            </w:tr>
          </w:tbl>
          <w:p>
            <w:pPr>
              <w:pStyle w:val="59"/>
              <w:jc w:val="both"/>
              <w:rPr>
                <w:rFonts w:hint="eastAsia"/>
                <w:color w:val="000000"/>
                <w:sz w:val="24"/>
                <w:szCs w:val="32"/>
              </w:rPr>
            </w:pPr>
            <w:r>
              <w:rPr>
                <w:rFonts w:hint="eastAsia"/>
                <w:color w:val="000000"/>
                <w:sz w:val="24"/>
                <w:szCs w:val="32"/>
              </w:rPr>
              <w:t>乐山巴川精神病专科医院有限公司于2022年7月4日委托乐山三友室内空气监测服务有限责任公司对项目经污水处理站处理后的综合废水进行了检测，</w:t>
            </w:r>
            <w:r>
              <w:rPr>
                <w:rFonts w:hint="eastAsia"/>
                <w:color w:val="000000"/>
                <w:sz w:val="24"/>
                <w:szCs w:val="32"/>
                <w:lang w:eastAsia="zh-CN"/>
              </w:rPr>
              <w:t>监测结果见下表</w:t>
            </w:r>
            <w:r>
              <w:rPr>
                <w:rFonts w:hint="eastAsia"/>
                <w:color w:val="000000"/>
                <w:sz w:val="24"/>
                <w:szCs w:val="32"/>
                <w:lang w:val="en-US" w:eastAsia="zh-CN"/>
              </w:rPr>
              <w:t>2-17</w:t>
            </w:r>
            <w:r>
              <w:rPr>
                <w:rFonts w:hint="eastAsia"/>
                <w:color w:val="000000"/>
                <w:sz w:val="24"/>
                <w:szCs w:val="32"/>
              </w:rPr>
              <w:t>，水污染物各项检测指标均满足《医疗机构水污染物排放标准》（GB18466-2005）表2中预处理标准限值要求。</w:t>
            </w:r>
          </w:p>
          <w:p>
            <w:pPr>
              <w:pStyle w:val="59"/>
              <w:spacing w:line="240" w:lineRule="auto"/>
              <w:ind w:left="0" w:leftChars="0" w:firstLine="0" w:firstLineChars="0"/>
              <w:jc w:val="right"/>
              <w:rPr>
                <w:rFonts w:hint="eastAsia"/>
                <w:b/>
                <w:bCs/>
                <w:sz w:val="21"/>
                <w:szCs w:val="21"/>
                <w:lang w:val="en-US" w:eastAsia="zh-CN"/>
              </w:rPr>
            </w:pPr>
            <w:r>
              <w:rPr>
                <w:rFonts w:hint="eastAsia"/>
                <w:b/>
                <w:bCs/>
                <w:color w:val="000000"/>
                <w:sz w:val="21"/>
                <w:szCs w:val="21"/>
                <w:lang w:eastAsia="zh-CN"/>
              </w:rPr>
              <w:t>表</w:t>
            </w:r>
            <w:r>
              <w:rPr>
                <w:rFonts w:hint="eastAsia"/>
                <w:b/>
                <w:bCs/>
                <w:color w:val="000000"/>
                <w:sz w:val="21"/>
                <w:szCs w:val="21"/>
                <w:lang w:val="en-US" w:eastAsia="zh-CN"/>
              </w:rPr>
              <w:t xml:space="preserve">2-17  项目废水营运期监测结果   </w:t>
            </w:r>
            <w:r>
              <w:rPr>
                <w:rFonts w:hint="eastAsia"/>
                <w:b/>
                <w:bCs/>
                <w:sz w:val="21"/>
                <w:szCs w:val="21"/>
                <w:lang w:val="en-US" w:eastAsia="zh-CN"/>
              </w:rPr>
              <w:t>单位：mg/L（pH无单位）</w:t>
            </w:r>
          </w:p>
          <w:tbl>
            <w:tblPr>
              <w:tblStyle w:val="41"/>
              <w:tblW w:w="809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4"/>
              <w:gridCol w:w="514"/>
              <w:gridCol w:w="1075"/>
              <w:gridCol w:w="911"/>
              <w:gridCol w:w="893"/>
              <w:gridCol w:w="875"/>
              <w:gridCol w:w="893"/>
              <w:gridCol w:w="821"/>
              <w:gridCol w:w="705"/>
              <w:gridCol w:w="70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434" w:type="pct"/>
                  <w:vMerge w:val="restart"/>
                  <w:tcBorders>
                    <w:top w:val="single" w:color="auto" w:sz="12" w:space="0"/>
                  </w:tcBorders>
                  <w:noWrap w:val="0"/>
                  <w:vAlign w:val="center"/>
                </w:tcPr>
                <w:p>
                  <w:pPr>
                    <w:jc w:val="center"/>
                    <w:rPr>
                      <w:b/>
                      <w:bCs/>
                      <w:sz w:val="21"/>
                      <w:szCs w:val="21"/>
                    </w:rPr>
                  </w:pPr>
                  <w:r>
                    <w:rPr>
                      <w:rFonts w:hint="eastAsia"/>
                      <w:b/>
                      <w:bCs/>
                      <w:sz w:val="21"/>
                      <w:szCs w:val="21"/>
                    </w:rPr>
                    <w:t>采样日期</w:t>
                  </w:r>
                </w:p>
              </w:tc>
              <w:tc>
                <w:tcPr>
                  <w:tcW w:w="317" w:type="pct"/>
                  <w:vMerge w:val="restart"/>
                  <w:tcBorders>
                    <w:top w:val="single" w:color="auto" w:sz="12" w:space="0"/>
                  </w:tcBorders>
                  <w:noWrap w:val="0"/>
                  <w:vAlign w:val="center"/>
                </w:tcPr>
                <w:p>
                  <w:pPr>
                    <w:jc w:val="center"/>
                    <w:rPr>
                      <w:b/>
                      <w:bCs/>
                      <w:sz w:val="21"/>
                      <w:szCs w:val="21"/>
                    </w:rPr>
                  </w:pPr>
                  <w:r>
                    <w:rPr>
                      <w:rFonts w:hint="eastAsia"/>
                      <w:b/>
                      <w:bCs/>
                      <w:sz w:val="21"/>
                      <w:szCs w:val="21"/>
                    </w:rPr>
                    <w:t>检测点位</w:t>
                  </w:r>
                </w:p>
              </w:tc>
              <w:tc>
                <w:tcPr>
                  <w:tcW w:w="663" w:type="pct"/>
                  <w:vMerge w:val="restart"/>
                  <w:tcBorders>
                    <w:top w:val="single" w:color="auto" w:sz="12" w:space="0"/>
                  </w:tcBorders>
                  <w:noWrap w:val="0"/>
                  <w:vAlign w:val="center"/>
                </w:tcPr>
                <w:p>
                  <w:pPr>
                    <w:jc w:val="center"/>
                    <w:rPr>
                      <w:b/>
                      <w:bCs/>
                      <w:sz w:val="21"/>
                      <w:szCs w:val="21"/>
                    </w:rPr>
                  </w:pPr>
                  <w:r>
                    <w:rPr>
                      <w:rFonts w:hint="eastAsia"/>
                      <w:b/>
                      <w:bCs/>
                      <w:sz w:val="21"/>
                      <w:szCs w:val="21"/>
                    </w:rPr>
                    <w:t>监测项目</w:t>
                  </w:r>
                </w:p>
              </w:tc>
              <w:tc>
                <w:tcPr>
                  <w:tcW w:w="562" w:type="pct"/>
                  <w:vMerge w:val="restart"/>
                  <w:tcBorders>
                    <w:top w:val="single" w:color="auto" w:sz="12" w:space="0"/>
                  </w:tcBorders>
                  <w:noWrap w:val="0"/>
                  <w:vAlign w:val="center"/>
                </w:tcPr>
                <w:p>
                  <w:pPr>
                    <w:jc w:val="center"/>
                    <w:rPr>
                      <w:b/>
                      <w:bCs/>
                      <w:sz w:val="21"/>
                      <w:szCs w:val="21"/>
                    </w:rPr>
                  </w:pPr>
                  <w:r>
                    <w:rPr>
                      <w:rFonts w:hint="eastAsia"/>
                      <w:b/>
                      <w:bCs/>
                      <w:sz w:val="21"/>
                      <w:szCs w:val="21"/>
                    </w:rPr>
                    <w:t>单位</w:t>
                  </w:r>
                </w:p>
              </w:tc>
              <w:tc>
                <w:tcPr>
                  <w:tcW w:w="2150" w:type="pct"/>
                  <w:gridSpan w:val="4"/>
                  <w:tcBorders>
                    <w:top w:val="single" w:color="auto" w:sz="12" w:space="0"/>
                  </w:tcBorders>
                  <w:noWrap w:val="0"/>
                  <w:vAlign w:val="center"/>
                </w:tcPr>
                <w:p>
                  <w:pPr>
                    <w:jc w:val="center"/>
                    <w:rPr>
                      <w:b/>
                      <w:bCs/>
                      <w:sz w:val="21"/>
                      <w:szCs w:val="21"/>
                    </w:rPr>
                  </w:pPr>
                  <w:r>
                    <w:rPr>
                      <w:rFonts w:hint="eastAsia"/>
                      <w:b/>
                      <w:bCs/>
                      <w:sz w:val="21"/>
                      <w:szCs w:val="21"/>
                    </w:rPr>
                    <w:t>监测结果</w:t>
                  </w:r>
                </w:p>
              </w:tc>
              <w:tc>
                <w:tcPr>
                  <w:tcW w:w="435" w:type="pct"/>
                  <w:vMerge w:val="restart"/>
                  <w:tcBorders>
                    <w:top w:val="single" w:color="auto" w:sz="12" w:space="0"/>
                  </w:tcBorders>
                  <w:noWrap w:val="0"/>
                  <w:vAlign w:val="center"/>
                </w:tcPr>
                <w:p>
                  <w:pPr>
                    <w:jc w:val="center"/>
                    <w:rPr>
                      <w:rFonts w:hint="eastAsia"/>
                      <w:b/>
                      <w:bCs/>
                      <w:sz w:val="21"/>
                      <w:szCs w:val="21"/>
                    </w:rPr>
                  </w:pPr>
                  <w:r>
                    <w:rPr>
                      <w:rFonts w:hint="eastAsia"/>
                      <w:b/>
                      <w:bCs/>
                      <w:sz w:val="21"/>
                      <w:szCs w:val="21"/>
                    </w:rPr>
                    <w:t>标准</w:t>
                  </w:r>
                </w:p>
                <w:p>
                  <w:pPr>
                    <w:jc w:val="center"/>
                    <w:rPr>
                      <w:b/>
                      <w:bCs/>
                      <w:sz w:val="21"/>
                      <w:szCs w:val="21"/>
                    </w:rPr>
                  </w:pPr>
                  <w:r>
                    <w:rPr>
                      <w:rFonts w:hint="eastAsia"/>
                      <w:b/>
                      <w:bCs/>
                      <w:sz w:val="21"/>
                      <w:szCs w:val="21"/>
                    </w:rPr>
                    <w:t>限值</w:t>
                  </w:r>
                </w:p>
              </w:tc>
              <w:tc>
                <w:tcPr>
                  <w:tcW w:w="435" w:type="pct"/>
                  <w:vMerge w:val="restart"/>
                  <w:tcBorders>
                    <w:top w:val="single" w:color="auto" w:sz="12" w:space="0"/>
                  </w:tcBorders>
                  <w:noWrap w:val="0"/>
                  <w:vAlign w:val="center"/>
                </w:tcPr>
                <w:p>
                  <w:pPr>
                    <w:jc w:val="center"/>
                    <w:rPr>
                      <w:b/>
                      <w:bCs/>
                      <w:sz w:val="21"/>
                      <w:szCs w:val="21"/>
                    </w:rPr>
                  </w:pPr>
                  <w:r>
                    <w:rPr>
                      <w:rFonts w:hint="eastAsia"/>
                      <w:b/>
                      <w:bCs/>
                      <w:sz w:val="21"/>
                      <w:szCs w:val="21"/>
                    </w:rPr>
                    <w:t>达标判定</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434" w:type="pct"/>
                  <w:vMerge w:val="continue"/>
                  <w:noWrap w:val="0"/>
                  <w:vAlign w:val="center"/>
                </w:tcPr>
                <w:p>
                  <w:pPr>
                    <w:jc w:val="center"/>
                    <w:rPr>
                      <w:rFonts w:hint="eastAsia"/>
                      <w:sz w:val="21"/>
                      <w:szCs w:val="21"/>
                    </w:rPr>
                  </w:pPr>
                </w:p>
              </w:tc>
              <w:tc>
                <w:tcPr>
                  <w:tcW w:w="317" w:type="pct"/>
                  <w:vMerge w:val="continue"/>
                  <w:noWrap w:val="0"/>
                  <w:vAlign w:val="center"/>
                </w:tcPr>
                <w:p>
                  <w:pPr>
                    <w:jc w:val="center"/>
                    <w:rPr>
                      <w:rFonts w:hint="eastAsia"/>
                      <w:sz w:val="21"/>
                      <w:szCs w:val="21"/>
                    </w:rPr>
                  </w:pPr>
                </w:p>
              </w:tc>
              <w:tc>
                <w:tcPr>
                  <w:tcW w:w="663" w:type="pct"/>
                  <w:vMerge w:val="continue"/>
                  <w:noWrap w:val="0"/>
                  <w:vAlign w:val="center"/>
                </w:tcPr>
                <w:p>
                  <w:pPr>
                    <w:jc w:val="center"/>
                    <w:rPr>
                      <w:rFonts w:hint="eastAsia"/>
                      <w:sz w:val="21"/>
                      <w:szCs w:val="21"/>
                    </w:rPr>
                  </w:pPr>
                </w:p>
              </w:tc>
              <w:tc>
                <w:tcPr>
                  <w:tcW w:w="562" w:type="pct"/>
                  <w:vMerge w:val="continue"/>
                  <w:noWrap w:val="0"/>
                  <w:vAlign w:val="center"/>
                </w:tcPr>
                <w:p>
                  <w:pPr>
                    <w:jc w:val="center"/>
                    <w:rPr>
                      <w:rFonts w:hint="eastAsia"/>
                      <w:sz w:val="21"/>
                      <w:szCs w:val="21"/>
                    </w:rPr>
                  </w:pPr>
                </w:p>
              </w:tc>
              <w:tc>
                <w:tcPr>
                  <w:tcW w:w="551" w:type="pct"/>
                  <w:noWrap w:val="0"/>
                  <w:vAlign w:val="center"/>
                </w:tcPr>
                <w:p>
                  <w:pPr>
                    <w:jc w:val="center"/>
                    <w:rPr>
                      <w:b/>
                      <w:bCs/>
                      <w:sz w:val="21"/>
                      <w:szCs w:val="21"/>
                    </w:rPr>
                  </w:pPr>
                  <w:r>
                    <w:rPr>
                      <w:rFonts w:hint="eastAsia"/>
                      <w:b/>
                      <w:bCs/>
                      <w:sz w:val="21"/>
                      <w:szCs w:val="21"/>
                    </w:rPr>
                    <w:t>第一次</w:t>
                  </w:r>
                </w:p>
              </w:tc>
              <w:tc>
                <w:tcPr>
                  <w:tcW w:w="540" w:type="pct"/>
                  <w:noWrap w:val="0"/>
                  <w:vAlign w:val="center"/>
                </w:tcPr>
                <w:p>
                  <w:pPr>
                    <w:jc w:val="center"/>
                    <w:rPr>
                      <w:b/>
                      <w:bCs/>
                      <w:sz w:val="21"/>
                      <w:szCs w:val="21"/>
                    </w:rPr>
                  </w:pPr>
                  <w:r>
                    <w:rPr>
                      <w:rFonts w:hint="eastAsia"/>
                      <w:b/>
                      <w:bCs/>
                      <w:sz w:val="21"/>
                      <w:szCs w:val="21"/>
                    </w:rPr>
                    <w:t>第二次</w:t>
                  </w:r>
                </w:p>
              </w:tc>
              <w:tc>
                <w:tcPr>
                  <w:tcW w:w="551" w:type="pct"/>
                  <w:noWrap w:val="0"/>
                  <w:vAlign w:val="center"/>
                </w:tcPr>
                <w:p>
                  <w:pPr>
                    <w:jc w:val="center"/>
                    <w:rPr>
                      <w:b/>
                      <w:bCs/>
                      <w:sz w:val="21"/>
                      <w:szCs w:val="21"/>
                    </w:rPr>
                  </w:pPr>
                  <w:r>
                    <w:rPr>
                      <w:rFonts w:hint="eastAsia"/>
                      <w:b/>
                      <w:bCs/>
                      <w:sz w:val="21"/>
                      <w:szCs w:val="21"/>
                    </w:rPr>
                    <w:t>第三次</w:t>
                  </w:r>
                </w:p>
              </w:tc>
              <w:tc>
                <w:tcPr>
                  <w:tcW w:w="506" w:type="pct"/>
                  <w:noWrap w:val="0"/>
                  <w:vAlign w:val="center"/>
                </w:tcPr>
                <w:p>
                  <w:pPr>
                    <w:jc w:val="center"/>
                    <w:rPr>
                      <w:b/>
                      <w:bCs/>
                      <w:sz w:val="21"/>
                      <w:szCs w:val="21"/>
                    </w:rPr>
                  </w:pPr>
                  <w:r>
                    <w:rPr>
                      <w:rFonts w:hint="eastAsia"/>
                      <w:b/>
                      <w:bCs/>
                      <w:sz w:val="21"/>
                      <w:szCs w:val="21"/>
                    </w:rPr>
                    <w:t>平均值</w:t>
                  </w:r>
                </w:p>
              </w:tc>
              <w:tc>
                <w:tcPr>
                  <w:tcW w:w="435" w:type="pct"/>
                  <w:vMerge w:val="continue"/>
                  <w:noWrap w:val="0"/>
                  <w:vAlign w:val="center"/>
                </w:tcPr>
                <w:p>
                  <w:pPr>
                    <w:jc w:val="center"/>
                    <w:rPr>
                      <w:sz w:val="21"/>
                      <w:szCs w:val="21"/>
                    </w:rPr>
                  </w:pPr>
                </w:p>
              </w:tc>
              <w:tc>
                <w:tcPr>
                  <w:tcW w:w="435" w:type="pct"/>
                  <w:vMerge w:val="continue"/>
                  <w:noWrap w:val="0"/>
                  <w:vAlign w:val="center"/>
                </w:tcPr>
                <w:p>
                  <w:pPr>
                    <w:jc w:val="center"/>
                    <w:rPr>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434" w:type="pct"/>
                  <w:vMerge w:val="restart"/>
                  <w:noWrap w:val="0"/>
                  <w:vAlign w:val="center"/>
                </w:tcPr>
                <w:p>
                  <w:pPr>
                    <w:jc w:val="center"/>
                    <w:rPr>
                      <w:sz w:val="21"/>
                      <w:szCs w:val="21"/>
                    </w:rPr>
                  </w:pPr>
                  <w:r>
                    <w:rPr>
                      <w:rFonts w:hint="eastAsia"/>
                      <w:sz w:val="21"/>
                      <w:szCs w:val="21"/>
                    </w:rPr>
                    <w:t>2022.06.28</w:t>
                  </w:r>
                </w:p>
              </w:tc>
              <w:tc>
                <w:tcPr>
                  <w:tcW w:w="317" w:type="pct"/>
                  <w:vMerge w:val="restart"/>
                  <w:noWrap w:val="0"/>
                  <w:vAlign w:val="center"/>
                </w:tcPr>
                <w:p>
                  <w:pPr>
                    <w:jc w:val="center"/>
                    <w:rPr>
                      <w:sz w:val="21"/>
                      <w:szCs w:val="21"/>
                    </w:rPr>
                  </w:pPr>
                  <w:r>
                    <w:rPr>
                      <w:rFonts w:hint="eastAsia"/>
                      <w:sz w:val="21"/>
                      <w:szCs w:val="21"/>
                    </w:rPr>
                    <w:t>污水处理器排放口</w:t>
                  </w:r>
                </w:p>
              </w:tc>
              <w:tc>
                <w:tcPr>
                  <w:tcW w:w="663" w:type="pct"/>
                  <w:noWrap w:val="0"/>
                  <w:vAlign w:val="center"/>
                </w:tcPr>
                <w:p>
                  <w:pPr>
                    <w:jc w:val="center"/>
                    <w:rPr>
                      <w:sz w:val="21"/>
                      <w:szCs w:val="21"/>
                    </w:rPr>
                  </w:pPr>
                  <w:r>
                    <w:rPr>
                      <w:rFonts w:hint="eastAsia"/>
                      <w:sz w:val="21"/>
                      <w:szCs w:val="21"/>
                    </w:rPr>
                    <w:t>PH</w:t>
                  </w:r>
                </w:p>
              </w:tc>
              <w:tc>
                <w:tcPr>
                  <w:tcW w:w="562" w:type="pct"/>
                  <w:noWrap w:val="0"/>
                  <w:vAlign w:val="center"/>
                </w:tcPr>
                <w:p>
                  <w:pPr>
                    <w:jc w:val="center"/>
                    <w:rPr>
                      <w:sz w:val="21"/>
                      <w:szCs w:val="21"/>
                    </w:rPr>
                  </w:pPr>
                  <w:r>
                    <w:rPr>
                      <w:rFonts w:hint="eastAsia"/>
                      <w:sz w:val="21"/>
                      <w:szCs w:val="21"/>
                    </w:rPr>
                    <w:t>/</w:t>
                  </w:r>
                </w:p>
              </w:tc>
              <w:tc>
                <w:tcPr>
                  <w:tcW w:w="551" w:type="pct"/>
                  <w:noWrap w:val="0"/>
                  <w:vAlign w:val="center"/>
                </w:tcPr>
                <w:p>
                  <w:pPr>
                    <w:jc w:val="center"/>
                    <w:rPr>
                      <w:sz w:val="21"/>
                      <w:szCs w:val="21"/>
                    </w:rPr>
                  </w:pPr>
                  <w:r>
                    <w:rPr>
                      <w:rFonts w:hint="eastAsia"/>
                      <w:sz w:val="21"/>
                      <w:szCs w:val="21"/>
                    </w:rPr>
                    <w:t>7.0</w:t>
                  </w:r>
                </w:p>
              </w:tc>
              <w:tc>
                <w:tcPr>
                  <w:tcW w:w="540" w:type="pct"/>
                  <w:noWrap w:val="0"/>
                  <w:vAlign w:val="center"/>
                </w:tcPr>
                <w:p>
                  <w:pPr>
                    <w:jc w:val="center"/>
                    <w:rPr>
                      <w:sz w:val="21"/>
                      <w:szCs w:val="21"/>
                    </w:rPr>
                  </w:pPr>
                  <w:r>
                    <w:rPr>
                      <w:rFonts w:hint="eastAsia"/>
                      <w:sz w:val="21"/>
                      <w:szCs w:val="21"/>
                    </w:rPr>
                    <w:t>7.2</w:t>
                  </w:r>
                </w:p>
              </w:tc>
              <w:tc>
                <w:tcPr>
                  <w:tcW w:w="551" w:type="pct"/>
                  <w:noWrap w:val="0"/>
                  <w:vAlign w:val="center"/>
                </w:tcPr>
                <w:p>
                  <w:pPr>
                    <w:jc w:val="center"/>
                    <w:rPr>
                      <w:sz w:val="21"/>
                      <w:szCs w:val="21"/>
                    </w:rPr>
                  </w:pPr>
                  <w:r>
                    <w:rPr>
                      <w:rFonts w:hint="eastAsia"/>
                      <w:sz w:val="21"/>
                      <w:szCs w:val="21"/>
                    </w:rPr>
                    <w:t>6.9</w:t>
                  </w:r>
                </w:p>
              </w:tc>
              <w:tc>
                <w:tcPr>
                  <w:tcW w:w="506" w:type="pct"/>
                  <w:noWrap w:val="0"/>
                  <w:vAlign w:val="center"/>
                </w:tcPr>
                <w:p>
                  <w:pPr>
                    <w:jc w:val="center"/>
                    <w:rPr>
                      <w:sz w:val="21"/>
                      <w:szCs w:val="21"/>
                    </w:rPr>
                  </w:pPr>
                  <w:r>
                    <w:rPr>
                      <w:rFonts w:hint="eastAsia"/>
                      <w:sz w:val="21"/>
                      <w:szCs w:val="21"/>
                    </w:rPr>
                    <w:t>7.0</w:t>
                  </w:r>
                </w:p>
              </w:tc>
              <w:tc>
                <w:tcPr>
                  <w:tcW w:w="435" w:type="pct"/>
                  <w:noWrap w:val="0"/>
                  <w:vAlign w:val="center"/>
                </w:tcPr>
                <w:p>
                  <w:pPr>
                    <w:jc w:val="center"/>
                    <w:rPr>
                      <w:sz w:val="21"/>
                      <w:szCs w:val="21"/>
                    </w:rPr>
                  </w:pPr>
                  <w:r>
                    <w:rPr>
                      <w:rFonts w:hint="eastAsia"/>
                      <w:sz w:val="21"/>
                      <w:szCs w:val="21"/>
                    </w:rPr>
                    <w:t>6～9</w:t>
                  </w:r>
                </w:p>
              </w:tc>
              <w:tc>
                <w:tcPr>
                  <w:tcW w:w="435" w:type="pct"/>
                  <w:noWrap w:val="0"/>
                  <w:vAlign w:val="center"/>
                </w:tcPr>
                <w:p>
                  <w:pPr>
                    <w:jc w:val="center"/>
                    <w:rPr>
                      <w:sz w:val="21"/>
                      <w:szCs w:val="21"/>
                    </w:rPr>
                  </w:pPr>
                  <w:r>
                    <w:rPr>
                      <w:rFonts w:hint="eastAsia"/>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434" w:type="pct"/>
                  <w:vMerge w:val="continue"/>
                  <w:noWrap w:val="0"/>
                  <w:vAlign w:val="center"/>
                </w:tcPr>
                <w:p>
                  <w:pPr>
                    <w:jc w:val="center"/>
                    <w:rPr>
                      <w:sz w:val="21"/>
                      <w:szCs w:val="21"/>
                    </w:rPr>
                  </w:pPr>
                </w:p>
              </w:tc>
              <w:tc>
                <w:tcPr>
                  <w:tcW w:w="317" w:type="pct"/>
                  <w:vMerge w:val="continue"/>
                  <w:noWrap w:val="0"/>
                  <w:vAlign w:val="center"/>
                </w:tcPr>
                <w:p>
                  <w:pPr>
                    <w:jc w:val="center"/>
                    <w:rPr>
                      <w:sz w:val="21"/>
                      <w:szCs w:val="21"/>
                    </w:rPr>
                  </w:pPr>
                </w:p>
              </w:tc>
              <w:tc>
                <w:tcPr>
                  <w:tcW w:w="663" w:type="pct"/>
                  <w:noWrap w:val="0"/>
                  <w:vAlign w:val="center"/>
                </w:tcPr>
                <w:p>
                  <w:pPr>
                    <w:jc w:val="center"/>
                    <w:rPr>
                      <w:sz w:val="21"/>
                      <w:szCs w:val="21"/>
                    </w:rPr>
                  </w:pPr>
                  <w:r>
                    <w:rPr>
                      <w:rFonts w:hint="eastAsia"/>
                      <w:sz w:val="21"/>
                      <w:szCs w:val="21"/>
                    </w:rPr>
                    <w:t>色度</w:t>
                  </w:r>
                </w:p>
              </w:tc>
              <w:tc>
                <w:tcPr>
                  <w:tcW w:w="562" w:type="pct"/>
                  <w:noWrap w:val="0"/>
                  <w:vAlign w:val="center"/>
                </w:tcPr>
                <w:p>
                  <w:pPr>
                    <w:jc w:val="center"/>
                    <w:rPr>
                      <w:sz w:val="21"/>
                      <w:szCs w:val="21"/>
                    </w:rPr>
                  </w:pPr>
                  <w:r>
                    <w:rPr>
                      <w:rFonts w:hint="eastAsia"/>
                      <w:sz w:val="21"/>
                      <w:szCs w:val="21"/>
                    </w:rPr>
                    <w:t>/</w:t>
                  </w:r>
                </w:p>
              </w:tc>
              <w:tc>
                <w:tcPr>
                  <w:tcW w:w="551" w:type="pct"/>
                  <w:noWrap w:val="0"/>
                  <w:vAlign w:val="center"/>
                </w:tcPr>
                <w:p>
                  <w:pPr>
                    <w:jc w:val="center"/>
                    <w:rPr>
                      <w:sz w:val="21"/>
                      <w:szCs w:val="21"/>
                    </w:rPr>
                  </w:pPr>
                  <w:r>
                    <w:rPr>
                      <w:rFonts w:hint="eastAsia"/>
                      <w:sz w:val="21"/>
                      <w:szCs w:val="21"/>
                    </w:rPr>
                    <w:t>15</w:t>
                  </w:r>
                </w:p>
              </w:tc>
              <w:tc>
                <w:tcPr>
                  <w:tcW w:w="540" w:type="pct"/>
                  <w:noWrap w:val="0"/>
                  <w:vAlign w:val="center"/>
                </w:tcPr>
                <w:p>
                  <w:pPr>
                    <w:jc w:val="center"/>
                    <w:rPr>
                      <w:sz w:val="21"/>
                      <w:szCs w:val="21"/>
                    </w:rPr>
                  </w:pPr>
                  <w:r>
                    <w:rPr>
                      <w:rFonts w:hint="eastAsia"/>
                      <w:sz w:val="21"/>
                      <w:szCs w:val="21"/>
                    </w:rPr>
                    <w:t>15</w:t>
                  </w:r>
                </w:p>
              </w:tc>
              <w:tc>
                <w:tcPr>
                  <w:tcW w:w="551" w:type="pct"/>
                  <w:noWrap w:val="0"/>
                  <w:vAlign w:val="center"/>
                </w:tcPr>
                <w:p>
                  <w:pPr>
                    <w:jc w:val="center"/>
                    <w:rPr>
                      <w:sz w:val="21"/>
                      <w:szCs w:val="21"/>
                    </w:rPr>
                  </w:pPr>
                  <w:r>
                    <w:rPr>
                      <w:rFonts w:hint="eastAsia"/>
                      <w:sz w:val="21"/>
                      <w:szCs w:val="21"/>
                    </w:rPr>
                    <w:t>15</w:t>
                  </w:r>
                </w:p>
              </w:tc>
              <w:tc>
                <w:tcPr>
                  <w:tcW w:w="506" w:type="pct"/>
                  <w:noWrap w:val="0"/>
                  <w:vAlign w:val="center"/>
                </w:tcPr>
                <w:p>
                  <w:pPr>
                    <w:jc w:val="center"/>
                    <w:rPr>
                      <w:sz w:val="21"/>
                      <w:szCs w:val="21"/>
                    </w:rPr>
                  </w:pPr>
                  <w:r>
                    <w:rPr>
                      <w:rFonts w:hint="eastAsia"/>
                      <w:sz w:val="21"/>
                      <w:szCs w:val="21"/>
                    </w:rPr>
                    <w:t>15</w:t>
                  </w:r>
                </w:p>
              </w:tc>
              <w:tc>
                <w:tcPr>
                  <w:tcW w:w="435" w:type="pct"/>
                  <w:noWrap w:val="0"/>
                  <w:vAlign w:val="center"/>
                </w:tcPr>
                <w:p>
                  <w:pPr>
                    <w:jc w:val="center"/>
                    <w:rPr>
                      <w:sz w:val="21"/>
                      <w:szCs w:val="21"/>
                    </w:rPr>
                  </w:pPr>
                  <w:r>
                    <w:rPr>
                      <w:rFonts w:hint="eastAsia"/>
                      <w:sz w:val="21"/>
                      <w:szCs w:val="21"/>
                    </w:rPr>
                    <w:t>-</w:t>
                  </w:r>
                </w:p>
              </w:tc>
              <w:tc>
                <w:tcPr>
                  <w:tcW w:w="435" w:type="pct"/>
                  <w:noWrap w:val="0"/>
                  <w:vAlign w:val="center"/>
                </w:tcPr>
                <w:p>
                  <w:pPr>
                    <w:jc w:val="center"/>
                    <w:rPr>
                      <w:sz w:val="21"/>
                      <w:szCs w:val="21"/>
                    </w:rPr>
                  </w:pPr>
                  <w:r>
                    <w:rPr>
                      <w:rFonts w:hint="eastAsia"/>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434" w:type="pct"/>
                  <w:vMerge w:val="continue"/>
                  <w:noWrap w:val="0"/>
                  <w:vAlign w:val="center"/>
                </w:tcPr>
                <w:p>
                  <w:pPr>
                    <w:jc w:val="center"/>
                    <w:rPr>
                      <w:sz w:val="21"/>
                      <w:szCs w:val="21"/>
                    </w:rPr>
                  </w:pPr>
                </w:p>
              </w:tc>
              <w:tc>
                <w:tcPr>
                  <w:tcW w:w="317" w:type="pct"/>
                  <w:vMerge w:val="continue"/>
                  <w:noWrap w:val="0"/>
                  <w:vAlign w:val="center"/>
                </w:tcPr>
                <w:p>
                  <w:pPr>
                    <w:jc w:val="center"/>
                    <w:rPr>
                      <w:sz w:val="21"/>
                      <w:szCs w:val="21"/>
                    </w:rPr>
                  </w:pPr>
                </w:p>
              </w:tc>
              <w:tc>
                <w:tcPr>
                  <w:tcW w:w="663" w:type="pct"/>
                  <w:noWrap w:val="0"/>
                  <w:vAlign w:val="center"/>
                </w:tcPr>
                <w:p>
                  <w:pPr>
                    <w:jc w:val="center"/>
                    <w:rPr>
                      <w:sz w:val="21"/>
                      <w:szCs w:val="21"/>
                    </w:rPr>
                  </w:pPr>
                  <w:r>
                    <w:rPr>
                      <w:rFonts w:hint="eastAsia"/>
                      <w:sz w:val="21"/>
                      <w:szCs w:val="21"/>
                    </w:rPr>
                    <w:t>化学需氧量</w:t>
                  </w:r>
                </w:p>
              </w:tc>
              <w:tc>
                <w:tcPr>
                  <w:tcW w:w="562" w:type="pct"/>
                  <w:noWrap w:val="0"/>
                  <w:vAlign w:val="center"/>
                </w:tcPr>
                <w:p>
                  <w:pPr>
                    <w:jc w:val="center"/>
                    <w:rPr>
                      <w:sz w:val="21"/>
                      <w:szCs w:val="21"/>
                    </w:rPr>
                  </w:pPr>
                  <w:r>
                    <w:rPr>
                      <w:rFonts w:hint="eastAsia"/>
                      <w:sz w:val="21"/>
                      <w:szCs w:val="21"/>
                    </w:rPr>
                    <w:t>mg/L</w:t>
                  </w:r>
                </w:p>
              </w:tc>
              <w:tc>
                <w:tcPr>
                  <w:tcW w:w="551" w:type="pct"/>
                  <w:noWrap w:val="0"/>
                  <w:vAlign w:val="center"/>
                </w:tcPr>
                <w:p>
                  <w:pPr>
                    <w:jc w:val="center"/>
                    <w:rPr>
                      <w:sz w:val="21"/>
                      <w:szCs w:val="21"/>
                    </w:rPr>
                  </w:pPr>
                  <w:r>
                    <w:rPr>
                      <w:rFonts w:hint="eastAsia"/>
                      <w:sz w:val="21"/>
                      <w:szCs w:val="21"/>
                    </w:rPr>
                    <w:t>41</w:t>
                  </w:r>
                </w:p>
              </w:tc>
              <w:tc>
                <w:tcPr>
                  <w:tcW w:w="540" w:type="pct"/>
                  <w:noWrap w:val="0"/>
                  <w:vAlign w:val="center"/>
                </w:tcPr>
                <w:p>
                  <w:pPr>
                    <w:jc w:val="center"/>
                    <w:rPr>
                      <w:sz w:val="21"/>
                      <w:szCs w:val="21"/>
                    </w:rPr>
                  </w:pPr>
                  <w:r>
                    <w:rPr>
                      <w:rFonts w:hint="eastAsia"/>
                      <w:sz w:val="21"/>
                      <w:szCs w:val="21"/>
                    </w:rPr>
                    <w:t>34</w:t>
                  </w:r>
                </w:p>
              </w:tc>
              <w:tc>
                <w:tcPr>
                  <w:tcW w:w="551" w:type="pct"/>
                  <w:noWrap w:val="0"/>
                  <w:vAlign w:val="center"/>
                </w:tcPr>
                <w:p>
                  <w:pPr>
                    <w:jc w:val="center"/>
                    <w:rPr>
                      <w:sz w:val="21"/>
                      <w:szCs w:val="21"/>
                    </w:rPr>
                  </w:pPr>
                  <w:r>
                    <w:rPr>
                      <w:rFonts w:hint="eastAsia"/>
                      <w:sz w:val="21"/>
                      <w:szCs w:val="21"/>
                    </w:rPr>
                    <w:t>42</w:t>
                  </w:r>
                </w:p>
              </w:tc>
              <w:tc>
                <w:tcPr>
                  <w:tcW w:w="506" w:type="pct"/>
                  <w:noWrap w:val="0"/>
                  <w:vAlign w:val="center"/>
                </w:tcPr>
                <w:p>
                  <w:pPr>
                    <w:jc w:val="center"/>
                    <w:rPr>
                      <w:sz w:val="21"/>
                      <w:szCs w:val="21"/>
                    </w:rPr>
                  </w:pPr>
                  <w:r>
                    <w:rPr>
                      <w:rFonts w:hint="eastAsia"/>
                      <w:sz w:val="21"/>
                      <w:szCs w:val="21"/>
                    </w:rPr>
                    <w:t>39</w:t>
                  </w:r>
                </w:p>
              </w:tc>
              <w:tc>
                <w:tcPr>
                  <w:tcW w:w="435" w:type="pct"/>
                  <w:noWrap w:val="0"/>
                  <w:vAlign w:val="center"/>
                </w:tcPr>
                <w:p>
                  <w:pPr>
                    <w:jc w:val="center"/>
                    <w:rPr>
                      <w:sz w:val="21"/>
                      <w:szCs w:val="21"/>
                    </w:rPr>
                  </w:pPr>
                  <w:r>
                    <w:rPr>
                      <w:rFonts w:hint="eastAsia"/>
                      <w:sz w:val="21"/>
                      <w:szCs w:val="21"/>
                    </w:rPr>
                    <w:t>250</w:t>
                  </w:r>
                </w:p>
              </w:tc>
              <w:tc>
                <w:tcPr>
                  <w:tcW w:w="435" w:type="pct"/>
                  <w:noWrap w:val="0"/>
                  <w:vAlign w:val="center"/>
                </w:tcPr>
                <w:p>
                  <w:pPr>
                    <w:jc w:val="center"/>
                    <w:rPr>
                      <w:sz w:val="21"/>
                      <w:szCs w:val="21"/>
                    </w:rPr>
                  </w:pPr>
                  <w:r>
                    <w:rPr>
                      <w:rFonts w:hint="eastAsia"/>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434" w:type="pct"/>
                  <w:vMerge w:val="continue"/>
                  <w:noWrap w:val="0"/>
                  <w:vAlign w:val="center"/>
                </w:tcPr>
                <w:p>
                  <w:pPr>
                    <w:jc w:val="center"/>
                    <w:rPr>
                      <w:sz w:val="21"/>
                      <w:szCs w:val="21"/>
                    </w:rPr>
                  </w:pPr>
                </w:p>
              </w:tc>
              <w:tc>
                <w:tcPr>
                  <w:tcW w:w="317" w:type="pct"/>
                  <w:vMerge w:val="continue"/>
                  <w:noWrap w:val="0"/>
                  <w:vAlign w:val="center"/>
                </w:tcPr>
                <w:p>
                  <w:pPr>
                    <w:jc w:val="center"/>
                    <w:rPr>
                      <w:sz w:val="21"/>
                      <w:szCs w:val="21"/>
                    </w:rPr>
                  </w:pPr>
                </w:p>
              </w:tc>
              <w:tc>
                <w:tcPr>
                  <w:tcW w:w="663" w:type="pct"/>
                  <w:noWrap w:val="0"/>
                  <w:vAlign w:val="center"/>
                </w:tcPr>
                <w:p>
                  <w:pPr>
                    <w:jc w:val="center"/>
                    <w:rPr>
                      <w:sz w:val="21"/>
                      <w:szCs w:val="21"/>
                    </w:rPr>
                  </w:pPr>
                  <w:r>
                    <w:rPr>
                      <w:rFonts w:hint="eastAsia"/>
                      <w:sz w:val="21"/>
                      <w:szCs w:val="21"/>
                    </w:rPr>
                    <w:t>五日生化需氧量</w:t>
                  </w:r>
                </w:p>
              </w:tc>
              <w:tc>
                <w:tcPr>
                  <w:tcW w:w="562" w:type="pct"/>
                  <w:noWrap w:val="0"/>
                  <w:vAlign w:val="center"/>
                </w:tcPr>
                <w:p>
                  <w:pPr>
                    <w:jc w:val="center"/>
                    <w:rPr>
                      <w:sz w:val="21"/>
                      <w:szCs w:val="21"/>
                    </w:rPr>
                  </w:pPr>
                  <w:r>
                    <w:rPr>
                      <w:rFonts w:hint="eastAsia"/>
                      <w:sz w:val="21"/>
                      <w:szCs w:val="21"/>
                    </w:rPr>
                    <w:t>mg/L</w:t>
                  </w:r>
                </w:p>
              </w:tc>
              <w:tc>
                <w:tcPr>
                  <w:tcW w:w="551" w:type="pct"/>
                  <w:noWrap w:val="0"/>
                  <w:vAlign w:val="center"/>
                </w:tcPr>
                <w:p>
                  <w:pPr>
                    <w:jc w:val="center"/>
                    <w:rPr>
                      <w:sz w:val="21"/>
                      <w:szCs w:val="21"/>
                    </w:rPr>
                  </w:pPr>
                  <w:r>
                    <w:rPr>
                      <w:rFonts w:hint="eastAsia"/>
                      <w:sz w:val="21"/>
                      <w:szCs w:val="21"/>
                    </w:rPr>
                    <w:t>17</w:t>
                  </w:r>
                </w:p>
              </w:tc>
              <w:tc>
                <w:tcPr>
                  <w:tcW w:w="540" w:type="pct"/>
                  <w:noWrap w:val="0"/>
                  <w:vAlign w:val="center"/>
                </w:tcPr>
                <w:p>
                  <w:pPr>
                    <w:jc w:val="center"/>
                    <w:rPr>
                      <w:sz w:val="21"/>
                      <w:szCs w:val="21"/>
                    </w:rPr>
                  </w:pPr>
                  <w:r>
                    <w:rPr>
                      <w:rFonts w:hint="eastAsia"/>
                      <w:sz w:val="21"/>
                      <w:szCs w:val="21"/>
                    </w:rPr>
                    <w:t>20</w:t>
                  </w:r>
                </w:p>
              </w:tc>
              <w:tc>
                <w:tcPr>
                  <w:tcW w:w="551" w:type="pct"/>
                  <w:noWrap w:val="0"/>
                  <w:vAlign w:val="center"/>
                </w:tcPr>
                <w:p>
                  <w:pPr>
                    <w:jc w:val="center"/>
                    <w:rPr>
                      <w:sz w:val="21"/>
                      <w:szCs w:val="21"/>
                    </w:rPr>
                  </w:pPr>
                  <w:r>
                    <w:rPr>
                      <w:rFonts w:hint="eastAsia"/>
                      <w:sz w:val="21"/>
                      <w:szCs w:val="21"/>
                    </w:rPr>
                    <w:t>19</w:t>
                  </w:r>
                </w:p>
              </w:tc>
              <w:tc>
                <w:tcPr>
                  <w:tcW w:w="506" w:type="pct"/>
                  <w:noWrap w:val="0"/>
                  <w:vAlign w:val="center"/>
                </w:tcPr>
                <w:p>
                  <w:pPr>
                    <w:jc w:val="center"/>
                    <w:rPr>
                      <w:sz w:val="21"/>
                      <w:szCs w:val="21"/>
                    </w:rPr>
                  </w:pPr>
                  <w:r>
                    <w:rPr>
                      <w:rFonts w:hint="eastAsia"/>
                      <w:sz w:val="21"/>
                      <w:szCs w:val="21"/>
                    </w:rPr>
                    <w:t>19</w:t>
                  </w:r>
                </w:p>
              </w:tc>
              <w:tc>
                <w:tcPr>
                  <w:tcW w:w="435" w:type="pct"/>
                  <w:noWrap w:val="0"/>
                  <w:vAlign w:val="center"/>
                </w:tcPr>
                <w:p>
                  <w:pPr>
                    <w:jc w:val="center"/>
                    <w:rPr>
                      <w:sz w:val="21"/>
                      <w:szCs w:val="21"/>
                    </w:rPr>
                  </w:pPr>
                  <w:r>
                    <w:rPr>
                      <w:rFonts w:hint="eastAsia"/>
                      <w:sz w:val="21"/>
                      <w:szCs w:val="21"/>
                    </w:rPr>
                    <w:t>100</w:t>
                  </w:r>
                </w:p>
              </w:tc>
              <w:tc>
                <w:tcPr>
                  <w:tcW w:w="435" w:type="pct"/>
                  <w:noWrap w:val="0"/>
                  <w:vAlign w:val="center"/>
                </w:tcPr>
                <w:p>
                  <w:pPr>
                    <w:jc w:val="center"/>
                    <w:rPr>
                      <w:sz w:val="21"/>
                      <w:szCs w:val="21"/>
                    </w:rPr>
                  </w:pPr>
                  <w:r>
                    <w:rPr>
                      <w:rFonts w:hint="eastAsia"/>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434" w:type="pct"/>
                  <w:vMerge w:val="continue"/>
                  <w:noWrap w:val="0"/>
                  <w:vAlign w:val="center"/>
                </w:tcPr>
                <w:p>
                  <w:pPr>
                    <w:jc w:val="center"/>
                    <w:rPr>
                      <w:sz w:val="21"/>
                      <w:szCs w:val="21"/>
                    </w:rPr>
                  </w:pPr>
                </w:p>
              </w:tc>
              <w:tc>
                <w:tcPr>
                  <w:tcW w:w="317" w:type="pct"/>
                  <w:vMerge w:val="continue"/>
                  <w:noWrap w:val="0"/>
                  <w:vAlign w:val="center"/>
                </w:tcPr>
                <w:p>
                  <w:pPr>
                    <w:jc w:val="center"/>
                    <w:rPr>
                      <w:sz w:val="21"/>
                      <w:szCs w:val="21"/>
                    </w:rPr>
                  </w:pPr>
                </w:p>
              </w:tc>
              <w:tc>
                <w:tcPr>
                  <w:tcW w:w="663" w:type="pct"/>
                  <w:noWrap w:val="0"/>
                  <w:vAlign w:val="center"/>
                </w:tcPr>
                <w:p>
                  <w:pPr>
                    <w:jc w:val="center"/>
                    <w:rPr>
                      <w:sz w:val="21"/>
                      <w:szCs w:val="21"/>
                    </w:rPr>
                  </w:pPr>
                  <w:r>
                    <w:rPr>
                      <w:rFonts w:hint="eastAsia"/>
                      <w:sz w:val="21"/>
                      <w:szCs w:val="21"/>
                    </w:rPr>
                    <w:t>悬浮物</w:t>
                  </w:r>
                </w:p>
              </w:tc>
              <w:tc>
                <w:tcPr>
                  <w:tcW w:w="562" w:type="pct"/>
                  <w:noWrap w:val="0"/>
                  <w:vAlign w:val="center"/>
                </w:tcPr>
                <w:p>
                  <w:pPr>
                    <w:jc w:val="center"/>
                    <w:rPr>
                      <w:sz w:val="21"/>
                      <w:szCs w:val="21"/>
                    </w:rPr>
                  </w:pPr>
                  <w:r>
                    <w:rPr>
                      <w:rFonts w:hint="eastAsia"/>
                      <w:sz w:val="21"/>
                      <w:szCs w:val="21"/>
                    </w:rPr>
                    <w:t>mg/L</w:t>
                  </w:r>
                </w:p>
              </w:tc>
              <w:tc>
                <w:tcPr>
                  <w:tcW w:w="551" w:type="pct"/>
                  <w:noWrap w:val="0"/>
                  <w:vAlign w:val="center"/>
                </w:tcPr>
                <w:p>
                  <w:pPr>
                    <w:jc w:val="center"/>
                    <w:rPr>
                      <w:sz w:val="21"/>
                      <w:szCs w:val="21"/>
                    </w:rPr>
                  </w:pPr>
                  <w:r>
                    <w:rPr>
                      <w:rFonts w:hint="eastAsia"/>
                      <w:sz w:val="21"/>
                      <w:szCs w:val="21"/>
                    </w:rPr>
                    <w:t>13</w:t>
                  </w:r>
                </w:p>
              </w:tc>
              <w:tc>
                <w:tcPr>
                  <w:tcW w:w="540" w:type="pct"/>
                  <w:noWrap w:val="0"/>
                  <w:vAlign w:val="center"/>
                </w:tcPr>
                <w:p>
                  <w:pPr>
                    <w:jc w:val="center"/>
                    <w:rPr>
                      <w:sz w:val="21"/>
                      <w:szCs w:val="21"/>
                    </w:rPr>
                  </w:pPr>
                  <w:r>
                    <w:rPr>
                      <w:rFonts w:hint="eastAsia"/>
                      <w:sz w:val="21"/>
                      <w:szCs w:val="21"/>
                    </w:rPr>
                    <w:t>16</w:t>
                  </w:r>
                </w:p>
              </w:tc>
              <w:tc>
                <w:tcPr>
                  <w:tcW w:w="551" w:type="pct"/>
                  <w:noWrap w:val="0"/>
                  <w:vAlign w:val="center"/>
                </w:tcPr>
                <w:p>
                  <w:pPr>
                    <w:jc w:val="center"/>
                    <w:rPr>
                      <w:sz w:val="21"/>
                      <w:szCs w:val="21"/>
                    </w:rPr>
                  </w:pPr>
                  <w:r>
                    <w:rPr>
                      <w:rFonts w:hint="eastAsia"/>
                      <w:sz w:val="21"/>
                      <w:szCs w:val="21"/>
                    </w:rPr>
                    <w:t>12</w:t>
                  </w:r>
                </w:p>
              </w:tc>
              <w:tc>
                <w:tcPr>
                  <w:tcW w:w="506" w:type="pct"/>
                  <w:noWrap w:val="0"/>
                  <w:vAlign w:val="center"/>
                </w:tcPr>
                <w:p>
                  <w:pPr>
                    <w:jc w:val="center"/>
                    <w:rPr>
                      <w:sz w:val="21"/>
                      <w:szCs w:val="21"/>
                    </w:rPr>
                  </w:pPr>
                  <w:r>
                    <w:rPr>
                      <w:rFonts w:hint="eastAsia"/>
                      <w:sz w:val="21"/>
                      <w:szCs w:val="21"/>
                    </w:rPr>
                    <w:t>14</w:t>
                  </w:r>
                </w:p>
              </w:tc>
              <w:tc>
                <w:tcPr>
                  <w:tcW w:w="435" w:type="pct"/>
                  <w:noWrap w:val="0"/>
                  <w:vAlign w:val="center"/>
                </w:tcPr>
                <w:p>
                  <w:pPr>
                    <w:jc w:val="center"/>
                    <w:rPr>
                      <w:sz w:val="21"/>
                      <w:szCs w:val="21"/>
                    </w:rPr>
                  </w:pPr>
                  <w:r>
                    <w:rPr>
                      <w:rFonts w:hint="eastAsia"/>
                      <w:sz w:val="21"/>
                      <w:szCs w:val="21"/>
                    </w:rPr>
                    <w:t>60</w:t>
                  </w:r>
                </w:p>
              </w:tc>
              <w:tc>
                <w:tcPr>
                  <w:tcW w:w="435" w:type="pct"/>
                  <w:noWrap w:val="0"/>
                  <w:vAlign w:val="center"/>
                </w:tcPr>
                <w:p>
                  <w:pPr>
                    <w:jc w:val="center"/>
                    <w:rPr>
                      <w:sz w:val="21"/>
                      <w:szCs w:val="21"/>
                    </w:rPr>
                  </w:pPr>
                  <w:r>
                    <w:rPr>
                      <w:rFonts w:hint="eastAsia"/>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434" w:type="pct"/>
                  <w:vMerge w:val="continue"/>
                  <w:noWrap w:val="0"/>
                  <w:vAlign w:val="center"/>
                </w:tcPr>
                <w:p>
                  <w:pPr>
                    <w:jc w:val="center"/>
                    <w:rPr>
                      <w:sz w:val="21"/>
                      <w:szCs w:val="21"/>
                    </w:rPr>
                  </w:pPr>
                </w:p>
              </w:tc>
              <w:tc>
                <w:tcPr>
                  <w:tcW w:w="317" w:type="pct"/>
                  <w:vMerge w:val="continue"/>
                  <w:noWrap w:val="0"/>
                  <w:vAlign w:val="center"/>
                </w:tcPr>
                <w:p>
                  <w:pPr>
                    <w:jc w:val="center"/>
                    <w:rPr>
                      <w:sz w:val="21"/>
                      <w:szCs w:val="21"/>
                    </w:rPr>
                  </w:pPr>
                </w:p>
              </w:tc>
              <w:tc>
                <w:tcPr>
                  <w:tcW w:w="663" w:type="pct"/>
                  <w:noWrap w:val="0"/>
                  <w:vAlign w:val="center"/>
                </w:tcPr>
                <w:p>
                  <w:pPr>
                    <w:jc w:val="center"/>
                    <w:rPr>
                      <w:sz w:val="21"/>
                      <w:szCs w:val="21"/>
                    </w:rPr>
                  </w:pPr>
                  <w:r>
                    <w:rPr>
                      <w:rFonts w:hint="eastAsia"/>
                      <w:sz w:val="21"/>
                      <w:szCs w:val="21"/>
                    </w:rPr>
                    <w:t>总余氯</w:t>
                  </w:r>
                </w:p>
              </w:tc>
              <w:tc>
                <w:tcPr>
                  <w:tcW w:w="562" w:type="pct"/>
                  <w:noWrap w:val="0"/>
                  <w:vAlign w:val="center"/>
                </w:tcPr>
                <w:p>
                  <w:pPr>
                    <w:jc w:val="center"/>
                    <w:rPr>
                      <w:sz w:val="21"/>
                      <w:szCs w:val="21"/>
                    </w:rPr>
                  </w:pPr>
                  <w:r>
                    <w:rPr>
                      <w:rFonts w:hint="eastAsia"/>
                      <w:sz w:val="21"/>
                      <w:szCs w:val="21"/>
                    </w:rPr>
                    <w:t>mg/L</w:t>
                  </w:r>
                </w:p>
              </w:tc>
              <w:tc>
                <w:tcPr>
                  <w:tcW w:w="551" w:type="pct"/>
                  <w:noWrap w:val="0"/>
                  <w:vAlign w:val="center"/>
                </w:tcPr>
                <w:p>
                  <w:pPr>
                    <w:jc w:val="center"/>
                    <w:rPr>
                      <w:sz w:val="21"/>
                      <w:szCs w:val="21"/>
                    </w:rPr>
                  </w:pPr>
                  <w:r>
                    <w:rPr>
                      <w:rFonts w:hint="eastAsia"/>
                      <w:sz w:val="21"/>
                      <w:szCs w:val="21"/>
                    </w:rPr>
                    <w:t>4</w:t>
                  </w:r>
                </w:p>
              </w:tc>
              <w:tc>
                <w:tcPr>
                  <w:tcW w:w="540" w:type="pct"/>
                  <w:noWrap w:val="0"/>
                  <w:vAlign w:val="center"/>
                </w:tcPr>
                <w:p>
                  <w:pPr>
                    <w:jc w:val="center"/>
                    <w:rPr>
                      <w:sz w:val="21"/>
                      <w:szCs w:val="21"/>
                    </w:rPr>
                  </w:pPr>
                  <w:r>
                    <w:rPr>
                      <w:rFonts w:hint="eastAsia"/>
                      <w:sz w:val="21"/>
                      <w:szCs w:val="21"/>
                    </w:rPr>
                    <w:t>3</w:t>
                  </w:r>
                </w:p>
              </w:tc>
              <w:tc>
                <w:tcPr>
                  <w:tcW w:w="551" w:type="pct"/>
                  <w:noWrap w:val="0"/>
                  <w:vAlign w:val="center"/>
                </w:tcPr>
                <w:p>
                  <w:pPr>
                    <w:jc w:val="center"/>
                    <w:rPr>
                      <w:sz w:val="21"/>
                      <w:szCs w:val="21"/>
                    </w:rPr>
                  </w:pPr>
                  <w:r>
                    <w:rPr>
                      <w:rFonts w:hint="eastAsia"/>
                      <w:sz w:val="21"/>
                      <w:szCs w:val="21"/>
                    </w:rPr>
                    <w:t>4</w:t>
                  </w:r>
                </w:p>
              </w:tc>
              <w:tc>
                <w:tcPr>
                  <w:tcW w:w="506" w:type="pct"/>
                  <w:noWrap w:val="0"/>
                  <w:vAlign w:val="center"/>
                </w:tcPr>
                <w:p>
                  <w:pPr>
                    <w:jc w:val="center"/>
                    <w:rPr>
                      <w:sz w:val="21"/>
                      <w:szCs w:val="21"/>
                    </w:rPr>
                  </w:pPr>
                  <w:r>
                    <w:rPr>
                      <w:rFonts w:hint="eastAsia"/>
                      <w:sz w:val="21"/>
                      <w:szCs w:val="21"/>
                    </w:rPr>
                    <w:t>4</w:t>
                  </w:r>
                </w:p>
              </w:tc>
              <w:tc>
                <w:tcPr>
                  <w:tcW w:w="435" w:type="pct"/>
                  <w:noWrap w:val="0"/>
                  <w:vAlign w:val="center"/>
                </w:tcPr>
                <w:p>
                  <w:pPr>
                    <w:jc w:val="center"/>
                    <w:rPr>
                      <w:sz w:val="21"/>
                      <w:szCs w:val="21"/>
                    </w:rPr>
                  </w:pPr>
                  <w:r>
                    <w:rPr>
                      <w:rFonts w:hint="eastAsia"/>
                      <w:sz w:val="21"/>
                      <w:szCs w:val="21"/>
                    </w:rPr>
                    <w:t>2-8</w:t>
                  </w:r>
                </w:p>
              </w:tc>
              <w:tc>
                <w:tcPr>
                  <w:tcW w:w="435" w:type="pct"/>
                  <w:noWrap w:val="0"/>
                  <w:vAlign w:val="center"/>
                </w:tcPr>
                <w:p>
                  <w:pPr>
                    <w:jc w:val="center"/>
                    <w:rPr>
                      <w:sz w:val="21"/>
                      <w:szCs w:val="21"/>
                    </w:rPr>
                  </w:pPr>
                  <w:r>
                    <w:rPr>
                      <w:rFonts w:hint="eastAsia"/>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434" w:type="pct"/>
                  <w:vMerge w:val="continue"/>
                  <w:noWrap w:val="0"/>
                  <w:vAlign w:val="center"/>
                </w:tcPr>
                <w:p>
                  <w:pPr>
                    <w:jc w:val="center"/>
                    <w:rPr>
                      <w:sz w:val="21"/>
                      <w:szCs w:val="21"/>
                    </w:rPr>
                  </w:pPr>
                </w:p>
              </w:tc>
              <w:tc>
                <w:tcPr>
                  <w:tcW w:w="317" w:type="pct"/>
                  <w:vMerge w:val="continue"/>
                  <w:noWrap w:val="0"/>
                  <w:vAlign w:val="center"/>
                </w:tcPr>
                <w:p>
                  <w:pPr>
                    <w:jc w:val="center"/>
                    <w:rPr>
                      <w:sz w:val="21"/>
                      <w:szCs w:val="21"/>
                    </w:rPr>
                  </w:pPr>
                </w:p>
              </w:tc>
              <w:tc>
                <w:tcPr>
                  <w:tcW w:w="663" w:type="pct"/>
                  <w:noWrap w:val="0"/>
                  <w:vAlign w:val="center"/>
                </w:tcPr>
                <w:p>
                  <w:pPr>
                    <w:jc w:val="center"/>
                    <w:rPr>
                      <w:rFonts w:hint="eastAsia"/>
                      <w:sz w:val="21"/>
                      <w:szCs w:val="21"/>
                    </w:rPr>
                  </w:pPr>
                  <w:r>
                    <w:rPr>
                      <w:rFonts w:hint="eastAsia"/>
                      <w:sz w:val="21"/>
                      <w:szCs w:val="21"/>
                    </w:rPr>
                    <w:t>沙门氏菌</w:t>
                  </w:r>
                </w:p>
              </w:tc>
              <w:tc>
                <w:tcPr>
                  <w:tcW w:w="562" w:type="pct"/>
                  <w:noWrap w:val="0"/>
                  <w:vAlign w:val="center"/>
                </w:tcPr>
                <w:p>
                  <w:pPr>
                    <w:jc w:val="center"/>
                    <w:rPr>
                      <w:sz w:val="21"/>
                      <w:szCs w:val="21"/>
                    </w:rPr>
                  </w:pPr>
                  <w:r>
                    <w:rPr>
                      <w:rFonts w:hint="eastAsia"/>
                      <w:sz w:val="21"/>
                      <w:szCs w:val="21"/>
                    </w:rPr>
                    <w:t>/</w:t>
                  </w:r>
                </w:p>
              </w:tc>
              <w:tc>
                <w:tcPr>
                  <w:tcW w:w="551" w:type="pct"/>
                  <w:noWrap w:val="0"/>
                  <w:vAlign w:val="center"/>
                </w:tcPr>
                <w:p>
                  <w:pPr>
                    <w:jc w:val="center"/>
                    <w:rPr>
                      <w:sz w:val="21"/>
                      <w:szCs w:val="21"/>
                    </w:rPr>
                  </w:pPr>
                  <w:r>
                    <w:rPr>
                      <w:rFonts w:hint="eastAsia"/>
                      <w:sz w:val="21"/>
                      <w:szCs w:val="21"/>
                    </w:rPr>
                    <w:t>未检出</w:t>
                  </w:r>
                </w:p>
              </w:tc>
              <w:tc>
                <w:tcPr>
                  <w:tcW w:w="540" w:type="pct"/>
                  <w:noWrap w:val="0"/>
                  <w:vAlign w:val="center"/>
                </w:tcPr>
                <w:p>
                  <w:pPr>
                    <w:jc w:val="center"/>
                    <w:rPr>
                      <w:sz w:val="21"/>
                      <w:szCs w:val="21"/>
                    </w:rPr>
                  </w:pPr>
                  <w:r>
                    <w:rPr>
                      <w:rFonts w:hint="eastAsia"/>
                      <w:sz w:val="21"/>
                      <w:szCs w:val="21"/>
                    </w:rPr>
                    <w:t>未检出</w:t>
                  </w:r>
                </w:p>
              </w:tc>
              <w:tc>
                <w:tcPr>
                  <w:tcW w:w="551" w:type="pct"/>
                  <w:noWrap w:val="0"/>
                  <w:vAlign w:val="center"/>
                </w:tcPr>
                <w:p>
                  <w:pPr>
                    <w:jc w:val="center"/>
                    <w:rPr>
                      <w:sz w:val="21"/>
                      <w:szCs w:val="21"/>
                    </w:rPr>
                  </w:pPr>
                  <w:r>
                    <w:rPr>
                      <w:rFonts w:hint="eastAsia"/>
                      <w:sz w:val="21"/>
                      <w:szCs w:val="21"/>
                    </w:rPr>
                    <w:t>未检出</w:t>
                  </w:r>
                </w:p>
              </w:tc>
              <w:tc>
                <w:tcPr>
                  <w:tcW w:w="506" w:type="pct"/>
                  <w:noWrap w:val="0"/>
                  <w:vAlign w:val="center"/>
                </w:tcPr>
                <w:p>
                  <w:pPr>
                    <w:jc w:val="center"/>
                    <w:rPr>
                      <w:sz w:val="21"/>
                      <w:szCs w:val="21"/>
                    </w:rPr>
                  </w:pPr>
                  <w:r>
                    <w:rPr>
                      <w:rFonts w:hint="eastAsia"/>
                      <w:sz w:val="21"/>
                      <w:szCs w:val="21"/>
                    </w:rPr>
                    <w:t>/</w:t>
                  </w:r>
                </w:p>
              </w:tc>
              <w:tc>
                <w:tcPr>
                  <w:tcW w:w="435" w:type="pct"/>
                  <w:noWrap w:val="0"/>
                  <w:vAlign w:val="center"/>
                </w:tcPr>
                <w:p>
                  <w:pPr>
                    <w:jc w:val="center"/>
                    <w:rPr>
                      <w:sz w:val="21"/>
                      <w:szCs w:val="21"/>
                    </w:rPr>
                  </w:pPr>
                  <w:r>
                    <w:rPr>
                      <w:rFonts w:hint="eastAsia"/>
                      <w:sz w:val="21"/>
                      <w:szCs w:val="21"/>
                    </w:rPr>
                    <w:t>-</w:t>
                  </w:r>
                </w:p>
              </w:tc>
              <w:tc>
                <w:tcPr>
                  <w:tcW w:w="435" w:type="pct"/>
                  <w:noWrap w:val="0"/>
                  <w:vAlign w:val="center"/>
                </w:tcPr>
                <w:p>
                  <w:pPr>
                    <w:jc w:val="center"/>
                    <w:rPr>
                      <w:rFonts w:hint="eastAsia"/>
                      <w:sz w:val="21"/>
                      <w:szCs w:val="21"/>
                    </w:rPr>
                  </w:pPr>
                  <w:r>
                    <w:rPr>
                      <w:rFonts w:hint="eastAsia"/>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434" w:type="pct"/>
                  <w:vMerge w:val="continue"/>
                  <w:tcBorders>
                    <w:bottom w:val="single" w:color="auto" w:sz="12" w:space="0"/>
                  </w:tcBorders>
                  <w:noWrap w:val="0"/>
                  <w:vAlign w:val="center"/>
                </w:tcPr>
                <w:p>
                  <w:pPr>
                    <w:jc w:val="center"/>
                    <w:rPr>
                      <w:sz w:val="21"/>
                      <w:szCs w:val="21"/>
                    </w:rPr>
                  </w:pPr>
                </w:p>
              </w:tc>
              <w:tc>
                <w:tcPr>
                  <w:tcW w:w="317" w:type="pct"/>
                  <w:vMerge w:val="continue"/>
                  <w:tcBorders>
                    <w:bottom w:val="single" w:color="auto" w:sz="12" w:space="0"/>
                  </w:tcBorders>
                  <w:noWrap w:val="0"/>
                  <w:vAlign w:val="center"/>
                </w:tcPr>
                <w:p>
                  <w:pPr>
                    <w:jc w:val="center"/>
                    <w:rPr>
                      <w:sz w:val="21"/>
                      <w:szCs w:val="21"/>
                    </w:rPr>
                  </w:pPr>
                </w:p>
              </w:tc>
              <w:tc>
                <w:tcPr>
                  <w:tcW w:w="663" w:type="pct"/>
                  <w:tcBorders>
                    <w:bottom w:val="single" w:color="auto" w:sz="12" w:space="0"/>
                  </w:tcBorders>
                  <w:noWrap w:val="0"/>
                  <w:vAlign w:val="center"/>
                </w:tcPr>
                <w:p>
                  <w:pPr>
                    <w:jc w:val="center"/>
                    <w:rPr>
                      <w:sz w:val="21"/>
                      <w:szCs w:val="21"/>
                    </w:rPr>
                  </w:pPr>
                  <w:r>
                    <w:rPr>
                      <w:rFonts w:hint="eastAsia"/>
                      <w:sz w:val="21"/>
                      <w:szCs w:val="21"/>
                    </w:rPr>
                    <w:t>粪大肠菌群</w:t>
                  </w:r>
                </w:p>
              </w:tc>
              <w:tc>
                <w:tcPr>
                  <w:tcW w:w="562" w:type="pct"/>
                  <w:tcBorders>
                    <w:bottom w:val="single" w:color="auto" w:sz="12" w:space="0"/>
                  </w:tcBorders>
                  <w:noWrap w:val="0"/>
                  <w:vAlign w:val="center"/>
                </w:tcPr>
                <w:p>
                  <w:pPr>
                    <w:jc w:val="center"/>
                    <w:rPr>
                      <w:rFonts w:hint="eastAsia"/>
                      <w:sz w:val="21"/>
                      <w:szCs w:val="21"/>
                    </w:rPr>
                  </w:pPr>
                  <w:r>
                    <w:rPr>
                      <w:rFonts w:hint="eastAsia"/>
                      <w:sz w:val="21"/>
                      <w:szCs w:val="21"/>
                    </w:rPr>
                    <w:t>MPN/L</w:t>
                  </w:r>
                </w:p>
              </w:tc>
              <w:tc>
                <w:tcPr>
                  <w:tcW w:w="551" w:type="pct"/>
                  <w:tcBorders>
                    <w:bottom w:val="single" w:color="auto" w:sz="12" w:space="0"/>
                  </w:tcBorders>
                  <w:noWrap w:val="0"/>
                  <w:vAlign w:val="center"/>
                </w:tcPr>
                <w:p>
                  <w:pPr>
                    <w:jc w:val="center"/>
                    <w:rPr>
                      <w:sz w:val="21"/>
                      <w:szCs w:val="21"/>
                    </w:rPr>
                  </w:pPr>
                  <w:r>
                    <w:rPr>
                      <w:rFonts w:hint="eastAsia"/>
                      <w:sz w:val="21"/>
                      <w:szCs w:val="21"/>
                    </w:rPr>
                    <w:t>1800</w:t>
                  </w:r>
                </w:p>
              </w:tc>
              <w:tc>
                <w:tcPr>
                  <w:tcW w:w="540" w:type="pct"/>
                  <w:tcBorders>
                    <w:bottom w:val="single" w:color="auto" w:sz="12" w:space="0"/>
                  </w:tcBorders>
                  <w:noWrap w:val="0"/>
                  <w:vAlign w:val="center"/>
                </w:tcPr>
                <w:p>
                  <w:pPr>
                    <w:jc w:val="center"/>
                    <w:rPr>
                      <w:sz w:val="21"/>
                      <w:szCs w:val="21"/>
                    </w:rPr>
                  </w:pPr>
                  <w:r>
                    <w:rPr>
                      <w:rFonts w:hint="eastAsia"/>
                      <w:sz w:val="21"/>
                      <w:szCs w:val="21"/>
                    </w:rPr>
                    <w:t>1700</w:t>
                  </w:r>
                </w:p>
              </w:tc>
              <w:tc>
                <w:tcPr>
                  <w:tcW w:w="551" w:type="pct"/>
                  <w:tcBorders>
                    <w:bottom w:val="single" w:color="auto" w:sz="12" w:space="0"/>
                  </w:tcBorders>
                  <w:noWrap w:val="0"/>
                  <w:vAlign w:val="center"/>
                </w:tcPr>
                <w:p>
                  <w:pPr>
                    <w:jc w:val="center"/>
                    <w:rPr>
                      <w:sz w:val="21"/>
                      <w:szCs w:val="21"/>
                    </w:rPr>
                  </w:pPr>
                  <w:r>
                    <w:rPr>
                      <w:rFonts w:hint="eastAsia"/>
                      <w:sz w:val="21"/>
                      <w:szCs w:val="21"/>
                    </w:rPr>
                    <w:t>2800</w:t>
                  </w:r>
                </w:p>
              </w:tc>
              <w:tc>
                <w:tcPr>
                  <w:tcW w:w="506" w:type="pct"/>
                  <w:tcBorders>
                    <w:bottom w:val="single" w:color="auto" w:sz="12" w:space="0"/>
                  </w:tcBorders>
                  <w:noWrap w:val="0"/>
                  <w:vAlign w:val="center"/>
                </w:tcPr>
                <w:p>
                  <w:pPr>
                    <w:jc w:val="center"/>
                    <w:rPr>
                      <w:sz w:val="21"/>
                      <w:szCs w:val="21"/>
                    </w:rPr>
                  </w:pPr>
                  <w:r>
                    <w:rPr>
                      <w:rFonts w:hint="eastAsia"/>
                      <w:sz w:val="21"/>
                      <w:szCs w:val="21"/>
                    </w:rPr>
                    <w:t>2100</w:t>
                  </w:r>
                </w:p>
              </w:tc>
              <w:tc>
                <w:tcPr>
                  <w:tcW w:w="435" w:type="pct"/>
                  <w:tcBorders>
                    <w:bottom w:val="single" w:color="auto" w:sz="12" w:space="0"/>
                  </w:tcBorders>
                  <w:noWrap w:val="0"/>
                  <w:vAlign w:val="center"/>
                </w:tcPr>
                <w:p>
                  <w:pPr>
                    <w:jc w:val="center"/>
                    <w:rPr>
                      <w:sz w:val="21"/>
                      <w:szCs w:val="21"/>
                    </w:rPr>
                  </w:pPr>
                  <w:r>
                    <w:rPr>
                      <w:rFonts w:hint="eastAsia"/>
                      <w:sz w:val="21"/>
                      <w:szCs w:val="21"/>
                    </w:rPr>
                    <w:t>5000</w:t>
                  </w:r>
                </w:p>
              </w:tc>
              <w:tc>
                <w:tcPr>
                  <w:tcW w:w="435" w:type="pct"/>
                  <w:tcBorders>
                    <w:bottom w:val="single" w:color="auto" w:sz="12" w:space="0"/>
                  </w:tcBorders>
                  <w:noWrap w:val="0"/>
                  <w:vAlign w:val="center"/>
                </w:tcPr>
                <w:p>
                  <w:pPr>
                    <w:jc w:val="center"/>
                    <w:rPr>
                      <w:rFonts w:hint="eastAsia"/>
                      <w:sz w:val="21"/>
                      <w:szCs w:val="21"/>
                    </w:rPr>
                  </w:pPr>
                  <w:r>
                    <w:rPr>
                      <w:rFonts w:hint="eastAsia"/>
                      <w:sz w:val="21"/>
                      <w:szCs w:val="21"/>
                    </w:rPr>
                    <w:t>达标</w:t>
                  </w:r>
                </w:p>
              </w:tc>
            </w:tr>
          </w:tbl>
          <w:p>
            <w:pPr>
              <w:pStyle w:val="72"/>
              <w:bidi w:val="0"/>
              <w:rPr>
                <w:rFonts w:hint="default"/>
                <w:lang w:val="en-US" w:eastAsia="zh-CN"/>
              </w:rPr>
            </w:pPr>
          </w:p>
          <w:tbl>
            <w:tblPr>
              <w:tblStyle w:val="41"/>
              <w:tblW w:w="8080" w:type="dxa"/>
              <w:jc w:val="center"/>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4040"/>
              <w:gridCol w:w="4040"/>
            </w:tblGrid>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151" w:hRule="atLeast"/>
                <w:jc w:val="center"/>
              </w:trPr>
              <w:tc>
                <w:tcPr>
                  <w:tcW w:w="4040" w:type="dxa"/>
                  <w:noWrap w:val="0"/>
                  <w:vAlign w:val="center"/>
                </w:tcPr>
                <w:p>
                  <w:pPr>
                    <w:pStyle w:val="72"/>
                    <w:spacing w:line="240" w:lineRule="auto"/>
                    <w:ind w:firstLine="0" w:firstLineChars="0"/>
                    <w:jc w:val="center"/>
                    <w:rPr>
                      <w:rFonts w:hint="eastAsia"/>
                    </w:rPr>
                  </w:pPr>
                  <w:r>
                    <w:rPr>
                      <w:rFonts w:hint="eastAsia"/>
                    </w:rPr>
                    <w:drawing>
                      <wp:inline distT="0" distB="0" distL="114300" distR="114300">
                        <wp:extent cx="2431415" cy="1367790"/>
                        <wp:effectExtent l="0" t="0" r="6985" b="3810"/>
                        <wp:docPr id="156" name="图片 22" descr="6c475d99ee7a6b7d4292c7f6ea6ed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2" descr="6c475d99ee7a6b7d4292c7f6ea6edb3"/>
                                <pic:cNvPicPr>
                                  <a:picLocks noChangeAspect="1"/>
                                </pic:cNvPicPr>
                              </pic:nvPicPr>
                              <pic:blipFill>
                                <a:blip r:embed="rId28"/>
                                <a:stretch>
                                  <a:fillRect/>
                                </a:stretch>
                              </pic:blipFill>
                              <pic:spPr>
                                <a:xfrm>
                                  <a:off x="0" y="0"/>
                                  <a:ext cx="2431415" cy="1367790"/>
                                </a:xfrm>
                                <a:prstGeom prst="rect">
                                  <a:avLst/>
                                </a:prstGeom>
                                <a:noFill/>
                                <a:ln>
                                  <a:noFill/>
                                </a:ln>
                              </pic:spPr>
                            </pic:pic>
                          </a:graphicData>
                        </a:graphic>
                      </wp:inline>
                    </w:drawing>
                  </w:r>
                </w:p>
              </w:tc>
              <w:tc>
                <w:tcPr>
                  <w:tcW w:w="4040" w:type="dxa"/>
                  <w:noWrap w:val="0"/>
                  <w:vAlign w:val="center"/>
                </w:tcPr>
                <w:p>
                  <w:pPr>
                    <w:pStyle w:val="72"/>
                    <w:spacing w:line="240" w:lineRule="auto"/>
                    <w:ind w:firstLine="0" w:firstLineChars="0"/>
                    <w:jc w:val="center"/>
                    <w:rPr>
                      <w:rFonts w:hint="eastAsia"/>
                    </w:rPr>
                  </w:pPr>
                  <w:r>
                    <w:rPr>
                      <w:rFonts w:hint="eastAsia"/>
                    </w:rPr>
                    <w:drawing>
                      <wp:inline distT="0" distB="0" distL="114300" distR="114300">
                        <wp:extent cx="2431415" cy="1367790"/>
                        <wp:effectExtent l="0" t="0" r="6985" b="3810"/>
                        <wp:docPr id="157" name="图片 23" descr="d6373f451b2e4138e684cc2efa05f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3" descr="d6373f451b2e4138e684cc2efa05ffa"/>
                                <pic:cNvPicPr>
                                  <a:picLocks noChangeAspect="1"/>
                                </pic:cNvPicPr>
                              </pic:nvPicPr>
                              <pic:blipFill>
                                <a:blip r:embed="rId29"/>
                                <a:stretch>
                                  <a:fillRect/>
                                </a:stretch>
                              </pic:blipFill>
                              <pic:spPr>
                                <a:xfrm>
                                  <a:off x="0" y="0"/>
                                  <a:ext cx="2431415" cy="1367790"/>
                                </a:xfrm>
                                <a:prstGeom prst="rect">
                                  <a:avLst/>
                                </a:prstGeom>
                                <a:noFill/>
                                <a:ln>
                                  <a:noFill/>
                                </a:ln>
                              </pic:spPr>
                            </pic:pic>
                          </a:graphicData>
                        </a:graphic>
                      </wp:inline>
                    </w:drawing>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1" w:hRule="atLeast"/>
                <w:jc w:val="center"/>
              </w:trPr>
              <w:tc>
                <w:tcPr>
                  <w:tcW w:w="4040" w:type="dxa"/>
                  <w:noWrap w:val="0"/>
                  <w:vAlign w:val="center"/>
                </w:tcPr>
                <w:p>
                  <w:pPr>
                    <w:pStyle w:val="72"/>
                    <w:spacing w:line="240" w:lineRule="auto"/>
                    <w:ind w:firstLine="0" w:firstLineChars="0"/>
                    <w:jc w:val="center"/>
                    <w:rPr>
                      <w:rFonts w:hint="eastAsia"/>
                      <w:sz w:val="21"/>
                      <w:szCs w:val="16"/>
                    </w:rPr>
                  </w:pPr>
                  <w:r>
                    <w:rPr>
                      <w:rFonts w:hint="eastAsia"/>
                      <w:sz w:val="21"/>
                      <w:szCs w:val="16"/>
                    </w:rPr>
                    <w:t>院内污水处理站</w:t>
                  </w:r>
                </w:p>
              </w:tc>
              <w:tc>
                <w:tcPr>
                  <w:tcW w:w="4040" w:type="dxa"/>
                  <w:noWrap w:val="0"/>
                  <w:vAlign w:val="center"/>
                </w:tcPr>
                <w:p>
                  <w:pPr>
                    <w:pStyle w:val="72"/>
                    <w:spacing w:line="240" w:lineRule="auto"/>
                    <w:ind w:firstLine="0" w:firstLineChars="0"/>
                    <w:jc w:val="center"/>
                    <w:rPr>
                      <w:rFonts w:hint="eastAsia"/>
                      <w:sz w:val="21"/>
                      <w:szCs w:val="16"/>
                    </w:rPr>
                  </w:pPr>
                  <w:r>
                    <w:rPr>
                      <w:rFonts w:hint="eastAsia"/>
                      <w:sz w:val="21"/>
                      <w:szCs w:val="16"/>
                    </w:rPr>
                    <w:t>院内污水处理站</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151" w:hRule="atLeast"/>
                <w:jc w:val="center"/>
              </w:trPr>
              <w:tc>
                <w:tcPr>
                  <w:tcW w:w="4040" w:type="dxa"/>
                  <w:noWrap w:val="0"/>
                  <w:vAlign w:val="center"/>
                </w:tcPr>
                <w:p>
                  <w:pPr>
                    <w:pStyle w:val="72"/>
                    <w:spacing w:line="240" w:lineRule="auto"/>
                    <w:ind w:firstLine="0" w:firstLineChars="0"/>
                    <w:jc w:val="center"/>
                    <w:rPr>
                      <w:rFonts w:hint="eastAsia"/>
                      <w:sz w:val="21"/>
                      <w:szCs w:val="16"/>
                    </w:rPr>
                  </w:pPr>
                  <w:r>
                    <w:rPr>
                      <w:rFonts w:hint="eastAsia"/>
                      <w:sz w:val="21"/>
                      <w:szCs w:val="16"/>
                    </w:rPr>
                    <w:drawing>
                      <wp:inline distT="0" distB="0" distL="114300" distR="114300">
                        <wp:extent cx="2431415" cy="1367790"/>
                        <wp:effectExtent l="0" t="0" r="6985" b="3810"/>
                        <wp:docPr id="158" name="图片 24" descr="9a970e69f3053df5bf4254f38b0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24" descr="9a970e69f3053df5bf4254f38b08371"/>
                                <pic:cNvPicPr>
                                  <a:picLocks noChangeAspect="1"/>
                                </pic:cNvPicPr>
                              </pic:nvPicPr>
                              <pic:blipFill>
                                <a:blip r:embed="rId30"/>
                                <a:stretch>
                                  <a:fillRect/>
                                </a:stretch>
                              </pic:blipFill>
                              <pic:spPr>
                                <a:xfrm>
                                  <a:off x="0" y="0"/>
                                  <a:ext cx="2431415" cy="1367790"/>
                                </a:xfrm>
                                <a:prstGeom prst="rect">
                                  <a:avLst/>
                                </a:prstGeom>
                                <a:noFill/>
                                <a:ln>
                                  <a:noFill/>
                                </a:ln>
                              </pic:spPr>
                            </pic:pic>
                          </a:graphicData>
                        </a:graphic>
                      </wp:inline>
                    </w:drawing>
                  </w:r>
                </w:p>
              </w:tc>
              <w:tc>
                <w:tcPr>
                  <w:tcW w:w="4040" w:type="dxa"/>
                  <w:noWrap w:val="0"/>
                  <w:vAlign w:val="center"/>
                </w:tcPr>
                <w:p>
                  <w:pPr>
                    <w:pStyle w:val="72"/>
                    <w:spacing w:line="240" w:lineRule="auto"/>
                    <w:ind w:firstLine="0" w:firstLineChars="0"/>
                    <w:jc w:val="center"/>
                    <w:rPr>
                      <w:rFonts w:hint="eastAsia"/>
                      <w:sz w:val="21"/>
                      <w:szCs w:val="16"/>
                    </w:rPr>
                  </w:pPr>
                  <w:r>
                    <w:rPr>
                      <w:rFonts w:hint="eastAsia"/>
                      <w:sz w:val="21"/>
                      <w:szCs w:val="16"/>
                    </w:rPr>
                    <w:drawing>
                      <wp:inline distT="0" distB="0" distL="114300" distR="114300">
                        <wp:extent cx="2431415" cy="1367790"/>
                        <wp:effectExtent l="0" t="0" r="6985" b="3810"/>
                        <wp:docPr id="159" name="图片 25" descr="5d25e25285d26c2e783811319990b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5" descr="5d25e25285d26c2e783811319990b7e"/>
                                <pic:cNvPicPr>
                                  <a:picLocks noChangeAspect="1"/>
                                </pic:cNvPicPr>
                              </pic:nvPicPr>
                              <pic:blipFill>
                                <a:blip r:embed="rId31"/>
                                <a:stretch>
                                  <a:fillRect/>
                                </a:stretch>
                              </pic:blipFill>
                              <pic:spPr>
                                <a:xfrm>
                                  <a:off x="0" y="0"/>
                                  <a:ext cx="2431415" cy="1367790"/>
                                </a:xfrm>
                                <a:prstGeom prst="rect">
                                  <a:avLst/>
                                </a:prstGeom>
                                <a:noFill/>
                                <a:ln>
                                  <a:noFill/>
                                </a:ln>
                              </pic:spPr>
                            </pic:pic>
                          </a:graphicData>
                        </a:graphic>
                      </wp:inline>
                    </w:drawing>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91" w:hRule="atLeast"/>
                <w:jc w:val="center"/>
              </w:trPr>
              <w:tc>
                <w:tcPr>
                  <w:tcW w:w="4040" w:type="dxa"/>
                  <w:noWrap w:val="0"/>
                  <w:vAlign w:val="center"/>
                </w:tcPr>
                <w:p>
                  <w:pPr>
                    <w:pStyle w:val="72"/>
                    <w:spacing w:line="240" w:lineRule="auto"/>
                    <w:ind w:firstLine="0" w:firstLineChars="0"/>
                    <w:jc w:val="center"/>
                    <w:rPr>
                      <w:rFonts w:hint="eastAsia"/>
                      <w:sz w:val="21"/>
                      <w:szCs w:val="16"/>
                    </w:rPr>
                  </w:pPr>
                  <w:r>
                    <w:rPr>
                      <w:rFonts w:hint="eastAsia"/>
                      <w:sz w:val="21"/>
                      <w:szCs w:val="16"/>
                    </w:rPr>
                    <w:t>住院</w:t>
                  </w:r>
                  <w:r>
                    <w:rPr>
                      <w:rFonts w:hint="eastAsia"/>
                      <w:sz w:val="21"/>
                      <w:szCs w:val="16"/>
                      <w:lang w:eastAsia="zh-CN"/>
                    </w:rPr>
                    <w:t>楼</w:t>
                  </w:r>
                  <w:r>
                    <w:rPr>
                      <w:rFonts w:hint="eastAsia"/>
                      <w:sz w:val="21"/>
                      <w:szCs w:val="16"/>
                    </w:rPr>
                    <w:t>化粪池</w:t>
                  </w:r>
                </w:p>
              </w:tc>
              <w:tc>
                <w:tcPr>
                  <w:tcW w:w="4040" w:type="dxa"/>
                  <w:noWrap w:val="0"/>
                  <w:vAlign w:val="center"/>
                </w:tcPr>
                <w:p>
                  <w:pPr>
                    <w:pStyle w:val="72"/>
                    <w:spacing w:line="240" w:lineRule="auto"/>
                    <w:ind w:firstLine="0" w:firstLineChars="0"/>
                    <w:jc w:val="center"/>
                    <w:rPr>
                      <w:rFonts w:hint="eastAsia" w:eastAsia="宋体"/>
                      <w:sz w:val="21"/>
                      <w:szCs w:val="16"/>
                      <w:lang w:val="en-US" w:eastAsia="zh-CN"/>
                    </w:rPr>
                  </w:pPr>
                  <w:r>
                    <w:rPr>
                      <w:rFonts w:hint="eastAsia"/>
                      <w:sz w:val="21"/>
                      <w:szCs w:val="16"/>
                    </w:rPr>
                    <w:t>门诊楼化粪池</w:t>
                  </w:r>
                  <w:r>
                    <w:rPr>
                      <w:rFonts w:hint="eastAsia"/>
                      <w:sz w:val="21"/>
                      <w:szCs w:val="16"/>
                      <w:lang w:val="en-US" w:eastAsia="zh-CN"/>
                    </w:rPr>
                    <w:t xml:space="preserve"> </w:t>
                  </w:r>
                </w:p>
              </w:tc>
            </w:tr>
          </w:tbl>
          <w:p>
            <w:pPr>
              <w:spacing w:line="360" w:lineRule="auto"/>
              <w:ind w:firstLine="482" w:firstLineChars="200"/>
              <w:rPr>
                <w:rFonts w:hint="eastAsia"/>
                <w:b/>
                <w:bCs/>
                <w:sz w:val="24"/>
              </w:rPr>
            </w:pPr>
            <w:r>
              <w:rPr>
                <w:rFonts w:hint="eastAsia"/>
                <w:b/>
                <w:bCs/>
                <w:sz w:val="24"/>
                <w:lang w:val="en-US" w:eastAsia="zh-CN"/>
              </w:rPr>
              <w:t>2、</w:t>
            </w:r>
            <w:r>
              <w:rPr>
                <w:rFonts w:hint="eastAsia"/>
                <w:b/>
                <w:bCs/>
                <w:sz w:val="24"/>
              </w:rPr>
              <w:t>废气</w:t>
            </w:r>
            <w:r>
              <w:rPr>
                <w:rFonts w:hint="eastAsia"/>
                <w:b/>
                <w:bCs/>
                <w:sz w:val="24"/>
                <w:lang w:eastAsia="zh-CN"/>
              </w:rPr>
              <w:t>产生及治理措施</w:t>
            </w:r>
          </w:p>
          <w:p>
            <w:pPr>
              <w:pStyle w:val="72"/>
              <w:bidi w:val="0"/>
              <w:rPr>
                <w:rFonts w:hint="eastAsia"/>
              </w:rPr>
            </w:pPr>
            <w:r>
              <w:rPr>
                <w:rFonts w:hint="eastAsia"/>
              </w:rPr>
              <w:t>项目</w:t>
            </w:r>
            <w:r>
              <w:rPr>
                <w:rFonts w:hint="eastAsia"/>
                <w:lang w:eastAsia="zh-CN"/>
              </w:rPr>
              <w:t>扩建前营运期</w:t>
            </w:r>
            <w:r>
              <w:rPr>
                <w:rFonts w:hint="eastAsia"/>
              </w:rPr>
              <w:t>废气主要是污水处理站废气、备用发电机尾气、食堂油烟以及天然气燃烧废气。</w:t>
            </w:r>
          </w:p>
          <w:p>
            <w:pPr>
              <w:pStyle w:val="72"/>
              <w:bidi w:val="0"/>
              <w:rPr>
                <w:rFonts w:hint="eastAsia"/>
              </w:rPr>
            </w:pPr>
            <w:r>
              <w:rPr>
                <w:rFonts w:hint="eastAsia"/>
              </w:rPr>
              <w:t>①污水处理站废气</w:t>
            </w:r>
          </w:p>
          <w:p>
            <w:pPr>
              <w:pStyle w:val="72"/>
              <w:bidi w:val="0"/>
              <w:rPr>
                <w:rFonts w:hint="eastAsia"/>
              </w:rPr>
            </w:pPr>
            <w:r>
              <w:rPr>
                <w:rFonts w:hint="eastAsia"/>
              </w:rPr>
              <w:t>医院污水处理站产生的恶臭气体的成分主要是NH</w:t>
            </w:r>
            <w:r>
              <w:rPr>
                <w:rFonts w:hint="eastAsia"/>
                <w:vertAlign w:val="subscript"/>
              </w:rPr>
              <w:t>3</w:t>
            </w:r>
            <w:r>
              <w:rPr>
                <w:rFonts w:hint="eastAsia"/>
              </w:rPr>
              <w:t>和硫化氢。硫化氢气体具有臭鸡蛋味，有一定的刺激性。恶臭气体产生量随污水水质、气温（水温）以及曝气量的不同而变化。有机污水产生的恶臭量大于一般工业废水，夏秋季较多。本项目污水处理站采用“二级生化+消毒”，臭气主要产生于接触氧化池和调节池（集水池）。项目污水处理站为地埋式，并盖板封闭</w:t>
            </w:r>
            <w:r>
              <w:rPr>
                <w:rFonts w:hint="eastAsia"/>
                <w:lang w:eastAsia="zh-CN"/>
              </w:rPr>
              <w:t>定期喷洒除臭剂，因此，</w:t>
            </w:r>
            <w:r>
              <w:rPr>
                <w:rFonts w:hint="eastAsia"/>
              </w:rPr>
              <w:t>污水处理站恶臭气体对周边环境的影响</w:t>
            </w:r>
            <w:r>
              <w:rPr>
                <w:rFonts w:hint="eastAsia"/>
                <w:lang w:eastAsia="zh-CN"/>
              </w:rPr>
              <w:t>较小</w:t>
            </w:r>
            <w:r>
              <w:rPr>
                <w:rFonts w:hint="eastAsia"/>
              </w:rPr>
              <w:t>。</w:t>
            </w:r>
          </w:p>
          <w:p>
            <w:pPr>
              <w:pStyle w:val="72"/>
              <w:bidi w:val="0"/>
              <w:rPr>
                <w:rFonts w:hint="eastAsia"/>
              </w:rPr>
            </w:pPr>
            <w:r>
              <w:rPr>
                <w:rFonts w:hint="eastAsia"/>
              </w:rPr>
              <w:t>②发电机尾气</w:t>
            </w:r>
          </w:p>
          <w:p>
            <w:pPr>
              <w:pStyle w:val="72"/>
              <w:bidi w:val="0"/>
            </w:pPr>
            <w:r>
              <w:rPr>
                <w:rFonts w:hint="eastAsia"/>
              </w:rPr>
              <w:t>根据院方提供的资料，医院设置一台100Kw发电机置于设备房内，会产生烟尘、SO</w:t>
            </w:r>
            <w:r>
              <w:rPr>
                <w:rFonts w:hint="eastAsia"/>
                <w:vertAlign w:val="subscript"/>
              </w:rPr>
              <w:t>2</w:t>
            </w:r>
            <w:r>
              <w:rPr>
                <w:rFonts w:hint="eastAsia"/>
              </w:rPr>
              <w:t>、NOx等污染物。置于设备房中的发电机废气引至专门排气孔排出。本项目发电机产生的烟气污染物排放量很少，而且发电机使用的几率很小，因此，排放的废气对项目区及周边环境空气影响较小。</w:t>
            </w:r>
          </w:p>
          <w:p>
            <w:pPr>
              <w:pStyle w:val="72"/>
              <w:bidi w:val="0"/>
              <w:rPr>
                <w:rFonts w:hint="eastAsia"/>
              </w:rPr>
            </w:pPr>
            <w:r>
              <w:rPr>
                <w:rFonts w:hint="eastAsia"/>
              </w:rPr>
              <w:t>③食堂油烟</w:t>
            </w:r>
          </w:p>
          <w:p>
            <w:pPr>
              <w:pStyle w:val="72"/>
              <w:bidi w:val="0"/>
            </w:pPr>
            <w:r>
              <w:rPr>
                <w:rFonts w:hint="eastAsia"/>
              </w:rPr>
              <w:t xml:space="preserve"> 项目厨房油烟采用油烟处理机处理后引至屋顶排放，项目油烟经处理后，对项目区及周边环境空气影响较小。</w:t>
            </w:r>
          </w:p>
          <w:p>
            <w:pPr>
              <w:pStyle w:val="72"/>
              <w:bidi w:val="0"/>
              <w:rPr>
                <w:rFonts w:hint="eastAsia"/>
              </w:rPr>
            </w:pPr>
            <w:r>
              <w:rPr>
                <w:rFonts w:hint="eastAsia"/>
              </w:rPr>
              <w:t>④天然气燃烧废气</w:t>
            </w:r>
          </w:p>
          <w:p>
            <w:pPr>
              <w:pStyle w:val="72"/>
              <w:bidi w:val="0"/>
              <w:rPr>
                <w:rFonts w:hint="eastAsia"/>
              </w:rPr>
            </w:pPr>
            <w:r>
              <w:rPr>
                <w:rFonts w:hint="eastAsia"/>
              </w:rPr>
              <w:t>项目食堂燃料为天然气，天然气属于清洁的能源，燃烧后产生的污染物较少，不会对周围环境产生较大影响。</w:t>
            </w:r>
          </w:p>
          <w:p>
            <w:pPr>
              <w:spacing w:line="360" w:lineRule="auto"/>
              <w:ind w:firstLine="480" w:firstLineChars="200"/>
              <w:rPr>
                <w:rFonts w:hint="eastAsia" w:eastAsia="宋体"/>
                <w:sz w:val="24"/>
                <w:lang w:eastAsia="zh-CN"/>
              </w:rPr>
            </w:pPr>
            <w:r>
              <w:rPr>
                <w:rFonts w:hint="eastAsia"/>
                <w:sz w:val="24"/>
                <w:lang w:eastAsia="zh-CN"/>
              </w:rPr>
              <w:t>根据乐山巴川精神病专科医院项目竣工环境保护验收监测报告表中四川衡测检测技术股份有限公司关于项目废气的监测结果，见下表</w:t>
            </w:r>
            <w:r>
              <w:rPr>
                <w:rFonts w:hint="eastAsia"/>
                <w:sz w:val="24"/>
                <w:lang w:val="en-US" w:eastAsia="zh-CN"/>
              </w:rPr>
              <w:t>2-18和表2-19，</w:t>
            </w:r>
            <w:r>
              <w:rPr>
                <w:rFonts w:hint="eastAsia"/>
                <w:sz w:val="24"/>
                <w:lang w:eastAsia="zh-CN"/>
              </w:rPr>
              <w:t>本院产生的</w:t>
            </w:r>
            <w:r>
              <w:rPr>
                <w:rFonts w:hint="eastAsia" w:hAnsi="宋体"/>
                <w:sz w:val="24"/>
                <w:lang w:eastAsia="zh-CN"/>
              </w:rPr>
              <w:t>油烟监测结果符合《饮食业油烟排放标准》（</w:t>
            </w:r>
            <w:r>
              <w:rPr>
                <w:rFonts w:hint="eastAsia" w:hAnsi="宋体"/>
                <w:sz w:val="24"/>
                <w:lang w:val="en-US" w:eastAsia="zh-CN"/>
              </w:rPr>
              <w:t>GB18483-2001</w:t>
            </w:r>
            <w:r>
              <w:rPr>
                <w:rFonts w:hint="eastAsia" w:hAnsi="宋体"/>
                <w:sz w:val="24"/>
                <w:lang w:eastAsia="zh-CN"/>
              </w:rPr>
              <w:t>）中最高允许排放浓度，无组织废气排放浓度符合《医疗机构水污染排放标准》（</w:t>
            </w:r>
            <w:r>
              <w:rPr>
                <w:rFonts w:hint="eastAsia" w:hAnsi="宋体"/>
                <w:sz w:val="24"/>
                <w:lang w:val="en-US" w:eastAsia="zh-CN"/>
              </w:rPr>
              <w:t>GB18466-200</w:t>
            </w:r>
            <w:r>
              <w:rPr>
                <w:rFonts w:hint="eastAsia" w:hAnsi="宋体"/>
                <w:sz w:val="24"/>
                <w:lang w:eastAsia="zh-CN"/>
              </w:rPr>
              <w:t>）表</w:t>
            </w:r>
            <w:r>
              <w:rPr>
                <w:rFonts w:hint="eastAsia" w:hAnsi="宋体"/>
                <w:sz w:val="24"/>
                <w:lang w:val="en-US" w:eastAsia="zh-CN"/>
              </w:rPr>
              <w:t>3污水处理站大气污染物最高允许排放浓度，</w:t>
            </w:r>
            <w:r>
              <w:rPr>
                <w:rFonts w:hint="eastAsia"/>
                <w:sz w:val="24"/>
                <w:lang w:eastAsia="zh-CN"/>
              </w:rPr>
              <w:t>项目废气</w:t>
            </w:r>
            <w:r>
              <w:rPr>
                <w:rFonts w:hint="eastAsia" w:hAnsi="宋体"/>
                <w:sz w:val="24"/>
                <w:lang w:eastAsia="zh-CN"/>
              </w:rPr>
              <w:t>能够达标排放。</w:t>
            </w:r>
          </w:p>
          <w:p>
            <w:pPr>
              <w:pStyle w:val="72"/>
              <w:bidi w:val="0"/>
              <w:spacing w:line="240" w:lineRule="auto"/>
              <w:jc w:val="center"/>
              <w:rPr>
                <w:rFonts w:hint="eastAsia"/>
                <w:b/>
                <w:bCs/>
                <w:sz w:val="21"/>
                <w:szCs w:val="16"/>
                <w:lang w:val="en-US" w:eastAsia="zh-CN"/>
              </w:rPr>
            </w:pPr>
            <w:r>
              <w:rPr>
                <w:rFonts w:hint="eastAsia"/>
                <w:b/>
                <w:bCs/>
                <w:sz w:val="21"/>
                <w:szCs w:val="16"/>
                <w:lang w:eastAsia="zh-CN"/>
              </w:rPr>
              <w:t>表</w:t>
            </w:r>
            <w:r>
              <w:rPr>
                <w:rFonts w:hint="eastAsia"/>
                <w:b/>
                <w:bCs/>
                <w:sz w:val="21"/>
                <w:szCs w:val="16"/>
                <w:lang w:val="en-US" w:eastAsia="zh-CN"/>
              </w:rPr>
              <w:t>2-18  项目油烟验收监测结果</w:t>
            </w:r>
          </w:p>
          <w:tbl>
            <w:tblPr>
              <w:tblStyle w:val="42"/>
              <w:tblW w:w="794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1"/>
              <w:gridCol w:w="900"/>
              <w:gridCol w:w="693"/>
              <w:gridCol w:w="807"/>
              <w:gridCol w:w="693"/>
              <w:gridCol w:w="638"/>
              <w:gridCol w:w="694"/>
              <w:gridCol w:w="731"/>
              <w:gridCol w:w="675"/>
              <w:gridCol w:w="680"/>
              <w:gridCol w:w="72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vMerge w:val="restart"/>
                  <w:tcBorders>
                    <w:tl2br w:val="nil"/>
                    <w:tr2bl w:val="nil"/>
                  </w:tcBorders>
                  <w:noWrap w:val="0"/>
                  <w:vAlign w:val="center"/>
                </w:tcPr>
                <w:p>
                  <w:pPr>
                    <w:pStyle w:val="165"/>
                    <w:bidi w:val="0"/>
                    <w:spacing w:line="240" w:lineRule="auto"/>
                    <w:rPr>
                      <w:rFonts w:hint="default"/>
                      <w:b/>
                      <w:bCs/>
                      <w:lang w:val="en-US" w:eastAsia="zh-CN"/>
                    </w:rPr>
                  </w:pPr>
                  <w:r>
                    <w:rPr>
                      <w:rFonts w:hint="eastAsia"/>
                      <w:b/>
                      <w:bCs/>
                      <w:lang w:val="en-US" w:eastAsia="zh-CN"/>
                    </w:rPr>
                    <w:t>监测时间</w:t>
                  </w:r>
                </w:p>
              </w:tc>
              <w:tc>
                <w:tcPr>
                  <w:tcW w:w="1593" w:type="dxa"/>
                  <w:gridSpan w:val="2"/>
                  <w:vMerge w:val="restart"/>
                  <w:tcBorders>
                    <w:tl2br w:val="nil"/>
                    <w:tr2bl w:val="nil"/>
                  </w:tcBorders>
                  <w:noWrap w:val="0"/>
                  <w:vAlign w:val="center"/>
                </w:tcPr>
                <w:p>
                  <w:pPr>
                    <w:pStyle w:val="165"/>
                    <w:bidi w:val="0"/>
                    <w:spacing w:line="240" w:lineRule="auto"/>
                    <w:rPr>
                      <w:rFonts w:hint="eastAsia"/>
                      <w:b/>
                      <w:bCs/>
                      <w:lang w:val="en-US" w:eastAsia="zh-CN"/>
                    </w:rPr>
                  </w:pPr>
                  <w:r>
                    <w:rPr>
                      <w:rFonts w:hint="eastAsia"/>
                      <w:b/>
                      <w:bCs/>
                      <w:lang w:val="en-US" w:eastAsia="zh-CN"/>
                    </w:rPr>
                    <w:t>点位信息</w:t>
                  </w:r>
                </w:p>
              </w:tc>
              <w:tc>
                <w:tcPr>
                  <w:tcW w:w="807" w:type="dxa"/>
                  <w:vMerge w:val="restart"/>
                  <w:tcBorders>
                    <w:tl2br w:val="nil"/>
                    <w:tr2bl w:val="nil"/>
                  </w:tcBorders>
                  <w:noWrap w:val="0"/>
                  <w:vAlign w:val="center"/>
                </w:tcPr>
                <w:p>
                  <w:pPr>
                    <w:pStyle w:val="165"/>
                    <w:bidi w:val="0"/>
                    <w:spacing w:line="240" w:lineRule="auto"/>
                    <w:rPr>
                      <w:rFonts w:hint="eastAsia"/>
                      <w:b/>
                      <w:bCs/>
                      <w:lang w:val="en-US" w:eastAsia="zh-CN"/>
                    </w:rPr>
                  </w:pPr>
                  <w:r>
                    <w:rPr>
                      <w:rFonts w:hint="eastAsia"/>
                      <w:b/>
                      <w:bCs/>
                      <w:lang w:val="en-US" w:eastAsia="zh-CN"/>
                    </w:rPr>
                    <w:t>监测项目</w:t>
                  </w:r>
                </w:p>
              </w:tc>
              <w:tc>
                <w:tcPr>
                  <w:tcW w:w="4111" w:type="dxa"/>
                  <w:gridSpan w:val="6"/>
                  <w:tcBorders>
                    <w:tl2br w:val="nil"/>
                    <w:tr2bl w:val="nil"/>
                  </w:tcBorders>
                  <w:noWrap w:val="0"/>
                  <w:vAlign w:val="center"/>
                </w:tcPr>
                <w:p>
                  <w:pPr>
                    <w:pStyle w:val="165"/>
                    <w:bidi w:val="0"/>
                    <w:spacing w:line="240" w:lineRule="auto"/>
                    <w:rPr>
                      <w:rFonts w:hint="eastAsia"/>
                      <w:b/>
                      <w:bCs/>
                      <w:lang w:val="en-US" w:eastAsia="zh-CN"/>
                    </w:rPr>
                  </w:pPr>
                  <w:r>
                    <w:rPr>
                      <w:rFonts w:hint="eastAsia"/>
                      <w:b/>
                      <w:bCs/>
                      <w:lang w:val="en-US" w:eastAsia="zh-CN"/>
                    </w:rPr>
                    <w:t>监测结果</w:t>
                  </w:r>
                </w:p>
              </w:tc>
              <w:tc>
                <w:tcPr>
                  <w:tcW w:w="723" w:type="dxa"/>
                  <w:vMerge w:val="restart"/>
                  <w:tcBorders>
                    <w:tl2br w:val="nil"/>
                    <w:tr2bl w:val="nil"/>
                  </w:tcBorders>
                  <w:noWrap w:val="0"/>
                  <w:vAlign w:val="center"/>
                </w:tcPr>
                <w:p>
                  <w:pPr>
                    <w:pStyle w:val="165"/>
                    <w:bidi w:val="0"/>
                    <w:spacing w:line="240" w:lineRule="auto"/>
                    <w:rPr>
                      <w:rFonts w:hint="eastAsia"/>
                      <w:b/>
                      <w:bCs/>
                      <w:lang w:val="en-US" w:eastAsia="zh-CN"/>
                    </w:rPr>
                  </w:pPr>
                  <w:r>
                    <w:rPr>
                      <w:rFonts w:hint="eastAsia"/>
                      <w:b/>
                      <w:bCs/>
                      <w:lang w:val="en-US" w:eastAsia="zh-CN"/>
                    </w:rPr>
                    <w:t>排放限值（mg/m</w:t>
                  </w:r>
                  <w:r>
                    <w:rPr>
                      <w:rFonts w:hint="eastAsia"/>
                      <w:b/>
                      <w:bCs/>
                      <w:vertAlign w:val="superscript"/>
                      <w:lang w:val="en-US" w:eastAsia="zh-CN"/>
                    </w:rPr>
                    <w:t>3</w:t>
                  </w:r>
                  <w:r>
                    <w:rPr>
                      <w:rFonts w:hint="eastAsia"/>
                      <w:b/>
                      <w:bCs/>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1593" w:type="dxa"/>
                  <w:gridSpan w:val="2"/>
                  <w:vMerge w:val="continue"/>
                  <w:tcBorders>
                    <w:tl2br w:val="nil"/>
                    <w:tr2bl w:val="nil"/>
                  </w:tcBorders>
                  <w:noWrap w:val="0"/>
                  <w:vAlign w:val="center"/>
                </w:tcPr>
                <w:p>
                  <w:pPr>
                    <w:pStyle w:val="165"/>
                    <w:bidi w:val="0"/>
                    <w:spacing w:line="240" w:lineRule="auto"/>
                    <w:rPr>
                      <w:rFonts w:hint="eastAsia"/>
                      <w:lang w:val="en-US" w:eastAsia="zh-CN"/>
                    </w:rPr>
                  </w:pPr>
                </w:p>
              </w:tc>
              <w:tc>
                <w:tcPr>
                  <w:tcW w:w="807"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93" w:type="dxa"/>
                  <w:tcBorders>
                    <w:tl2br w:val="nil"/>
                    <w:tr2bl w:val="nil"/>
                  </w:tcBorders>
                  <w:noWrap w:val="0"/>
                  <w:vAlign w:val="center"/>
                </w:tcPr>
                <w:p>
                  <w:pPr>
                    <w:pStyle w:val="165"/>
                    <w:bidi w:val="0"/>
                    <w:spacing w:line="240" w:lineRule="auto"/>
                    <w:rPr>
                      <w:rFonts w:hint="eastAsia"/>
                      <w:b/>
                      <w:bCs/>
                      <w:lang w:val="en-US" w:eastAsia="zh-CN"/>
                    </w:rPr>
                  </w:pPr>
                  <w:r>
                    <w:rPr>
                      <w:rFonts w:hint="eastAsia"/>
                      <w:b/>
                      <w:bCs/>
                      <w:lang w:val="en-US" w:eastAsia="zh-CN"/>
                    </w:rPr>
                    <w:t>一次</w:t>
                  </w:r>
                </w:p>
              </w:tc>
              <w:tc>
                <w:tcPr>
                  <w:tcW w:w="638" w:type="dxa"/>
                  <w:tcBorders>
                    <w:tl2br w:val="nil"/>
                    <w:tr2bl w:val="nil"/>
                  </w:tcBorders>
                  <w:noWrap w:val="0"/>
                  <w:vAlign w:val="center"/>
                </w:tcPr>
                <w:p>
                  <w:pPr>
                    <w:pStyle w:val="165"/>
                    <w:bidi w:val="0"/>
                    <w:spacing w:line="240" w:lineRule="auto"/>
                    <w:rPr>
                      <w:rFonts w:hint="eastAsia"/>
                      <w:b/>
                      <w:bCs/>
                      <w:lang w:val="en-US" w:eastAsia="zh-CN"/>
                    </w:rPr>
                  </w:pPr>
                  <w:r>
                    <w:rPr>
                      <w:rFonts w:hint="eastAsia"/>
                      <w:b/>
                      <w:bCs/>
                      <w:lang w:val="en-US" w:eastAsia="zh-CN"/>
                    </w:rPr>
                    <w:t>二次</w:t>
                  </w:r>
                </w:p>
              </w:tc>
              <w:tc>
                <w:tcPr>
                  <w:tcW w:w="694" w:type="dxa"/>
                  <w:tcBorders>
                    <w:tl2br w:val="nil"/>
                    <w:tr2bl w:val="nil"/>
                  </w:tcBorders>
                  <w:noWrap w:val="0"/>
                  <w:vAlign w:val="center"/>
                </w:tcPr>
                <w:p>
                  <w:pPr>
                    <w:pStyle w:val="165"/>
                    <w:bidi w:val="0"/>
                    <w:spacing w:line="240" w:lineRule="auto"/>
                    <w:rPr>
                      <w:rFonts w:hint="eastAsia"/>
                      <w:b/>
                      <w:bCs/>
                      <w:lang w:val="en-US" w:eastAsia="zh-CN"/>
                    </w:rPr>
                  </w:pPr>
                  <w:r>
                    <w:rPr>
                      <w:rFonts w:hint="eastAsia"/>
                      <w:b/>
                      <w:bCs/>
                      <w:lang w:val="en-US" w:eastAsia="zh-CN"/>
                    </w:rPr>
                    <w:t>三次</w:t>
                  </w:r>
                </w:p>
              </w:tc>
              <w:tc>
                <w:tcPr>
                  <w:tcW w:w="731" w:type="dxa"/>
                  <w:tcBorders>
                    <w:tl2br w:val="nil"/>
                    <w:tr2bl w:val="nil"/>
                  </w:tcBorders>
                  <w:noWrap w:val="0"/>
                  <w:vAlign w:val="center"/>
                </w:tcPr>
                <w:p>
                  <w:pPr>
                    <w:pStyle w:val="165"/>
                    <w:bidi w:val="0"/>
                    <w:spacing w:line="240" w:lineRule="auto"/>
                    <w:rPr>
                      <w:rFonts w:hint="eastAsia"/>
                      <w:b/>
                      <w:bCs/>
                      <w:lang w:val="en-US" w:eastAsia="zh-CN"/>
                    </w:rPr>
                  </w:pPr>
                  <w:r>
                    <w:rPr>
                      <w:rFonts w:hint="eastAsia"/>
                      <w:b/>
                      <w:bCs/>
                      <w:lang w:val="en-US" w:eastAsia="zh-CN"/>
                    </w:rPr>
                    <w:t>四次</w:t>
                  </w:r>
                </w:p>
              </w:tc>
              <w:tc>
                <w:tcPr>
                  <w:tcW w:w="675" w:type="dxa"/>
                  <w:tcBorders>
                    <w:tl2br w:val="nil"/>
                    <w:tr2bl w:val="nil"/>
                  </w:tcBorders>
                  <w:noWrap w:val="0"/>
                  <w:vAlign w:val="center"/>
                </w:tcPr>
                <w:p>
                  <w:pPr>
                    <w:pStyle w:val="165"/>
                    <w:bidi w:val="0"/>
                    <w:spacing w:line="240" w:lineRule="auto"/>
                    <w:rPr>
                      <w:rFonts w:hint="eastAsia"/>
                      <w:b/>
                      <w:bCs/>
                      <w:lang w:val="en-US" w:eastAsia="zh-CN"/>
                    </w:rPr>
                  </w:pPr>
                  <w:r>
                    <w:rPr>
                      <w:rFonts w:hint="eastAsia"/>
                      <w:b/>
                      <w:bCs/>
                      <w:lang w:val="en-US" w:eastAsia="zh-CN"/>
                    </w:rPr>
                    <w:t>五次</w:t>
                  </w:r>
                </w:p>
              </w:tc>
              <w:tc>
                <w:tcPr>
                  <w:tcW w:w="680" w:type="dxa"/>
                  <w:tcBorders>
                    <w:tl2br w:val="nil"/>
                    <w:tr2bl w:val="nil"/>
                  </w:tcBorders>
                  <w:noWrap w:val="0"/>
                  <w:vAlign w:val="center"/>
                </w:tcPr>
                <w:p>
                  <w:pPr>
                    <w:pStyle w:val="165"/>
                    <w:bidi w:val="0"/>
                    <w:spacing w:line="240" w:lineRule="auto"/>
                    <w:rPr>
                      <w:rFonts w:hint="eastAsia"/>
                      <w:b/>
                      <w:bCs/>
                      <w:lang w:val="en-US" w:eastAsia="zh-CN"/>
                    </w:rPr>
                  </w:pPr>
                  <w:r>
                    <w:rPr>
                      <w:rFonts w:hint="eastAsia"/>
                      <w:b/>
                      <w:bCs/>
                      <w:lang w:val="en-US" w:eastAsia="zh-CN"/>
                    </w:rPr>
                    <w:t>平均</w:t>
                  </w:r>
                </w:p>
              </w:tc>
              <w:tc>
                <w:tcPr>
                  <w:tcW w:w="723" w:type="dxa"/>
                  <w:vMerge w:val="continue"/>
                  <w:tcBorders>
                    <w:tl2br w:val="nil"/>
                    <w:tr2bl w:val="nil"/>
                  </w:tcBorders>
                  <w:noWrap w:val="0"/>
                  <w:vAlign w:val="center"/>
                </w:tcPr>
                <w:p>
                  <w:pPr>
                    <w:pStyle w:val="165"/>
                    <w:bidi w:val="0"/>
                    <w:spacing w:line="240" w:lineRule="auto"/>
                    <w:rPr>
                      <w:rFonts w:hint="eastAsia"/>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2018.05.24</w:t>
                  </w:r>
                </w:p>
              </w:tc>
              <w:tc>
                <w:tcPr>
                  <w:tcW w:w="900" w:type="dxa"/>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基本灶头数N（个）</w:t>
                  </w:r>
                </w:p>
              </w:tc>
              <w:tc>
                <w:tcPr>
                  <w:tcW w:w="693" w:type="dxa"/>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2</w:t>
                  </w:r>
                </w:p>
              </w:tc>
              <w:tc>
                <w:tcPr>
                  <w:tcW w:w="807" w:type="dxa"/>
                  <w:vMerge w:val="restart"/>
                  <w:tcBorders>
                    <w:tl2br w:val="nil"/>
                    <w:tr2bl w:val="nil"/>
                  </w:tcBorders>
                  <w:noWrap w:val="0"/>
                  <w:vAlign w:val="center"/>
                </w:tcPr>
                <w:p>
                  <w:pPr>
                    <w:pStyle w:val="165"/>
                    <w:bidi w:val="0"/>
                    <w:spacing w:line="240" w:lineRule="auto"/>
                    <w:rPr>
                      <w:rFonts w:hint="default"/>
                      <w:vertAlign w:val="baseline"/>
                      <w:lang w:val="en-US" w:eastAsia="zh-CN"/>
                    </w:rPr>
                  </w:pPr>
                  <w:r>
                    <w:rPr>
                      <w:rFonts w:hint="eastAsia"/>
                      <w:lang w:val="en-US" w:eastAsia="zh-CN"/>
                    </w:rPr>
                    <w:t>烟气流量m</w:t>
                  </w:r>
                  <w:r>
                    <w:rPr>
                      <w:rFonts w:hint="eastAsia"/>
                      <w:vertAlign w:val="superscript"/>
                      <w:lang w:val="en-US" w:eastAsia="zh-CN"/>
                    </w:rPr>
                    <w:t>3</w:t>
                  </w:r>
                  <w:r>
                    <w:rPr>
                      <w:rFonts w:hint="eastAsia"/>
                      <w:vertAlign w:val="baseline"/>
                      <w:lang w:val="en-US" w:eastAsia="zh-CN"/>
                    </w:rPr>
                    <w:t>/h</w:t>
                  </w:r>
                </w:p>
              </w:tc>
              <w:tc>
                <w:tcPr>
                  <w:tcW w:w="693"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2534</w:t>
                  </w:r>
                </w:p>
              </w:tc>
              <w:tc>
                <w:tcPr>
                  <w:tcW w:w="638"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2396</w:t>
                  </w:r>
                </w:p>
              </w:tc>
              <w:tc>
                <w:tcPr>
                  <w:tcW w:w="694"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2709</w:t>
                  </w:r>
                </w:p>
              </w:tc>
              <w:tc>
                <w:tcPr>
                  <w:tcW w:w="731"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2593</w:t>
                  </w:r>
                </w:p>
              </w:tc>
              <w:tc>
                <w:tcPr>
                  <w:tcW w:w="675"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2504</w:t>
                  </w:r>
                </w:p>
              </w:tc>
              <w:tc>
                <w:tcPr>
                  <w:tcW w:w="680"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2547</w:t>
                  </w:r>
                </w:p>
              </w:tc>
              <w:tc>
                <w:tcPr>
                  <w:tcW w:w="723"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900" w:type="dxa"/>
                  <w:tcBorders>
                    <w:tl2br w:val="nil"/>
                    <w:tr2bl w:val="nil"/>
                  </w:tcBorders>
                  <w:noWrap w:val="0"/>
                  <w:vAlign w:val="center"/>
                </w:tcPr>
                <w:p>
                  <w:pPr>
                    <w:pStyle w:val="165"/>
                    <w:bidi w:val="0"/>
                    <w:spacing w:line="240" w:lineRule="auto"/>
                    <w:rPr>
                      <w:rFonts w:hint="eastAsia"/>
                      <w:lang w:val="en-US" w:eastAsia="zh-CN"/>
                    </w:rPr>
                  </w:pPr>
                  <w:r>
                    <w:rPr>
                      <w:rFonts w:hint="eastAsia"/>
                      <w:lang w:val="en-US" w:eastAsia="zh-CN"/>
                    </w:rPr>
                    <w:t>灶台规模</w:t>
                  </w:r>
                </w:p>
              </w:tc>
              <w:tc>
                <w:tcPr>
                  <w:tcW w:w="693" w:type="dxa"/>
                  <w:tcBorders>
                    <w:tl2br w:val="nil"/>
                    <w:tr2bl w:val="nil"/>
                  </w:tcBorders>
                  <w:noWrap w:val="0"/>
                  <w:vAlign w:val="center"/>
                </w:tcPr>
                <w:p>
                  <w:pPr>
                    <w:pStyle w:val="165"/>
                    <w:bidi w:val="0"/>
                    <w:spacing w:line="240" w:lineRule="auto"/>
                    <w:rPr>
                      <w:rFonts w:hint="eastAsia"/>
                      <w:lang w:val="en-US" w:eastAsia="zh-CN"/>
                    </w:rPr>
                  </w:pPr>
                  <w:r>
                    <w:rPr>
                      <w:rFonts w:hint="eastAsia"/>
                      <w:lang w:val="en-US" w:eastAsia="zh-CN"/>
                    </w:rPr>
                    <w:t>小型</w:t>
                  </w:r>
                </w:p>
              </w:tc>
              <w:tc>
                <w:tcPr>
                  <w:tcW w:w="807"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93"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38"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94"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731"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75"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80"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723" w:type="dxa"/>
                  <w:vMerge w:val="continue"/>
                  <w:tcBorders>
                    <w:tl2br w:val="nil"/>
                    <w:tr2bl w:val="nil"/>
                  </w:tcBorders>
                  <w:noWrap w:val="0"/>
                  <w:vAlign w:val="center"/>
                </w:tcPr>
                <w:p>
                  <w:pPr>
                    <w:pStyle w:val="165"/>
                    <w:bidi w:val="0"/>
                    <w:spacing w:line="240" w:lineRule="auto"/>
                    <w:rPr>
                      <w:rFonts w:hint="eastAsia"/>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900" w:type="dxa"/>
                  <w:tcBorders>
                    <w:tl2br w:val="nil"/>
                    <w:tr2bl w:val="nil"/>
                  </w:tcBorders>
                  <w:noWrap w:val="0"/>
                  <w:vAlign w:val="center"/>
                </w:tcPr>
                <w:p>
                  <w:pPr>
                    <w:pStyle w:val="165"/>
                    <w:bidi w:val="0"/>
                    <w:spacing w:line="240" w:lineRule="auto"/>
                    <w:rPr>
                      <w:rFonts w:hint="eastAsia"/>
                      <w:lang w:val="en-US" w:eastAsia="zh-CN"/>
                    </w:rPr>
                  </w:pPr>
                  <w:r>
                    <w:rPr>
                      <w:rFonts w:hint="eastAsia"/>
                      <w:lang w:val="en-US" w:eastAsia="zh-CN"/>
                    </w:rPr>
                    <w:t>烟温（</w:t>
                  </w:r>
                  <w:r>
                    <w:rPr>
                      <w:rFonts w:hint="eastAsia" w:ascii="汉仪中等线B5" w:hAnsi="汉仪中等线B5" w:eastAsia="汉仪中等线B5" w:cs="汉仪中等线B5"/>
                      <w:lang w:val="en-US" w:eastAsia="zh-CN"/>
                    </w:rPr>
                    <w:t>℃</w:t>
                  </w:r>
                  <w:r>
                    <w:rPr>
                      <w:rFonts w:hint="eastAsia"/>
                      <w:lang w:val="en-US" w:eastAsia="zh-CN"/>
                    </w:rPr>
                    <w:t>）</w:t>
                  </w:r>
                </w:p>
              </w:tc>
              <w:tc>
                <w:tcPr>
                  <w:tcW w:w="693" w:type="dxa"/>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41</w:t>
                  </w:r>
                </w:p>
              </w:tc>
              <w:tc>
                <w:tcPr>
                  <w:tcW w:w="807"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93"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38"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94"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731"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75"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80"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723" w:type="dxa"/>
                  <w:vMerge w:val="continue"/>
                  <w:tcBorders>
                    <w:tl2br w:val="nil"/>
                    <w:tr2bl w:val="nil"/>
                  </w:tcBorders>
                  <w:noWrap w:val="0"/>
                  <w:vAlign w:val="center"/>
                </w:tcPr>
                <w:p>
                  <w:pPr>
                    <w:pStyle w:val="165"/>
                    <w:bidi w:val="0"/>
                    <w:spacing w:line="240" w:lineRule="auto"/>
                    <w:rPr>
                      <w:rFonts w:hint="eastAsia"/>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900" w:type="dxa"/>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含湿量%</w:t>
                  </w:r>
                </w:p>
              </w:tc>
              <w:tc>
                <w:tcPr>
                  <w:tcW w:w="693" w:type="dxa"/>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4.5</w:t>
                  </w:r>
                </w:p>
              </w:tc>
              <w:tc>
                <w:tcPr>
                  <w:tcW w:w="807" w:type="dxa"/>
                  <w:vMerge w:val="restart"/>
                  <w:tcBorders>
                    <w:tl2br w:val="nil"/>
                    <w:tr2bl w:val="nil"/>
                  </w:tcBorders>
                  <w:noWrap w:val="0"/>
                  <w:vAlign w:val="center"/>
                </w:tcPr>
                <w:p>
                  <w:pPr>
                    <w:pStyle w:val="165"/>
                    <w:bidi w:val="0"/>
                    <w:spacing w:line="240" w:lineRule="auto"/>
                    <w:rPr>
                      <w:rFonts w:hint="eastAsia"/>
                      <w:lang w:val="en-US" w:eastAsia="zh-CN"/>
                    </w:rPr>
                  </w:pPr>
                  <w:r>
                    <w:rPr>
                      <w:rFonts w:hint="eastAsia"/>
                      <w:lang w:val="en-US" w:eastAsia="zh-CN"/>
                    </w:rPr>
                    <w:t>排放浓度mg/m</w:t>
                  </w:r>
                  <w:r>
                    <w:rPr>
                      <w:rFonts w:hint="eastAsia"/>
                      <w:vertAlign w:val="superscript"/>
                      <w:lang w:val="en-US" w:eastAsia="zh-CN"/>
                    </w:rPr>
                    <w:t>3</w:t>
                  </w:r>
                </w:p>
              </w:tc>
              <w:tc>
                <w:tcPr>
                  <w:tcW w:w="693"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1.07</w:t>
                  </w:r>
                </w:p>
              </w:tc>
              <w:tc>
                <w:tcPr>
                  <w:tcW w:w="638"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1.13</w:t>
                  </w:r>
                </w:p>
              </w:tc>
              <w:tc>
                <w:tcPr>
                  <w:tcW w:w="694"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1.08</w:t>
                  </w:r>
                </w:p>
              </w:tc>
              <w:tc>
                <w:tcPr>
                  <w:tcW w:w="731"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1.11</w:t>
                  </w:r>
                </w:p>
              </w:tc>
              <w:tc>
                <w:tcPr>
                  <w:tcW w:w="675"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1.09</w:t>
                  </w:r>
                </w:p>
              </w:tc>
              <w:tc>
                <w:tcPr>
                  <w:tcW w:w="680"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1.10</w:t>
                  </w:r>
                </w:p>
              </w:tc>
              <w:tc>
                <w:tcPr>
                  <w:tcW w:w="723"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900" w:type="dxa"/>
                  <w:tcBorders>
                    <w:tl2br w:val="nil"/>
                    <w:tr2bl w:val="nil"/>
                  </w:tcBorders>
                  <w:noWrap w:val="0"/>
                  <w:vAlign w:val="center"/>
                </w:tcPr>
                <w:p>
                  <w:pPr>
                    <w:pStyle w:val="165"/>
                    <w:bidi w:val="0"/>
                    <w:spacing w:line="240" w:lineRule="auto"/>
                    <w:rPr>
                      <w:rFonts w:hint="eastAsia" w:ascii="Times New Roman" w:hAnsi="Times New Roman" w:eastAsia="宋体" w:cs="Times New Roman"/>
                      <w:sz w:val="21"/>
                      <w:lang w:val="en-US" w:eastAsia="zh-CN" w:bidi="ar-SA"/>
                    </w:rPr>
                  </w:pPr>
                  <w:r>
                    <w:rPr>
                      <w:rFonts w:hint="eastAsia"/>
                      <w:lang w:val="en-US" w:eastAsia="zh-CN"/>
                    </w:rPr>
                    <w:t>采样嘴mm</w:t>
                  </w:r>
                </w:p>
              </w:tc>
              <w:tc>
                <w:tcPr>
                  <w:tcW w:w="693" w:type="dxa"/>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8</w:t>
                  </w:r>
                </w:p>
              </w:tc>
              <w:tc>
                <w:tcPr>
                  <w:tcW w:w="807"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93"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38"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94"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731"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75"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80"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723" w:type="dxa"/>
                  <w:vMerge w:val="continue"/>
                  <w:tcBorders>
                    <w:tl2br w:val="nil"/>
                    <w:tr2bl w:val="nil"/>
                  </w:tcBorders>
                  <w:noWrap w:val="0"/>
                  <w:vAlign w:val="center"/>
                </w:tcPr>
                <w:p>
                  <w:pPr>
                    <w:pStyle w:val="165"/>
                    <w:bidi w:val="0"/>
                    <w:spacing w:line="240" w:lineRule="auto"/>
                    <w:rPr>
                      <w:rFonts w:hint="eastAsia"/>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900" w:type="dxa"/>
                  <w:tcBorders>
                    <w:tl2br w:val="nil"/>
                    <w:tr2bl w:val="nil"/>
                  </w:tcBorders>
                  <w:noWrap w:val="0"/>
                  <w:vAlign w:val="center"/>
                </w:tcPr>
                <w:p>
                  <w:pPr>
                    <w:pStyle w:val="165"/>
                    <w:bidi w:val="0"/>
                    <w:spacing w:line="240" w:lineRule="auto"/>
                    <w:rPr>
                      <w:rFonts w:hint="eastAsia" w:ascii="Times New Roman" w:hAnsi="Times New Roman" w:eastAsia="宋体" w:cs="Times New Roman"/>
                      <w:sz w:val="21"/>
                      <w:lang w:val="en-US" w:eastAsia="zh-CN" w:bidi="ar-SA"/>
                    </w:rPr>
                  </w:pPr>
                  <w:r>
                    <w:rPr>
                      <w:rFonts w:hint="eastAsia"/>
                      <w:lang w:val="en-US" w:eastAsia="zh-CN"/>
                    </w:rPr>
                    <w:t>检测断面面积（m</w:t>
                  </w:r>
                  <w:r>
                    <w:rPr>
                      <w:rFonts w:hint="eastAsia"/>
                      <w:vertAlign w:val="superscript"/>
                      <w:lang w:val="en-US" w:eastAsia="zh-CN"/>
                    </w:rPr>
                    <w:t>2</w:t>
                  </w:r>
                  <w:r>
                    <w:rPr>
                      <w:rFonts w:hint="eastAsia"/>
                      <w:lang w:val="en-US" w:eastAsia="zh-CN"/>
                    </w:rPr>
                    <w:t>）</w:t>
                  </w:r>
                </w:p>
              </w:tc>
              <w:tc>
                <w:tcPr>
                  <w:tcW w:w="693" w:type="dxa"/>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0.071</w:t>
                  </w:r>
                </w:p>
              </w:tc>
              <w:tc>
                <w:tcPr>
                  <w:tcW w:w="807"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93"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38"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94"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731"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75"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80"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723" w:type="dxa"/>
                  <w:vMerge w:val="continue"/>
                  <w:tcBorders>
                    <w:tl2br w:val="nil"/>
                    <w:tr2bl w:val="nil"/>
                  </w:tcBorders>
                  <w:noWrap w:val="0"/>
                  <w:vAlign w:val="center"/>
                </w:tcPr>
                <w:p>
                  <w:pPr>
                    <w:pStyle w:val="165"/>
                    <w:bidi w:val="0"/>
                    <w:spacing w:line="240" w:lineRule="auto"/>
                    <w:rPr>
                      <w:rFonts w:hint="eastAsia"/>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2018.05.25</w:t>
                  </w:r>
                </w:p>
              </w:tc>
              <w:tc>
                <w:tcPr>
                  <w:tcW w:w="900" w:type="dxa"/>
                  <w:tcBorders>
                    <w:tl2br w:val="nil"/>
                    <w:tr2bl w:val="nil"/>
                  </w:tcBorders>
                  <w:noWrap w:val="0"/>
                  <w:vAlign w:val="center"/>
                </w:tcPr>
                <w:p>
                  <w:pPr>
                    <w:pStyle w:val="165"/>
                    <w:bidi w:val="0"/>
                    <w:spacing w:line="240" w:lineRule="auto"/>
                    <w:rPr>
                      <w:rFonts w:hint="eastAsia" w:ascii="Times New Roman" w:hAnsi="Times New Roman" w:eastAsia="宋体" w:cs="Times New Roman"/>
                      <w:sz w:val="21"/>
                      <w:lang w:val="en-US" w:eastAsia="zh-CN" w:bidi="ar-SA"/>
                    </w:rPr>
                  </w:pPr>
                  <w:r>
                    <w:rPr>
                      <w:rFonts w:hint="eastAsia"/>
                      <w:lang w:val="en-US" w:eastAsia="zh-CN"/>
                    </w:rPr>
                    <w:t>基本灶头数N（个）</w:t>
                  </w:r>
                </w:p>
              </w:tc>
              <w:tc>
                <w:tcPr>
                  <w:tcW w:w="693" w:type="dxa"/>
                  <w:tcBorders>
                    <w:tl2br w:val="nil"/>
                    <w:tr2bl w:val="nil"/>
                  </w:tcBorders>
                  <w:noWrap w:val="0"/>
                  <w:vAlign w:val="center"/>
                </w:tcPr>
                <w:p>
                  <w:pPr>
                    <w:pStyle w:val="165"/>
                    <w:bidi w:val="0"/>
                    <w:spacing w:line="240" w:lineRule="auto"/>
                    <w:rPr>
                      <w:rFonts w:hint="eastAsia" w:ascii="Times New Roman" w:hAnsi="Times New Roman" w:eastAsia="宋体" w:cs="Times New Roman"/>
                      <w:sz w:val="21"/>
                      <w:lang w:val="en-US" w:eastAsia="zh-CN" w:bidi="ar-SA"/>
                    </w:rPr>
                  </w:pPr>
                  <w:r>
                    <w:rPr>
                      <w:rFonts w:hint="eastAsia"/>
                      <w:lang w:val="en-US" w:eastAsia="zh-CN"/>
                    </w:rPr>
                    <w:t>2</w:t>
                  </w:r>
                </w:p>
              </w:tc>
              <w:tc>
                <w:tcPr>
                  <w:tcW w:w="807" w:type="dxa"/>
                  <w:vMerge w:val="restart"/>
                  <w:tcBorders>
                    <w:tl2br w:val="nil"/>
                    <w:tr2bl w:val="nil"/>
                  </w:tcBorders>
                  <w:noWrap w:val="0"/>
                  <w:vAlign w:val="center"/>
                </w:tcPr>
                <w:p>
                  <w:pPr>
                    <w:pStyle w:val="165"/>
                    <w:bidi w:val="0"/>
                    <w:spacing w:line="240" w:lineRule="auto"/>
                    <w:rPr>
                      <w:rFonts w:hint="default" w:ascii="Times New Roman" w:hAnsi="Times New Roman" w:eastAsia="宋体" w:cs="Times New Roman"/>
                      <w:sz w:val="21"/>
                      <w:vertAlign w:val="baseline"/>
                      <w:lang w:val="en-US" w:eastAsia="zh-CN" w:bidi="ar-SA"/>
                    </w:rPr>
                  </w:pPr>
                  <w:r>
                    <w:rPr>
                      <w:rFonts w:hint="eastAsia"/>
                      <w:lang w:val="en-US" w:eastAsia="zh-CN"/>
                    </w:rPr>
                    <w:t>烟气流量m</w:t>
                  </w:r>
                  <w:r>
                    <w:rPr>
                      <w:rFonts w:hint="eastAsia"/>
                      <w:vertAlign w:val="superscript"/>
                      <w:lang w:val="en-US" w:eastAsia="zh-CN"/>
                    </w:rPr>
                    <w:t>3</w:t>
                  </w:r>
                  <w:r>
                    <w:rPr>
                      <w:rFonts w:hint="eastAsia"/>
                      <w:vertAlign w:val="baseline"/>
                      <w:lang w:val="en-US" w:eastAsia="zh-CN"/>
                    </w:rPr>
                    <w:t>/h</w:t>
                  </w:r>
                </w:p>
                <w:p>
                  <w:pPr>
                    <w:pStyle w:val="165"/>
                    <w:bidi w:val="0"/>
                    <w:spacing w:line="240" w:lineRule="auto"/>
                    <w:rPr>
                      <w:rFonts w:hint="eastAsia"/>
                      <w:lang w:val="en-US" w:eastAsia="zh-CN"/>
                    </w:rPr>
                  </w:pPr>
                </w:p>
              </w:tc>
              <w:tc>
                <w:tcPr>
                  <w:tcW w:w="693"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2718</w:t>
                  </w:r>
                </w:p>
              </w:tc>
              <w:tc>
                <w:tcPr>
                  <w:tcW w:w="638"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2518</w:t>
                  </w:r>
                </w:p>
              </w:tc>
              <w:tc>
                <w:tcPr>
                  <w:tcW w:w="694"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2588</w:t>
                  </w:r>
                </w:p>
              </w:tc>
              <w:tc>
                <w:tcPr>
                  <w:tcW w:w="731"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2639</w:t>
                  </w:r>
                </w:p>
              </w:tc>
              <w:tc>
                <w:tcPr>
                  <w:tcW w:w="675"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3407</w:t>
                  </w:r>
                </w:p>
              </w:tc>
              <w:tc>
                <w:tcPr>
                  <w:tcW w:w="680"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2774</w:t>
                  </w:r>
                </w:p>
              </w:tc>
              <w:tc>
                <w:tcPr>
                  <w:tcW w:w="723"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900" w:type="dxa"/>
                  <w:tcBorders>
                    <w:tl2br w:val="nil"/>
                    <w:tr2bl w:val="nil"/>
                  </w:tcBorders>
                  <w:noWrap w:val="0"/>
                  <w:vAlign w:val="center"/>
                </w:tcPr>
                <w:p>
                  <w:pPr>
                    <w:pStyle w:val="165"/>
                    <w:bidi w:val="0"/>
                    <w:spacing w:line="240" w:lineRule="auto"/>
                    <w:rPr>
                      <w:rFonts w:hint="eastAsia" w:ascii="Times New Roman" w:hAnsi="Times New Roman" w:eastAsia="宋体" w:cs="Times New Roman"/>
                      <w:sz w:val="21"/>
                      <w:lang w:val="en-US" w:eastAsia="zh-CN" w:bidi="ar-SA"/>
                    </w:rPr>
                  </w:pPr>
                  <w:r>
                    <w:rPr>
                      <w:rFonts w:hint="eastAsia"/>
                      <w:lang w:val="en-US" w:eastAsia="zh-CN"/>
                    </w:rPr>
                    <w:t>灶台规模</w:t>
                  </w:r>
                </w:p>
              </w:tc>
              <w:tc>
                <w:tcPr>
                  <w:tcW w:w="693" w:type="dxa"/>
                  <w:tcBorders>
                    <w:tl2br w:val="nil"/>
                    <w:tr2bl w:val="nil"/>
                  </w:tcBorders>
                  <w:noWrap w:val="0"/>
                  <w:vAlign w:val="center"/>
                </w:tcPr>
                <w:p>
                  <w:pPr>
                    <w:pStyle w:val="165"/>
                    <w:bidi w:val="0"/>
                    <w:spacing w:line="240" w:lineRule="auto"/>
                    <w:rPr>
                      <w:rFonts w:hint="eastAsia" w:ascii="Times New Roman" w:hAnsi="Times New Roman" w:eastAsia="宋体" w:cs="Times New Roman"/>
                      <w:sz w:val="21"/>
                      <w:lang w:val="en-US" w:eastAsia="zh-CN" w:bidi="ar-SA"/>
                    </w:rPr>
                  </w:pPr>
                  <w:r>
                    <w:rPr>
                      <w:rFonts w:hint="eastAsia"/>
                      <w:lang w:val="en-US" w:eastAsia="zh-CN"/>
                    </w:rPr>
                    <w:t>小型</w:t>
                  </w:r>
                </w:p>
              </w:tc>
              <w:tc>
                <w:tcPr>
                  <w:tcW w:w="807"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93"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38"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94"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731"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75"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80"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723" w:type="dxa"/>
                  <w:vMerge w:val="continue"/>
                  <w:tcBorders>
                    <w:tl2br w:val="nil"/>
                    <w:tr2bl w:val="nil"/>
                  </w:tcBorders>
                  <w:noWrap w:val="0"/>
                  <w:vAlign w:val="center"/>
                </w:tcPr>
                <w:p>
                  <w:pPr>
                    <w:pStyle w:val="165"/>
                    <w:bidi w:val="0"/>
                    <w:spacing w:line="240" w:lineRule="auto"/>
                    <w:rPr>
                      <w:rFonts w:hint="eastAsia"/>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900" w:type="dxa"/>
                  <w:tcBorders>
                    <w:tl2br w:val="nil"/>
                    <w:tr2bl w:val="nil"/>
                  </w:tcBorders>
                  <w:noWrap w:val="0"/>
                  <w:vAlign w:val="center"/>
                </w:tcPr>
                <w:p>
                  <w:pPr>
                    <w:pStyle w:val="165"/>
                    <w:bidi w:val="0"/>
                    <w:spacing w:line="240" w:lineRule="auto"/>
                    <w:rPr>
                      <w:rFonts w:hint="eastAsia" w:ascii="Times New Roman" w:hAnsi="Times New Roman" w:eastAsia="宋体" w:cs="Times New Roman"/>
                      <w:sz w:val="21"/>
                      <w:lang w:val="en-US" w:eastAsia="zh-CN" w:bidi="ar-SA"/>
                    </w:rPr>
                  </w:pPr>
                  <w:r>
                    <w:rPr>
                      <w:rFonts w:hint="eastAsia"/>
                      <w:lang w:val="en-US" w:eastAsia="zh-CN"/>
                    </w:rPr>
                    <w:t>烟温（</w:t>
                  </w:r>
                  <w:r>
                    <w:rPr>
                      <w:rFonts w:hint="eastAsia" w:ascii="汉仪中等线B5" w:hAnsi="汉仪中等线B5" w:eastAsia="汉仪中等线B5" w:cs="汉仪中等线B5"/>
                      <w:lang w:val="en-US" w:eastAsia="zh-CN"/>
                    </w:rPr>
                    <w:t>℃</w:t>
                  </w:r>
                  <w:r>
                    <w:rPr>
                      <w:rFonts w:hint="eastAsia"/>
                      <w:lang w:val="en-US" w:eastAsia="zh-CN"/>
                    </w:rPr>
                    <w:t>）</w:t>
                  </w:r>
                </w:p>
              </w:tc>
              <w:tc>
                <w:tcPr>
                  <w:tcW w:w="693" w:type="dxa"/>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42</w:t>
                  </w:r>
                </w:p>
              </w:tc>
              <w:tc>
                <w:tcPr>
                  <w:tcW w:w="807"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93"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38"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94"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731"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75"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80"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723" w:type="dxa"/>
                  <w:vMerge w:val="continue"/>
                  <w:tcBorders>
                    <w:tl2br w:val="nil"/>
                    <w:tr2bl w:val="nil"/>
                  </w:tcBorders>
                  <w:noWrap w:val="0"/>
                  <w:vAlign w:val="center"/>
                </w:tcPr>
                <w:p>
                  <w:pPr>
                    <w:pStyle w:val="165"/>
                    <w:bidi w:val="0"/>
                    <w:spacing w:line="240" w:lineRule="auto"/>
                    <w:rPr>
                      <w:rFonts w:hint="eastAsia"/>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711"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900" w:type="dxa"/>
                  <w:tcBorders>
                    <w:tl2br w:val="nil"/>
                    <w:tr2bl w:val="nil"/>
                  </w:tcBorders>
                  <w:noWrap w:val="0"/>
                  <w:vAlign w:val="center"/>
                </w:tcPr>
                <w:p>
                  <w:pPr>
                    <w:pStyle w:val="165"/>
                    <w:bidi w:val="0"/>
                    <w:spacing w:line="240" w:lineRule="auto"/>
                    <w:rPr>
                      <w:rFonts w:hint="eastAsia" w:ascii="Times New Roman" w:hAnsi="Times New Roman" w:eastAsia="宋体" w:cs="Times New Roman"/>
                      <w:sz w:val="21"/>
                      <w:lang w:val="en-US" w:eastAsia="zh-CN" w:bidi="ar-SA"/>
                    </w:rPr>
                  </w:pPr>
                  <w:r>
                    <w:rPr>
                      <w:rFonts w:hint="eastAsia"/>
                      <w:lang w:val="en-US" w:eastAsia="zh-CN"/>
                    </w:rPr>
                    <w:t>含湿量%</w:t>
                  </w:r>
                </w:p>
              </w:tc>
              <w:tc>
                <w:tcPr>
                  <w:tcW w:w="693" w:type="dxa"/>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4.4</w:t>
                  </w:r>
                </w:p>
              </w:tc>
              <w:tc>
                <w:tcPr>
                  <w:tcW w:w="807" w:type="dxa"/>
                  <w:vMerge w:val="restart"/>
                  <w:tcBorders>
                    <w:tl2br w:val="nil"/>
                    <w:tr2bl w:val="nil"/>
                  </w:tcBorders>
                  <w:noWrap w:val="0"/>
                  <w:vAlign w:val="center"/>
                </w:tcPr>
                <w:p>
                  <w:pPr>
                    <w:pStyle w:val="165"/>
                    <w:bidi w:val="0"/>
                    <w:spacing w:line="240" w:lineRule="auto"/>
                    <w:rPr>
                      <w:rFonts w:hint="eastAsia" w:ascii="Times New Roman" w:hAnsi="Times New Roman" w:eastAsia="宋体" w:cs="Times New Roman"/>
                      <w:sz w:val="21"/>
                      <w:lang w:val="en-US" w:eastAsia="zh-CN" w:bidi="ar-SA"/>
                    </w:rPr>
                  </w:pPr>
                  <w:r>
                    <w:rPr>
                      <w:rFonts w:hint="eastAsia"/>
                      <w:lang w:val="en-US" w:eastAsia="zh-CN"/>
                    </w:rPr>
                    <w:t>排放浓度mg/m</w:t>
                  </w:r>
                  <w:r>
                    <w:rPr>
                      <w:rFonts w:hint="eastAsia"/>
                      <w:vertAlign w:val="superscript"/>
                      <w:lang w:val="en-US" w:eastAsia="zh-CN"/>
                    </w:rPr>
                    <w:t>3</w:t>
                  </w:r>
                </w:p>
              </w:tc>
              <w:tc>
                <w:tcPr>
                  <w:tcW w:w="693"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0.89</w:t>
                  </w:r>
                </w:p>
              </w:tc>
              <w:tc>
                <w:tcPr>
                  <w:tcW w:w="638"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0.95</w:t>
                  </w:r>
                </w:p>
              </w:tc>
              <w:tc>
                <w:tcPr>
                  <w:tcW w:w="694"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0.95</w:t>
                  </w:r>
                </w:p>
              </w:tc>
              <w:tc>
                <w:tcPr>
                  <w:tcW w:w="731"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0.90</w:t>
                  </w:r>
                </w:p>
              </w:tc>
              <w:tc>
                <w:tcPr>
                  <w:tcW w:w="675"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1.43</w:t>
                  </w:r>
                </w:p>
              </w:tc>
              <w:tc>
                <w:tcPr>
                  <w:tcW w:w="680"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1.02</w:t>
                  </w:r>
                </w:p>
              </w:tc>
              <w:tc>
                <w:tcPr>
                  <w:tcW w:w="723" w:type="dxa"/>
                  <w:vMerge w:val="restart"/>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900" w:type="dxa"/>
                  <w:tcBorders>
                    <w:tl2br w:val="nil"/>
                    <w:tr2bl w:val="nil"/>
                  </w:tcBorders>
                  <w:noWrap w:val="0"/>
                  <w:vAlign w:val="center"/>
                </w:tcPr>
                <w:p>
                  <w:pPr>
                    <w:pStyle w:val="165"/>
                    <w:bidi w:val="0"/>
                    <w:spacing w:line="240" w:lineRule="auto"/>
                    <w:rPr>
                      <w:rFonts w:hint="eastAsia" w:ascii="Times New Roman" w:hAnsi="Times New Roman" w:eastAsia="宋体" w:cs="Times New Roman"/>
                      <w:sz w:val="21"/>
                      <w:lang w:val="en-US" w:eastAsia="zh-CN" w:bidi="ar-SA"/>
                    </w:rPr>
                  </w:pPr>
                  <w:r>
                    <w:rPr>
                      <w:rFonts w:hint="eastAsia"/>
                      <w:lang w:val="en-US" w:eastAsia="zh-CN"/>
                    </w:rPr>
                    <w:t>采样嘴mm</w:t>
                  </w:r>
                </w:p>
              </w:tc>
              <w:tc>
                <w:tcPr>
                  <w:tcW w:w="693" w:type="dxa"/>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8</w:t>
                  </w:r>
                </w:p>
              </w:tc>
              <w:tc>
                <w:tcPr>
                  <w:tcW w:w="807"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93"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38"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94"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731"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75"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80"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723" w:type="dxa"/>
                  <w:vMerge w:val="continue"/>
                  <w:tcBorders>
                    <w:tl2br w:val="nil"/>
                    <w:tr2bl w:val="nil"/>
                  </w:tcBorders>
                  <w:noWrap w:val="0"/>
                  <w:vAlign w:val="center"/>
                </w:tcPr>
                <w:p>
                  <w:pPr>
                    <w:pStyle w:val="165"/>
                    <w:bidi w:val="0"/>
                    <w:spacing w:line="240" w:lineRule="auto"/>
                    <w:rPr>
                      <w:rFonts w:hint="eastAsia"/>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900" w:type="dxa"/>
                  <w:tcBorders>
                    <w:tl2br w:val="nil"/>
                    <w:tr2bl w:val="nil"/>
                  </w:tcBorders>
                  <w:noWrap w:val="0"/>
                  <w:vAlign w:val="center"/>
                </w:tcPr>
                <w:p>
                  <w:pPr>
                    <w:pStyle w:val="165"/>
                    <w:bidi w:val="0"/>
                    <w:spacing w:line="240" w:lineRule="auto"/>
                    <w:rPr>
                      <w:rFonts w:hint="eastAsia" w:ascii="Times New Roman" w:hAnsi="Times New Roman" w:eastAsia="宋体" w:cs="Times New Roman"/>
                      <w:sz w:val="21"/>
                      <w:lang w:val="en-US" w:eastAsia="zh-CN" w:bidi="ar-SA"/>
                    </w:rPr>
                  </w:pPr>
                  <w:r>
                    <w:rPr>
                      <w:rFonts w:hint="eastAsia"/>
                      <w:lang w:val="en-US" w:eastAsia="zh-CN"/>
                    </w:rPr>
                    <w:t>检测断面面积（m</w:t>
                  </w:r>
                  <w:r>
                    <w:rPr>
                      <w:rFonts w:hint="eastAsia"/>
                      <w:vertAlign w:val="superscript"/>
                      <w:lang w:val="en-US" w:eastAsia="zh-CN"/>
                    </w:rPr>
                    <w:t>2</w:t>
                  </w:r>
                  <w:r>
                    <w:rPr>
                      <w:rFonts w:hint="eastAsia"/>
                      <w:lang w:val="en-US" w:eastAsia="zh-CN"/>
                    </w:rPr>
                    <w:t>）</w:t>
                  </w:r>
                </w:p>
              </w:tc>
              <w:tc>
                <w:tcPr>
                  <w:tcW w:w="693" w:type="dxa"/>
                  <w:tcBorders>
                    <w:tl2br w:val="nil"/>
                    <w:tr2bl w:val="nil"/>
                  </w:tcBorders>
                  <w:noWrap w:val="0"/>
                  <w:vAlign w:val="center"/>
                </w:tcPr>
                <w:p>
                  <w:pPr>
                    <w:pStyle w:val="165"/>
                    <w:bidi w:val="0"/>
                    <w:spacing w:line="240" w:lineRule="auto"/>
                    <w:rPr>
                      <w:rFonts w:hint="default"/>
                      <w:lang w:val="en-US" w:eastAsia="zh-CN"/>
                    </w:rPr>
                  </w:pPr>
                  <w:r>
                    <w:rPr>
                      <w:rFonts w:hint="eastAsia"/>
                      <w:lang w:val="en-US" w:eastAsia="zh-CN"/>
                    </w:rPr>
                    <w:t>0.071</w:t>
                  </w:r>
                </w:p>
              </w:tc>
              <w:tc>
                <w:tcPr>
                  <w:tcW w:w="807"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93"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38"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94"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731"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75"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680" w:type="dxa"/>
                  <w:vMerge w:val="continue"/>
                  <w:tcBorders>
                    <w:tl2br w:val="nil"/>
                    <w:tr2bl w:val="nil"/>
                  </w:tcBorders>
                  <w:noWrap w:val="0"/>
                  <w:vAlign w:val="center"/>
                </w:tcPr>
                <w:p>
                  <w:pPr>
                    <w:pStyle w:val="165"/>
                    <w:bidi w:val="0"/>
                    <w:spacing w:line="240" w:lineRule="auto"/>
                    <w:rPr>
                      <w:rFonts w:hint="eastAsia"/>
                      <w:lang w:val="en-US" w:eastAsia="zh-CN"/>
                    </w:rPr>
                  </w:pPr>
                </w:p>
              </w:tc>
              <w:tc>
                <w:tcPr>
                  <w:tcW w:w="723" w:type="dxa"/>
                  <w:vMerge w:val="continue"/>
                  <w:tcBorders>
                    <w:tl2br w:val="nil"/>
                    <w:tr2bl w:val="nil"/>
                  </w:tcBorders>
                  <w:noWrap w:val="0"/>
                  <w:vAlign w:val="center"/>
                </w:tcPr>
                <w:p>
                  <w:pPr>
                    <w:pStyle w:val="165"/>
                    <w:bidi w:val="0"/>
                    <w:spacing w:line="240" w:lineRule="auto"/>
                    <w:rPr>
                      <w:rFonts w:hint="eastAsia"/>
                      <w:lang w:val="en-US" w:eastAsia="zh-CN"/>
                    </w:rPr>
                  </w:pPr>
                </w:p>
              </w:tc>
            </w:tr>
          </w:tbl>
          <w:p>
            <w:pPr>
              <w:pStyle w:val="72"/>
              <w:bidi w:val="0"/>
              <w:spacing w:line="240" w:lineRule="auto"/>
              <w:jc w:val="right"/>
              <w:rPr>
                <w:rFonts w:hint="default"/>
                <w:b/>
                <w:bCs/>
                <w:sz w:val="21"/>
                <w:szCs w:val="16"/>
                <w:lang w:val="en-US" w:eastAsia="zh-CN"/>
              </w:rPr>
            </w:pPr>
            <w:r>
              <w:rPr>
                <w:rFonts w:hint="eastAsia"/>
                <w:b/>
                <w:bCs/>
                <w:sz w:val="21"/>
                <w:szCs w:val="16"/>
                <w:lang w:val="en-US" w:eastAsia="zh-CN"/>
              </w:rPr>
              <w:t>表2-19 项目无组织废气验收监测结果        单位：mg/m</w:t>
            </w:r>
            <w:r>
              <w:rPr>
                <w:rFonts w:hint="eastAsia"/>
                <w:b/>
                <w:bCs/>
                <w:sz w:val="21"/>
                <w:szCs w:val="16"/>
                <w:vertAlign w:val="superscript"/>
                <w:lang w:val="en-US" w:eastAsia="zh-CN"/>
              </w:rPr>
              <w:t>3</w:t>
            </w:r>
          </w:p>
          <w:tbl>
            <w:tblPr>
              <w:tblStyle w:val="42"/>
              <w:tblW w:w="794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3"/>
              <w:gridCol w:w="993"/>
              <w:gridCol w:w="993"/>
              <w:gridCol w:w="993"/>
              <w:gridCol w:w="993"/>
              <w:gridCol w:w="993"/>
              <w:gridCol w:w="993"/>
              <w:gridCol w:w="99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4" w:hRule="atLeast"/>
                <w:jc w:val="center"/>
              </w:trPr>
              <w:tc>
                <w:tcPr>
                  <w:tcW w:w="993" w:type="dxa"/>
                  <w:vMerge w:val="restart"/>
                  <w:tcBorders>
                    <w:tl2br w:val="nil"/>
                    <w:tr2bl w:val="nil"/>
                  </w:tcBorders>
                  <w:noWrap w:val="0"/>
                  <w:vAlign w:val="center"/>
                </w:tcPr>
                <w:p>
                  <w:pPr>
                    <w:pStyle w:val="165"/>
                    <w:bidi w:val="0"/>
                    <w:rPr>
                      <w:rFonts w:hint="eastAsia"/>
                      <w:b/>
                      <w:bCs/>
                      <w:sz w:val="21"/>
                      <w:szCs w:val="21"/>
                      <w:lang w:val="en-US" w:eastAsia="zh-CN"/>
                    </w:rPr>
                  </w:pPr>
                  <w:r>
                    <w:rPr>
                      <w:rFonts w:hint="eastAsia"/>
                      <w:b/>
                      <w:bCs/>
                      <w:sz w:val="21"/>
                      <w:szCs w:val="21"/>
                      <w:lang w:val="en-US" w:eastAsia="zh-CN"/>
                    </w:rPr>
                    <w:t>监测项目</w:t>
                  </w:r>
                </w:p>
              </w:tc>
              <w:tc>
                <w:tcPr>
                  <w:tcW w:w="993" w:type="dxa"/>
                  <w:vMerge w:val="restart"/>
                  <w:tcBorders>
                    <w:tl2br w:val="nil"/>
                    <w:tr2bl w:val="nil"/>
                  </w:tcBorders>
                  <w:noWrap w:val="0"/>
                  <w:vAlign w:val="center"/>
                </w:tcPr>
                <w:p>
                  <w:pPr>
                    <w:pStyle w:val="165"/>
                    <w:bidi w:val="0"/>
                    <w:rPr>
                      <w:rFonts w:hint="eastAsia"/>
                      <w:b/>
                      <w:bCs/>
                      <w:sz w:val="21"/>
                      <w:szCs w:val="21"/>
                      <w:lang w:val="en-US" w:eastAsia="zh-CN"/>
                    </w:rPr>
                  </w:pPr>
                  <w:r>
                    <w:rPr>
                      <w:rFonts w:hint="eastAsia"/>
                      <w:b/>
                      <w:bCs/>
                      <w:sz w:val="21"/>
                      <w:szCs w:val="21"/>
                      <w:lang w:val="en-US" w:eastAsia="zh-CN"/>
                    </w:rPr>
                    <w:t>监测时间</w:t>
                  </w:r>
                </w:p>
              </w:tc>
              <w:tc>
                <w:tcPr>
                  <w:tcW w:w="993" w:type="dxa"/>
                  <w:vMerge w:val="restart"/>
                  <w:tcBorders>
                    <w:tl2br w:val="nil"/>
                    <w:tr2bl w:val="nil"/>
                  </w:tcBorders>
                  <w:noWrap w:val="0"/>
                  <w:vAlign w:val="center"/>
                </w:tcPr>
                <w:p>
                  <w:pPr>
                    <w:pStyle w:val="165"/>
                    <w:bidi w:val="0"/>
                    <w:rPr>
                      <w:rFonts w:hint="eastAsia"/>
                      <w:b/>
                      <w:bCs/>
                      <w:sz w:val="21"/>
                      <w:szCs w:val="21"/>
                      <w:lang w:val="en-US" w:eastAsia="zh-CN"/>
                    </w:rPr>
                  </w:pPr>
                  <w:r>
                    <w:rPr>
                      <w:rFonts w:hint="eastAsia"/>
                      <w:b/>
                      <w:bCs/>
                      <w:sz w:val="21"/>
                      <w:szCs w:val="21"/>
                      <w:lang w:val="en-US" w:eastAsia="zh-CN"/>
                    </w:rPr>
                    <w:t>监测点位</w:t>
                  </w:r>
                </w:p>
              </w:tc>
              <w:tc>
                <w:tcPr>
                  <w:tcW w:w="3972" w:type="dxa"/>
                  <w:gridSpan w:val="4"/>
                  <w:tcBorders>
                    <w:tl2br w:val="nil"/>
                    <w:tr2bl w:val="nil"/>
                  </w:tcBorders>
                  <w:noWrap w:val="0"/>
                  <w:vAlign w:val="center"/>
                </w:tcPr>
                <w:p>
                  <w:pPr>
                    <w:pStyle w:val="165"/>
                    <w:bidi w:val="0"/>
                    <w:rPr>
                      <w:rFonts w:hint="eastAsia"/>
                      <w:b/>
                      <w:bCs/>
                      <w:sz w:val="21"/>
                      <w:szCs w:val="21"/>
                      <w:lang w:val="en-US" w:eastAsia="zh-CN"/>
                    </w:rPr>
                  </w:pPr>
                  <w:r>
                    <w:rPr>
                      <w:rFonts w:hint="eastAsia"/>
                      <w:b/>
                      <w:bCs/>
                      <w:sz w:val="21"/>
                      <w:szCs w:val="21"/>
                      <w:lang w:val="en-US" w:eastAsia="zh-CN"/>
                    </w:rPr>
                    <w:t>监测结果</w:t>
                  </w:r>
                </w:p>
              </w:tc>
              <w:tc>
                <w:tcPr>
                  <w:tcW w:w="994" w:type="dxa"/>
                  <w:vMerge w:val="restart"/>
                  <w:tcBorders>
                    <w:tl2br w:val="nil"/>
                    <w:tr2bl w:val="nil"/>
                  </w:tcBorders>
                  <w:noWrap w:val="0"/>
                  <w:vAlign w:val="center"/>
                </w:tcPr>
                <w:p>
                  <w:pPr>
                    <w:pStyle w:val="165"/>
                    <w:bidi w:val="0"/>
                    <w:rPr>
                      <w:rFonts w:hint="eastAsia"/>
                      <w:b/>
                      <w:bCs/>
                      <w:sz w:val="21"/>
                      <w:szCs w:val="21"/>
                      <w:lang w:val="en-US" w:eastAsia="zh-CN"/>
                    </w:rPr>
                  </w:pPr>
                  <w:r>
                    <w:rPr>
                      <w:rFonts w:hint="eastAsia"/>
                      <w:b/>
                      <w:bCs/>
                      <w:sz w:val="21"/>
                      <w:szCs w:val="21"/>
                      <w:lang w:val="en-US" w:eastAsia="zh-CN"/>
                    </w:rPr>
                    <w:t>标准限值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vMerge w:val="continue"/>
                  <w:tcBorders>
                    <w:tl2br w:val="nil"/>
                    <w:tr2bl w:val="nil"/>
                  </w:tcBorders>
                  <w:noWrap w:val="0"/>
                  <w:vAlign w:val="center"/>
                </w:tcPr>
                <w:p>
                  <w:pPr>
                    <w:pStyle w:val="165"/>
                    <w:bidi w:val="0"/>
                    <w:rPr>
                      <w:rFonts w:hint="eastAsia"/>
                      <w:sz w:val="21"/>
                      <w:szCs w:val="21"/>
                      <w:lang w:val="en-US" w:eastAsia="zh-CN"/>
                    </w:rPr>
                  </w:pPr>
                </w:p>
              </w:tc>
              <w:tc>
                <w:tcPr>
                  <w:tcW w:w="993" w:type="dxa"/>
                  <w:vMerge w:val="continue"/>
                  <w:tcBorders>
                    <w:tl2br w:val="nil"/>
                    <w:tr2bl w:val="nil"/>
                  </w:tcBorders>
                  <w:noWrap w:val="0"/>
                  <w:vAlign w:val="center"/>
                </w:tcPr>
                <w:p>
                  <w:pPr>
                    <w:pStyle w:val="165"/>
                    <w:bidi w:val="0"/>
                    <w:rPr>
                      <w:rFonts w:hint="eastAsia"/>
                      <w:sz w:val="21"/>
                      <w:szCs w:val="21"/>
                      <w:lang w:val="en-US" w:eastAsia="zh-CN"/>
                    </w:rPr>
                  </w:pPr>
                </w:p>
              </w:tc>
              <w:tc>
                <w:tcPr>
                  <w:tcW w:w="993" w:type="dxa"/>
                  <w:vMerge w:val="continue"/>
                  <w:tcBorders>
                    <w:tl2br w:val="nil"/>
                    <w:tr2bl w:val="nil"/>
                  </w:tcBorders>
                  <w:noWrap w:val="0"/>
                  <w:vAlign w:val="center"/>
                </w:tcPr>
                <w:p>
                  <w:pPr>
                    <w:pStyle w:val="165"/>
                    <w:bidi w:val="0"/>
                    <w:rPr>
                      <w:rFonts w:hint="eastAsia"/>
                      <w:sz w:val="21"/>
                      <w:szCs w:val="21"/>
                      <w:lang w:val="en-US" w:eastAsia="zh-CN"/>
                    </w:rPr>
                  </w:pPr>
                </w:p>
              </w:tc>
              <w:tc>
                <w:tcPr>
                  <w:tcW w:w="993" w:type="dxa"/>
                  <w:tcBorders>
                    <w:tl2br w:val="nil"/>
                    <w:tr2bl w:val="nil"/>
                  </w:tcBorders>
                  <w:noWrap w:val="0"/>
                  <w:vAlign w:val="center"/>
                </w:tcPr>
                <w:p>
                  <w:pPr>
                    <w:pStyle w:val="165"/>
                    <w:bidi w:val="0"/>
                    <w:spacing w:line="240" w:lineRule="auto"/>
                    <w:rPr>
                      <w:rFonts w:hint="eastAsia" w:ascii="Times New Roman" w:hAnsi="Times New Roman" w:eastAsia="宋体" w:cs="Times New Roman"/>
                      <w:b/>
                      <w:bCs/>
                      <w:sz w:val="21"/>
                      <w:lang w:val="en-US" w:eastAsia="zh-CN" w:bidi="ar-SA"/>
                    </w:rPr>
                  </w:pPr>
                  <w:r>
                    <w:rPr>
                      <w:rFonts w:hint="eastAsia"/>
                      <w:b/>
                      <w:bCs/>
                      <w:lang w:val="en-US" w:eastAsia="zh-CN"/>
                    </w:rPr>
                    <w:t>一次</w:t>
                  </w:r>
                </w:p>
              </w:tc>
              <w:tc>
                <w:tcPr>
                  <w:tcW w:w="993" w:type="dxa"/>
                  <w:tcBorders>
                    <w:tl2br w:val="nil"/>
                    <w:tr2bl w:val="nil"/>
                  </w:tcBorders>
                  <w:noWrap w:val="0"/>
                  <w:vAlign w:val="center"/>
                </w:tcPr>
                <w:p>
                  <w:pPr>
                    <w:pStyle w:val="165"/>
                    <w:bidi w:val="0"/>
                    <w:spacing w:line="240" w:lineRule="auto"/>
                    <w:rPr>
                      <w:rFonts w:hint="eastAsia" w:ascii="Times New Roman" w:hAnsi="Times New Roman" w:eastAsia="宋体" w:cs="Times New Roman"/>
                      <w:b/>
                      <w:bCs/>
                      <w:sz w:val="21"/>
                      <w:lang w:val="en-US" w:eastAsia="zh-CN" w:bidi="ar-SA"/>
                    </w:rPr>
                  </w:pPr>
                  <w:r>
                    <w:rPr>
                      <w:rFonts w:hint="eastAsia"/>
                      <w:b/>
                      <w:bCs/>
                      <w:lang w:val="en-US" w:eastAsia="zh-CN"/>
                    </w:rPr>
                    <w:t>二次</w:t>
                  </w:r>
                </w:p>
              </w:tc>
              <w:tc>
                <w:tcPr>
                  <w:tcW w:w="993" w:type="dxa"/>
                  <w:tcBorders>
                    <w:tl2br w:val="nil"/>
                    <w:tr2bl w:val="nil"/>
                  </w:tcBorders>
                  <w:noWrap w:val="0"/>
                  <w:vAlign w:val="center"/>
                </w:tcPr>
                <w:p>
                  <w:pPr>
                    <w:pStyle w:val="165"/>
                    <w:bidi w:val="0"/>
                    <w:spacing w:line="240" w:lineRule="auto"/>
                    <w:rPr>
                      <w:rFonts w:hint="eastAsia" w:ascii="Times New Roman" w:hAnsi="Times New Roman" w:eastAsia="宋体" w:cs="Times New Roman"/>
                      <w:b/>
                      <w:bCs/>
                      <w:sz w:val="21"/>
                      <w:lang w:val="en-US" w:eastAsia="zh-CN" w:bidi="ar-SA"/>
                    </w:rPr>
                  </w:pPr>
                  <w:r>
                    <w:rPr>
                      <w:rFonts w:hint="eastAsia"/>
                      <w:b/>
                      <w:bCs/>
                      <w:lang w:val="en-US" w:eastAsia="zh-CN"/>
                    </w:rPr>
                    <w:t>三次</w:t>
                  </w:r>
                </w:p>
              </w:tc>
              <w:tc>
                <w:tcPr>
                  <w:tcW w:w="993" w:type="dxa"/>
                  <w:tcBorders>
                    <w:tl2br w:val="nil"/>
                    <w:tr2bl w:val="nil"/>
                  </w:tcBorders>
                  <w:noWrap w:val="0"/>
                  <w:vAlign w:val="center"/>
                </w:tcPr>
                <w:p>
                  <w:pPr>
                    <w:pStyle w:val="165"/>
                    <w:bidi w:val="0"/>
                    <w:rPr>
                      <w:rFonts w:hint="eastAsia"/>
                      <w:sz w:val="21"/>
                      <w:szCs w:val="21"/>
                      <w:lang w:val="en-US" w:eastAsia="zh-CN"/>
                    </w:rPr>
                  </w:pPr>
                  <w:r>
                    <w:rPr>
                      <w:rFonts w:hint="eastAsia"/>
                      <w:b/>
                      <w:bCs/>
                      <w:sz w:val="21"/>
                      <w:szCs w:val="21"/>
                      <w:lang w:val="en-US" w:eastAsia="zh-CN"/>
                    </w:rPr>
                    <w:t>平均</w:t>
                  </w:r>
                </w:p>
              </w:tc>
              <w:tc>
                <w:tcPr>
                  <w:tcW w:w="994" w:type="dxa"/>
                  <w:vMerge w:val="continue"/>
                  <w:tcBorders>
                    <w:tl2br w:val="nil"/>
                    <w:tr2bl w:val="nil"/>
                  </w:tcBorders>
                  <w:noWrap w:val="0"/>
                  <w:vAlign w:val="center"/>
                </w:tcPr>
                <w:p>
                  <w:pPr>
                    <w:pStyle w:val="165"/>
                    <w:bidi w:val="0"/>
                    <w:rPr>
                      <w:rFonts w:hint="eastAsia"/>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tcBorders>
                    <w:tl2br w:val="nil"/>
                    <w:tr2bl w:val="nil"/>
                  </w:tcBorders>
                  <w:noWrap w:val="0"/>
                  <w:vAlign w:val="center"/>
                </w:tcPr>
                <w:p>
                  <w:pPr>
                    <w:pStyle w:val="165"/>
                    <w:bidi w:val="0"/>
                    <w:rPr>
                      <w:rFonts w:hint="eastAsia"/>
                      <w:sz w:val="21"/>
                      <w:szCs w:val="21"/>
                      <w:lang w:val="en-US" w:eastAsia="zh-CN"/>
                    </w:rPr>
                  </w:pPr>
                  <w:r>
                    <w:rPr>
                      <w:rFonts w:hint="eastAsia"/>
                      <w:sz w:val="21"/>
                      <w:szCs w:val="21"/>
                      <w:lang w:val="en-US" w:eastAsia="zh-CN"/>
                    </w:rPr>
                    <w:t>氨</w:t>
                  </w:r>
                </w:p>
              </w:tc>
              <w:tc>
                <w:tcPr>
                  <w:tcW w:w="993" w:type="dxa"/>
                  <w:vMerge w:val="restart"/>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2018.05.24</w:t>
                  </w:r>
                </w:p>
              </w:tc>
              <w:tc>
                <w:tcPr>
                  <w:tcW w:w="993" w:type="dxa"/>
                  <w:vMerge w:val="restart"/>
                  <w:tcBorders>
                    <w:tl2br w:val="nil"/>
                    <w:tr2bl w:val="nil"/>
                  </w:tcBorders>
                  <w:noWrap w:val="0"/>
                  <w:vAlign w:val="center"/>
                </w:tcPr>
                <w:p>
                  <w:pPr>
                    <w:pStyle w:val="165"/>
                    <w:bidi w:val="0"/>
                    <w:rPr>
                      <w:rFonts w:hint="eastAsia"/>
                      <w:sz w:val="21"/>
                      <w:szCs w:val="21"/>
                      <w:lang w:val="en-US" w:eastAsia="zh-CN"/>
                    </w:rPr>
                  </w:pPr>
                  <w:r>
                    <w:rPr>
                      <w:rFonts w:hint="eastAsia"/>
                      <w:sz w:val="21"/>
                      <w:szCs w:val="21"/>
                      <w:lang w:val="en-US" w:eastAsia="zh-CN"/>
                    </w:rPr>
                    <w:t>污水处理站下风向</w:t>
                  </w:r>
                </w:p>
              </w:tc>
              <w:tc>
                <w:tcPr>
                  <w:tcW w:w="993" w:type="dxa"/>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0.161</w:t>
                  </w:r>
                </w:p>
              </w:tc>
              <w:tc>
                <w:tcPr>
                  <w:tcW w:w="993" w:type="dxa"/>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0.156</w:t>
                  </w:r>
                </w:p>
              </w:tc>
              <w:tc>
                <w:tcPr>
                  <w:tcW w:w="993" w:type="dxa"/>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0.146</w:t>
                  </w:r>
                </w:p>
              </w:tc>
              <w:tc>
                <w:tcPr>
                  <w:tcW w:w="993" w:type="dxa"/>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0.154</w:t>
                  </w:r>
                </w:p>
              </w:tc>
              <w:tc>
                <w:tcPr>
                  <w:tcW w:w="994" w:type="dxa"/>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tcBorders>
                    <w:tl2br w:val="nil"/>
                    <w:tr2bl w:val="nil"/>
                  </w:tcBorders>
                  <w:noWrap w:val="0"/>
                  <w:vAlign w:val="center"/>
                </w:tcPr>
                <w:p>
                  <w:pPr>
                    <w:pStyle w:val="165"/>
                    <w:bidi w:val="0"/>
                    <w:rPr>
                      <w:rFonts w:hint="eastAsia"/>
                      <w:sz w:val="21"/>
                      <w:szCs w:val="21"/>
                      <w:lang w:val="en-US" w:eastAsia="zh-CN"/>
                    </w:rPr>
                  </w:pPr>
                  <w:r>
                    <w:rPr>
                      <w:rFonts w:hint="eastAsia"/>
                      <w:sz w:val="21"/>
                      <w:szCs w:val="21"/>
                      <w:lang w:val="en-US" w:eastAsia="zh-CN"/>
                    </w:rPr>
                    <w:t>硫化氢</w:t>
                  </w:r>
                </w:p>
              </w:tc>
              <w:tc>
                <w:tcPr>
                  <w:tcW w:w="993" w:type="dxa"/>
                  <w:vMerge w:val="continue"/>
                  <w:tcBorders>
                    <w:tl2br w:val="nil"/>
                    <w:tr2bl w:val="nil"/>
                  </w:tcBorders>
                  <w:noWrap w:val="0"/>
                  <w:vAlign w:val="center"/>
                </w:tcPr>
                <w:p>
                  <w:pPr>
                    <w:pStyle w:val="165"/>
                    <w:bidi w:val="0"/>
                    <w:rPr>
                      <w:rFonts w:hint="eastAsia"/>
                      <w:sz w:val="21"/>
                      <w:szCs w:val="21"/>
                      <w:lang w:val="en-US" w:eastAsia="zh-CN"/>
                    </w:rPr>
                  </w:pPr>
                </w:p>
              </w:tc>
              <w:tc>
                <w:tcPr>
                  <w:tcW w:w="993" w:type="dxa"/>
                  <w:vMerge w:val="continue"/>
                  <w:tcBorders>
                    <w:tl2br w:val="nil"/>
                    <w:tr2bl w:val="nil"/>
                  </w:tcBorders>
                  <w:noWrap w:val="0"/>
                  <w:vAlign w:val="center"/>
                </w:tcPr>
                <w:p>
                  <w:pPr>
                    <w:pStyle w:val="165"/>
                    <w:bidi w:val="0"/>
                    <w:rPr>
                      <w:rFonts w:hint="eastAsia"/>
                      <w:sz w:val="21"/>
                      <w:szCs w:val="21"/>
                      <w:lang w:val="en-US" w:eastAsia="zh-CN"/>
                    </w:rPr>
                  </w:pPr>
                </w:p>
              </w:tc>
              <w:tc>
                <w:tcPr>
                  <w:tcW w:w="993" w:type="dxa"/>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0.0006</w:t>
                  </w:r>
                </w:p>
              </w:tc>
              <w:tc>
                <w:tcPr>
                  <w:tcW w:w="993" w:type="dxa"/>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0.0006</w:t>
                  </w:r>
                </w:p>
              </w:tc>
              <w:tc>
                <w:tcPr>
                  <w:tcW w:w="993" w:type="dxa"/>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0.0005</w:t>
                  </w:r>
                </w:p>
              </w:tc>
              <w:tc>
                <w:tcPr>
                  <w:tcW w:w="993" w:type="dxa"/>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0.0006</w:t>
                  </w:r>
                </w:p>
              </w:tc>
              <w:tc>
                <w:tcPr>
                  <w:tcW w:w="994" w:type="dxa"/>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0.03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tcBorders>
                    <w:tl2br w:val="nil"/>
                    <w:tr2bl w:val="nil"/>
                  </w:tcBorders>
                  <w:noWrap w:val="0"/>
                  <w:vAlign w:val="center"/>
                </w:tcPr>
                <w:p>
                  <w:pPr>
                    <w:pStyle w:val="165"/>
                    <w:bidi w:val="0"/>
                    <w:rPr>
                      <w:rFonts w:hint="eastAsia" w:ascii="Times New Roman" w:hAnsi="Times New Roman" w:eastAsia="宋体" w:cs="Times New Roman"/>
                      <w:sz w:val="21"/>
                      <w:szCs w:val="21"/>
                      <w:lang w:val="en-US" w:eastAsia="zh-CN" w:bidi="ar-SA"/>
                    </w:rPr>
                  </w:pPr>
                  <w:r>
                    <w:rPr>
                      <w:rFonts w:hint="eastAsia"/>
                      <w:sz w:val="21"/>
                      <w:szCs w:val="21"/>
                      <w:lang w:val="en-US" w:eastAsia="zh-CN"/>
                    </w:rPr>
                    <w:t>氨</w:t>
                  </w:r>
                </w:p>
              </w:tc>
              <w:tc>
                <w:tcPr>
                  <w:tcW w:w="993" w:type="dxa"/>
                  <w:vMerge w:val="restart"/>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2018.05.25</w:t>
                  </w:r>
                </w:p>
              </w:tc>
              <w:tc>
                <w:tcPr>
                  <w:tcW w:w="993" w:type="dxa"/>
                  <w:vMerge w:val="continue"/>
                  <w:tcBorders>
                    <w:tl2br w:val="nil"/>
                    <w:tr2bl w:val="nil"/>
                  </w:tcBorders>
                  <w:noWrap w:val="0"/>
                  <w:vAlign w:val="center"/>
                </w:tcPr>
                <w:p>
                  <w:pPr>
                    <w:pStyle w:val="165"/>
                    <w:bidi w:val="0"/>
                    <w:rPr>
                      <w:rFonts w:hint="eastAsia"/>
                      <w:sz w:val="21"/>
                      <w:szCs w:val="21"/>
                      <w:lang w:val="en-US" w:eastAsia="zh-CN"/>
                    </w:rPr>
                  </w:pPr>
                </w:p>
              </w:tc>
              <w:tc>
                <w:tcPr>
                  <w:tcW w:w="993" w:type="dxa"/>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0.157</w:t>
                  </w:r>
                </w:p>
              </w:tc>
              <w:tc>
                <w:tcPr>
                  <w:tcW w:w="993" w:type="dxa"/>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0.169</w:t>
                  </w:r>
                </w:p>
              </w:tc>
              <w:tc>
                <w:tcPr>
                  <w:tcW w:w="993" w:type="dxa"/>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0.162</w:t>
                  </w:r>
                </w:p>
              </w:tc>
              <w:tc>
                <w:tcPr>
                  <w:tcW w:w="993" w:type="dxa"/>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0.163</w:t>
                  </w:r>
                </w:p>
              </w:tc>
              <w:tc>
                <w:tcPr>
                  <w:tcW w:w="994" w:type="dxa"/>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tcBorders>
                    <w:tl2br w:val="nil"/>
                    <w:tr2bl w:val="nil"/>
                  </w:tcBorders>
                  <w:noWrap w:val="0"/>
                  <w:vAlign w:val="center"/>
                </w:tcPr>
                <w:p>
                  <w:pPr>
                    <w:pStyle w:val="165"/>
                    <w:bidi w:val="0"/>
                    <w:rPr>
                      <w:rFonts w:hint="eastAsia" w:ascii="Times New Roman" w:hAnsi="Times New Roman" w:eastAsia="宋体" w:cs="Times New Roman"/>
                      <w:sz w:val="21"/>
                      <w:szCs w:val="21"/>
                      <w:lang w:val="en-US" w:eastAsia="zh-CN" w:bidi="ar-SA"/>
                    </w:rPr>
                  </w:pPr>
                  <w:r>
                    <w:rPr>
                      <w:rFonts w:hint="eastAsia"/>
                      <w:sz w:val="21"/>
                      <w:szCs w:val="21"/>
                      <w:lang w:val="en-US" w:eastAsia="zh-CN"/>
                    </w:rPr>
                    <w:t>硫化氢</w:t>
                  </w:r>
                </w:p>
              </w:tc>
              <w:tc>
                <w:tcPr>
                  <w:tcW w:w="993" w:type="dxa"/>
                  <w:vMerge w:val="continue"/>
                  <w:tcBorders>
                    <w:tl2br w:val="nil"/>
                    <w:tr2bl w:val="nil"/>
                  </w:tcBorders>
                  <w:noWrap w:val="0"/>
                  <w:vAlign w:val="center"/>
                </w:tcPr>
                <w:p>
                  <w:pPr>
                    <w:pStyle w:val="165"/>
                    <w:bidi w:val="0"/>
                    <w:rPr>
                      <w:rFonts w:hint="eastAsia"/>
                      <w:sz w:val="21"/>
                      <w:szCs w:val="21"/>
                      <w:lang w:val="en-US" w:eastAsia="zh-CN"/>
                    </w:rPr>
                  </w:pPr>
                </w:p>
              </w:tc>
              <w:tc>
                <w:tcPr>
                  <w:tcW w:w="993" w:type="dxa"/>
                  <w:vMerge w:val="continue"/>
                  <w:tcBorders>
                    <w:tl2br w:val="nil"/>
                    <w:tr2bl w:val="nil"/>
                  </w:tcBorders>
                  <w:noWrap w:val="0"/>
                  <w:vAlign w:val="center"/>
                </w:tcPr>
                <w:p>
                  <w:pPr>
                    <w:pStyle w:val="165"/>
                    <w:bidi w:val="0"/>
                    <w:rPr>
                      <w:rFonts w:hint="eastAsia"/>
                      <w:sz w:val="21"/>
                      <w:szCs w:val="21"/>
                      <w:lang w:val="en-US" w:eastAsia="zh-CN"/>
                    </w:rPr>
                  </w:pPr>
                </w:p>
              </w:tc>
              <w:tc>
                <w:tcPr>
                  <w:tcW w:w="993" w:type="dxa"/>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0.0006</w:t>
                  </w:r>
                </w:p>
              </w:tc>
              <w:tc>
                <w:tcPr>
                  <w:tcW w:w="993" w:type="dxa"/>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0.0006</w:t>
                  </w:r>
                </w:p>
              </w:tc>
              <w:tc>
                <w:tcPr>
                  <w:tcW w:w="993" w:type="dxa"/>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0.0007</w:t>
                  </w:r>
                </w:p>
              </w:tc>
              <w:tc>
                <w:tcPr>
                  <w:tcW w:w="993" w:type="dxa"/>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0.0006</w:t>
                  </w:r>
                </w:p>
              </w:tc>
              <w:tc>
                <w:tcPr>
                  <w:tcW w:w="994" w:type="dxa"/>
                  <w:tcBorders>
                    <w:tl2br w:val="nil"/>
                    <w:tr2bl w:val="nil"/>
                  </w:tcBorders>
                  <w:noWrap w:val="0"/>
                  <w:vAlign w:val="center"/>
                </w:tcPr>
                <w:p>
                  <w:pPr>
                    <w:pStyle w:val="165"/>
                    <w:bidi w:val="0"/>
                    <w:rPr>
                      <w:rFonts w:hint="default"/>
                      <w:sz w:val="21"/>
                      <w:szCs w:val="21"/>
                      <w:lang w:val="en-US" w:eastAsia="zh-CN"/>
                    </w:rPr>
                  </w:pPr>
                  <w:r>
                    <w:rPr>
                      <w:rFonts w:hint="eastAsia"/>
                      <w:sz w:val="21"/>
                      <w:szCs w:val="21"/>
                      <w:lang w:val="en-US" w:eastAsia="zh-CN"/>
                    </w:rPr>
                    <w:t>0.03</w:t>
                  </w:r>
                </w:p>
              </w:tc>
            </w:tr>
          </w:tbl>
          <w:p>
            <w:pPr>
              <w:pStyle w:val="72"/>
              <w:bidi w:val="0"/>
              <w:spacing w:line="240" w:lineRule="auto"/>
              <w:jc w:val="center"/>
              <w:rPr>
                <w:rFonts w:hint="eastAsia"/>
                <w:b/>
                <w:bCs/>
                <w:sz w:val="21"/>
                <w:szCs w:val="16"/>
                <w:lang w:val="en-US" w:eastAsia="zh-CN"/>
              </w:rPr>
            </w:pPr>
          </w:p>
          <w:p>
            <w:pPr>
              <w:pStyle w:val="72"/>
              <w:bidi w:val="0"/>
              <w:spacing w:line="240" w:lineRule="auto"/>
              <w:jc w:val="center"/>
              <w:rPr>
                <w:rFonts w:hint="default"/>
                <w:b/>
                <w:bCs/>
                <w:sz w:val="21"/>
                <w:szCs w:val="16"/>
                <w:lang w:val="en-US" w:eastAsia="zh-CN"/>
              </w:rPr>
            </w:pPr>
          </w:p>
          <w:tbl>
            <w:tblPr>
              <w:tblStyle w:val="41"/>
              <w:tblW w:w="8080" w:type="dxa"/>
              <w:jc w:val="center"/>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4040"/>
              <w:gridCol w:w="4040"/>
            </w:tblGrid>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59" w:hRule="atLeast"/>
                <w:jc w:val="center"/>
              </w:trPr>
              <w:tc>
                <w:tcPr>
                  <w:tcW w:w="4040" w:type="dxa"/>
                  <w:noWrap w:val="0"/>
                  <w:vAlign w:val="center"/>
                </w:tcPr>
                <w:p>
                  <w:pPr>
                    <w:pStyle w:val="72"/>
                    <w:spacing w:line="240" w:lineRule="auto"/>
                    <w:ind w:firstLine="0" w:firstLineChars="0"/>
                    <w:jc w:val="center"/>
                    <w:rPr>
                      <w:rFonts w:hint="eastAsia"/>
                    </w:rPr>
                  </w:pPr>
                  <w:r>
                    <w:rPr>
                      <w:rFonts w:hint="eastAsia"/>
                    </w:rPr>
                    <w:drawing>
                      <wp:inline distT="0" distB="0" distL="114300" distR="114300">
                        <wp:extent cx="1721485" cy="3060065"/>
                        <wp:effectExtent l="0" t="0" r="12065" b="6985"/>
                        <wp:docPr id="149" name="图片 26" descr="70341448fc6d364ca309dd518ade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26" descr="70341448fc6d364ca309dd518ade873"/>
                                <pic:cNvPicPr>
                                  <a:picLocks noChangeAspect="1"/>
                                </pic:cNvPicPr>
                              </pic:nvPicPr>
                              <pic:blipFill>
                                <a:blip r:embed="rId32"/>
                                <a:stretch>
                                  <a:fillRect/>
                                </a:stretch>
                              </pic:blipFill>
                              <pic:spPr>
                                <a:xfrm>
                                  <a:off x="0" y="0"/>
                                  <a:ext cx="1721485" cy="3060065"/>
                                </a:xfrm>
                                <a:prstGeom prst="rect">
                                  <a:avLst/>
                                </a:prstGeom>
                                <a:noFill/>
                                <a:ln>
                                  <a:noFill/>
                                </a:ln>
                              </pic:spPr>
                            </pic:pic>
                          </a:graphicData>
                        </a:graphic>
                      </wp:inline>
                    </w:drawing>
                  </w:r>
                </w:p>
              </w:tc>
              <w:tc>
                <w:tcPr>
                  <w:tcW w:w="4040" w:type="dxa"/>
                  <w:noWrap w:val="0"/>
                  <w:vAlign w:val="center"/>
                </w:tcPr>
                <w:p>
                  <w:pPr>
                    <w:pStyle w:val="72"/>
                    <w:spacing w:line="240" w:lineRule="auto"/>
                    <w:ind w:firstLine="0" w:firstLineChars="0"/>
                    <w:jc w:val="center"/>
                    <w:rPr>
                      <w:rFonts w:hint="eastAsia"/>
                    </w:rPr>
                  </w:pPr>
                  <w:r>
                    <w:rPr>
                      <w:rFonts w:hint="eastAsia"/>
                    </w:rPr>
                    <w:drawing>
                      <wp:inline distT="0" distB="0" distL="114300" distR="114300">
                        <wp:extent cx="1966595" cy="3060065"/>
                        <wp:effectExtent l="0" t="0" r="14605" b="6985"/>
                        <wp:docPr id="160" name="图片 27" descr="738d5ec67c6b0b63acca12efa48bc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7" descr="738d5ec67c6b0b63acca12efa48bce2"/>
                                <pic:cNvPicPr>
                                  <a:picLocks noChangeAspect="1"/>
                                </pic:cNvPicPr>
                              </pic:nvPicPr>
                              <pic:blipFill>
                                <a:blip r:embed="rId33"/>
                                <a:stretch>
                                  <a:fillRect/>
                                </a:stretch>
                              </pic:blipFill>
                              <pic:spPr>
                                <a:xfrm>
                                  <a:off x="0" y="0"/>
                                  <a:ext cx="1966595" cy="3060065"/>
                                </a:xfrm>
                                <a:prstGeom prst="rect">
                                  <a:avLst/>
                                </a:prstGeom>
                                <a:noFill/>
                                <a:ln>
                                  <a:noFill/>
                                </a:ln>
                              </pic:spPr>
                            </pic:pic>
                          </a:graphicData>
                        </a:graphic>
                      </wp:inline>
                    </w:drawing>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8" w:hRule="atLeast"/>
                <w:jc w:val="center"/>
              </w:trPr>
              <w:tc>
                <w:tcPr>
                  <w:tcW w:w="4040" w:type="dxa"/>
                  <w:noWrap w:val="0"/>
                  <w:vAlign w:val="center"/>
                </w:tcPr>
                <w:p>
                  <w:pPr>
                    <w:pStyle w:val="72"/>
                    <w:spacing w:line="240" w:lineRule="auto"/>
                    <w:ind w:firstLine="0" w:firstLineChars="0"/>
                    <w:jc w:val="center"/>
                    <w:rPr>
                      <w:rFonts w:hint="eastAsia"/>
                      <w:sz w:val="21"/>
                      <w:szCs w:val="16"/>
                    </w:rPr>
                  </w:pPr>
                  <w:r>
                    <w:rPr>
                      <w:rFonts w:hint="eastAsia"/>
                      <w:sz w:val="21"/>
                      <w:szCs w:val="16"/>
                    </w:rPr>
                    <w:t>备用发电机房</w:t>
                  </w:r>
                </w:p>
              </w:tc>
              <w:tc>
                <w:tcPr>
                  <w:tcW w:w="4040" w:type="dxa"/>
                  <w:noWrap w:val="0"/>
                  <w:vAlign w:val="center"/>
                </w:tcPr>
                <w:p>
                  <w:pPr>
                    <w:pStyle w:val="72"/>
                    <w:spacing w:line="240" w:lineRule="auto"/>
                    <w:ind w:firstLine="0" w:firstLineChars="0"/>
                    <w:jc w:val="center"/>
                    <w:rPr>
                      <w:rFonts w:hint="eastAsia" w:eastAsia="宋体"/>
                      <w:sz w:val="21"/>
                      <w:szCs w:val="16"/>
                      <w:lang w:val="en-US" w:eastAsia="zh-CN"/>
                    </w:rPr>
                  </w:pPr>
                  <w:r>
                    <w:rPr>
                      <w:rFonts w:hint="eastAsia"/>
                      <w:sz w:val="21"/>
                      <w:szCs w:val="16"/>
                    </w:rPr>
                    <w:t>油烟净化器</w:t>
                  </w:r>
                  <w:r>
                    <w:rPr>
                      <w:rFonts w:hint="eastAsia"/>
                      <w:sz w:val="21"/>
                      <w:szCs w:val="16"/>
                      <w:lang w:val="en-US" w:eastAsia="zh-CN"/>
                    </w:rPr>
                    <w:t xml:space="preserve"> </w:t>
                  </w:r>
                </w:p>
              </w:tc>
            </w:tr>
          </w:tbl>
          <w:p>
            <w:pPr>
              <w:spacing w:line="360" w:lineRule="auto"/>
              <w:ind w:firstLine="480" w:firstLineChars="200"/>
              <w:rPr>
                <w:rFonts w:hint="eastAsia"/>
                <w:b w:val="0"/>
                <w:bCs w:val="0"/>
                <w:sz w:val="24"/>
                <w:lang w:val="en-US" w:eastAsia="zh-CN"/>
              </w:rPr>
            </w:pPr>
          </w:p>
          <w:p>
            <w:pPr>
              <w:spacing w:line="360" w:lineRule="auto"/>
              <w:ind w:firstLine="482" w:firstLineChars="200"/>
              <w:rPr>
                <w:rFonts w:hint="eastAsia"/>
                <w:b/>
                <w:bCs/>
                <w:sz w:val="24"/>
              </w:rPr>
            </w:pPr>
            <w:r>
              <w:rPr>
                <w:rFonts w:hint="eastAsia"/>
                <w:b/>
                <w:bCs/>
                <w:sz w:val="24"/>
                <w:lang w:val="en-US" w:eastAsia="zh-CN"/>
              </w:rPr>
              <w:t>3、</w:t>
            </w:r>
            <w:r>
              <w:rPr>
                <w:rFonts w:hint="eastAsia"/>
                <w:b/>
                <w:bCs/>
                <w:sz w:val="24"/>
              </w:rPr>
              <w:t>噪声</w:t>
            </w:r>
            <w:r>
              <w:rPr>
                <w:rFonts w:hint="eastAsia"/>
                <w:b/>
                <w:bCs/>
                <w:sz w:val="24"/>
                <w:lang w:eastAsia="zh-CN"/>
              </w:rPr>
              <w:t>产生及治理措施</w:t>
            </w:r>
          </w:p>
          <w:p>
            <w:pPr>
              <w:spacing w:line="360" w:lineRule="auto"/>
              <w:ind w:firstLine="480" w:firstLineChars="200"/>
              <w:rPr>
                <w:rFonts w:hint="eastAsia"/>
                <w:sz w:val="24"/>
              </w:rPr>
            </w:pPr>
            <w:r>
              <w:rPr>
                <w:rFonts w:hint="eastAsia"/>
                <w:sz w:val="24"/>
              </w:rPr>
              <w:t>本项目营运期主要的噪声源为水泵、</w:t>
            </w:r>
            <w:r>
              <w:rPr>
                <w:rFonts w:hint="eastAsia"/>
                <w:sz w:val="24"/>
                <w:lang w:eastAsia="zh-CN"/>
              </w:rPr>
              <w:t>发电机</w:t>
            </w:r>
            <w:r>
              <w:rPr>
                <w:rFonts w:hint="eastAsia"/>
                <w:sz w:val="24"/>
              </w:rPr>
              <w:t>等的设备噪声，来往车辆的交通噪声和门诊部就诊人员产生的社会噪声。</w:t>
            </w:r>
          </w:p>
          <w:p>
            <w:pPr>
              <w:spacing w:line="360" w:lineRule="auto"/>
              <w:ind w:firstLine="480" w:firstLineChars="200"/>
              <w:rPr>
                <w:rFonts w:hint="eastAsia" w:ascii="东文宋体" w:hAnsi="东文宋体" w:eastAsia="东文宋体" w:cs="东文宋体"/>
                <w:sz w:val="24"/>
              </w:rPr>
            </w:pPr>
            <w:r>
              <w:rPr>
                <w:rFonts w:hint="eastAsia" w:ascii="东文宋体" w:hAnsi="东文宋体" w:eastAsia="东文宋体" w:cs="东文宋体"/>
                <w:sz w:val="24"/>
              </w:rPr>
              <w:t>①设备噪声</w:t>
            </w:r>
          </w:p>
          <w:p>
            <w:pPr>
              <w:pStyle w:val="72"/>
              <w:ind w:firstLine="480"/>
              <w:rPr>
                <w:rFonts w:hint="eastAsia"/>
              </w:rPr>
            </w:pPr>
            <w:r>
              <w:rPr>
                <w:rFonts w:hint="eastAsia"/>
              </w:rPr>
              <w:t>采用以下措施来减少设备噪声对环境的影响：</w:t>
            </w:r>
          </w:p>
          <w:p>
            <w:pPr>
              <w:pStyle w:val="72"/>
              <w:ind w:firstLine="480"/>
              <w:rPr>
                <w:rFonts w:hint="eastAsia"/>
              </w:rPr>
            </w:pPr>
            <w:r>
              <w:rPr>
                <w:rFonts w:hint="eastAsia"/>
              </w:rPr>
              <w:t>a.设备选用安装的低噪声的先进设备；</w:t>
            </w:r>
          </w:p>
          <w:p>
            <w:pPr>
              <w:pStyle w:val="72"/>
              <w:ind w:firstLine="480"/>
              <w:rPr>
                <w:rFonts w:hint="eastAsia"/>
              </w:rPr>
            </w:pPr>
            <w:r>
              <w:rPr>
                <w:rFonts w:hint="eastAsia"/>
              </w:rPr>
              <w:t>b.对振动较强的水泵设备加设减震基座；</w:t>
            </w:r>
          </w:p>
          <w:p>
            <w:pPr>
              <w:pStyle w:val="72"/>
              <w:ind w:firstLine="480"/>
              <w:rPr>
                <w:rFonts w:hint="eastAsia"/>
              </w:rPr>
            </w:pPr>
            <w:r>
              <w:rPr>
                <w:rFonts w:hint="eastAsia"/>
              </w:rPr>
              <w:t>c.营运期间加强对设备的维修保养，保持其良好的运行效果；</w:t>
            </w:r>
          </w:p>
          <w:p>
            <w:pPr>
              <w:spacing w:line="360" w:lineRule="auto"/>
              <w:ind w:firstLine="480" w:firstLineChars="200"/>
              <w:rPr>
                <w:rFonts w:hint="eastAsia" w:ascii="东文宋体" w:hAnsi="东文宋体" w:eastAsia="东文宋体" w:cs="东文宋体"/>
                <w:sz w:val="24"/>
              </w:rPr>
            </w:pPr>
            <w:r>
              <w:rPr>
                <w:rFonts w:hint="eastAsia" w:ascii="东文宋体" w:hAnsi="东文宋体" w:eastAsia="东文宋体" w:cs="东文宋体"/>
                <w:sz w:val="24"/>
              </w:rPr>
              <w:t>②车辆噪声</w:t>
            </w:r>
          </w:p>
          <w:p>
            <w:pPr>
              <w:spacing w:line="360" w:lineRule="auto"/>
              <w:ind w:firstLine="480" w:firstLineChars="200"/>
              <w:rPr>
                <w:rFonts w:hint="eastAsia" w:ascii="东文宋体" w:hAnsi="东文宋体" w:eastAsia="东文宋体" w:cs="东文宋体"/>
                <w:sz w:val="24"/>
              </w:rPr>
            </w:pPr>
            <w:r>
              <w:rPr>
                <w:rFonts w:hint="eastAsia" w:ascii="东文宋体" w:hAnsi="东文宋体" w:eastAsia="东文宋体" w:cs="东文宋体"/>
                <w:sz w:val="24"/>
              </w:rPr>
              <w:t>本项目运营期间，院内经常有车辆进出，产生一定的噪声，通过要求车辆禁止鸣笛，严禁车辆频繁点火等措施减少车辆噪声对项目的影响。</w:t>
            </w:r>
          </w:p>
          <w:p>
            <w:pPr>
              <w:spacing w:line="360" w:lineRule="auto"/>
              <w:ind w:firstLine="480" w:firstLineChars="200"/>
              <w:rPr>
                <w:rFonts w:hint="eastAsia" w:ascii="东文宋体" w:hAnsi="东文宋体" w:eastAsia="东文宋体" w:cs="东文宋体"/>
                <w:sz w:val="24"/>
              </w:rPr>
            </w:pPr>
            <w:r>
              <w:rPr>
                <w:rFonts w:hint="eastAsia" w:ascii="东文宋体" w:hAnsi="东文宋体" w:eastAsia="东文宋体" w:cs="东文宋体"/>
                <w:sz w:val="24"/>
              </w:rPr>
              <w:t>③门诊部就诊人员产生的噪声</w:t>
            </w:r>
          </w:p>
          <w:p>
            <w:pPr>
              <w:spacing w:line="360" w:lineRule="auto"/>
              <w:ind w:firstLine="480" w:firstLineChars="200"/>
              <w:rPr>
                <w:rFonts w:hint="eastAsia"/>
                <w:sz w:val="24"/>
              </w:rPr>
            </w:pPr>
            <w:r>
              <w:rPr>
                <w:rFonts w:hint="eastAsia" w:ascii="东文宋体" w:hAnsi="东文宋体" w:eastAsia="东文宋体" w:cs="东文宋体"/>
                <w:sz w:val="24"/>
              </w:rPr>
              <w:t>本项目为精神病医院，部分精神病人就医过程中可能产生大吼大叫的情况， 产生社会噪声影响周边居民的生活。本项目将对精神极不稳定的病人采取注射镇 定剂稳定病人情绪，同时也减少病人产生噪声影响周边环境。对精神较稳定的住院病人采取妥善安置病人的房间位置，尽量靠近院内一侧，避免产生噪声对周边环境影响。同时本项目内不会长期居住精神病患者，患者主要为即诊即治即走</w:t>
            </w:r>
            <w:r>
              <w:rPr>
                <w:rFonts w:hint="eastAsia"/>
                <w:sz w:val="24"/>
              </w:rPr>
              <w:t>，不会对周边环境产生较大影响。</w:t>
            </w:r>
          </w:p>
          <w:p>
            <w:pPr>
              <w:spacing w:line="360" w:lineRule="auto"/>
              <w:ind w:firstLine="480" w:firstLineChars="200"/>
              <w:rPr>
                <w:rFonts w:hint="eastAsia"/>
                <w:sz w:val="24"/>
              </w:rPr>
            </w:pPr>
            <w:r>
              <w:rPr>
                <w:rFonts w:hint="eastAsia"/>
                <w:sz w:val="24"/>
              </w:rPr>
              <w:t>综上所述，项目采取上述噪声防治措施，项目营运期噪声能够得到一定的控制，通过</w:t>
            </w:r>
            <w:r>
              <w:rPr>
                <w:rFonts w:hint="eastAsia"/>
                <w:sz w:val="24"/>
                <w:lang w:eastAsia="zh-CN"/>
              </w:rPr>
              <w:t>验收</w:t>
            </w:r>
            <w:r>
              <w:rPr>
                <w:rFonts w:hint="eastAsia"/>
                <w:sz w:val="24"/>
              </w:rPr>
              <w:t>监测报告可知，项目场界噪声能够满足《工业企业厂界环境噪声排放标准》（GB12348-2008）表1中的2类标准要求。</w:t>
            </w:r>
          </w:p>
          <w:p>
            <w:pPr>
              <w:pStyle w:val="165"/>
              <w:bidi w:val="0"/>
              <w:jc w:val="right"/>
              <w:rPr>
                <w:rFonts w:hint="default" w:eastAsia="宋体"/>
                <w:b/>
                <w:bCs/>
                <w:lang w:val="en-US" w:eastAsia="zh-CN"/>
              </w:rPr>
            </w:pPr>
            <w:r>
              <w:rPr>
                <w:rFonts w:hint="eastAsia"/>
                <w:b/>
                <w:bCs/>
                <w:lang w:eastAsia="zh-CN"/>
              </w:rPr>
              <w:t>表</w:t>
            </w:r>
            <w:r>
              <w:rPr>
                <w:rFonts w:hint="eastAsia"/>
                <w:b/>
                <w:bCs/>
                <w:lang w:val="en-US" w:eastAsia="zh-CN"/>
              </w:rPr>
              <w:t xml:space="preserve">2-20  项目噪声验收监测结果   </w:t>
            </w:r>
            <w:r>
              <w:rPr>
                <w:rFonts w:hAnsi="宋体"/>
                <w:b/>
                <w:bCs/>
                <w:color w:val="000000"/>
                <w:sz w:val="21"/>
                <w:szCs w:val="21"/>
              </w:rPr>
              <w:t>单位：等效声级</w:t>
            </w:r>
            <w:r>
              <w:rPr>
                <w:b/>
                <w:bCs/>
                <w:color w:val="000000"/>
                <w:sz w:val="21"/>
                <w:szCs w:val="21"/>
              </w:rPr>
              <w:t>Leq[dB(A)]</w:t>
            </w:r>
          </w:p>
          <w:tbl>
            <w:tblPr>
              <w:tblStyle w:val="42"/>
              <w:tblW w:w="800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1"/>
              <w:gridCol w:w="694"/>
              <w:gridCol w:w="1875"/>
              <w:gridCol w:w="900"/>
              <w:gridCol w:w="937"/>
              <w:gridCol w:w="893"/>
              <w:gridCol w:w="889"/>
              <w:gridCol w:w="111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701" w:type="dxa"/>
                  <w:vMerge w:val="restart"/>
                  <w:tcBorders>
                    <w:tl2br w:val="nil"/>
                    <w:tr2bl w:val="nil"/>
                  </w:tcBorders>
                  <w:noWrap w:val="0"/>
                  <w:vAlign w:val="center"/>
                </w:tcPr>
                <w:p>
                  <w:pPr>
                    <w:pStyle w:val="165"/>
                    <w:bidi w:val="0"/>
                    <w:rPr>
                      <w:rFonts w:hint="eastAsia" w:eastAsia="宋体"/>
                      <w:b/>
                      <w:bCs/>
                      <w:sz w:val="21"/>
                      <w:szCs w:val="21"/>
                      <w:vertAlign w:val="baseline"/>
                      <w:lang w:eastAsia="zh-CN"/>
                    </w:rPr>
                  </w:pPr>
                  <w:r>
                    <w:rPr>
                      <w:rFonts w:hint="eastAsia"/>
                      <w:b/>
                      <w:bCs/>
                      <w:sz w:val="21"/>
                      <w:szCs w:val="21"/>
                      <w:vertAlign w:val="baseline"/>
                      <w:lang w:eastAsia="zh-CN"/>
                    </w:rPr>
                    <w:t>监测项目</w:t>
                  </w:r>
                </w:p>
              </w:tc>
              <w:tc>
                <w:tcPr>
                  <w:tcW w:w="694" w:type="dxa"/>
                  <w:vMerge w:val="restart"/>
                  <w:tcBorders>
                    <w:tl2br w:val="nil"/>
                    <w:tr2bl w:val="nil"/>
                  </w:tcBorders>
                  <w:noWrap w:val="0"/>
                  <w:vAlign w:val="center"/>
                </w:tcPr>
                <w:p>
                  <w:pPr>
                    <w:pStyle w:val="165"/>
                    <w:bidi w:val="0"/>
                    <w:rPr>
                      <w:rFonts w:hint="eastAsia" w:eastAsia="宋体"/>
                      <w:b/>
                      <w:bCs/>
                      <w:sz w:val="21"/>
                      <w:szCs w:val="21"/>
                      <w:vertAlign w:val="baseline"/>
                      <w:lang w:eastAsia="zh-CN"/>
                    </w:rPr>
                  </w:pPr>
                  <w:r>
                    <w:rPr>
                      <w:rFonts w:hint="eastAsia"/>
                      <w:b/>
                      <w:bCs/>
                      <w:sz w:val="21"/>
                      <w:szCs w:val="21"/>
                      <w:vertAlign w:val="baseline"/>
                      <w:lang w:eastAsia="zh-CN"/>
                    </w:rPr>
                    <w:t>监测日期</w:t>
                  </w:r>
                </w:p>
              </w:tc>
              <w:tc>
                <w:tcPr>
                  <w:tcW w:w="1875" w:type="dxa"/>
                  <w:vMerge w:val="restart"/>
                  <w:tcBorders>
                    <w:tl2br w:val="nil"/>
                    <w:tr2bl w:val="nil"/>
                  </w:tcBorders>
                  <w:noWrap w:val="0"/>
                  <w:vAlign w:val="center"/>
                </w:tcPr>
                <w:p>
                  <w:pPr>
                    <w:pStyle w:val="165"/>
                    <w:bidi w:val="0"/>
                    <w:rPr>
                      <w:rFonts w:hint="eastAsia" w:eastAsia="宋体"/>
                      <w:b/>
                      <w:bCs/>
                      <w:sz w:val="21"/>
                      <w:szCs w:val="21"/>
                      <w:vertAlign w:val="baseline"/>
                      <w:lang w:eastAsia="zh-CN"/>
                    </w:rPr>
                  </w:pPr>
                  <w:r>
                    <w:rPr>
                      <w:rFonts w:hint="eastAsia"/>
                      <w:b/>
                      <w:bCs/>
                      <w:sz w:val="21"/>
                      <w:szCs w:val="21"/>
                      <w:vertAlign w:val="baseline"/>
                      <w:lang w:eastAsia="zh-CN"/>
                    </w:rPr>
                    <w:t>监测点位</w:t>
                  </w:r>
                </w:p>
              </w:tc>
              <w:tc>
                <w:tcPr>
                  <w:tcW w:w="3619" w:type="dxa"/>
                  <w:gridSpan w:val="4"/>
                  <w:tcBorders>
                    <w:tl2br w:val="nil"/>
                    <w:tr2bl w:val="nil"/>
                  </w:tcBorders>
                  <w:noWrap w:val="0"/>
                  <w:vAlign w:val="center"/>
                </w:tcPr>
                <w:p>
                  <w:pPr>
                    <w:pStyle w:val="165"/>
                    <w:bidi w:val="0"/>
                    <w:rPr>
                      <w:rFonts w:hint="eastAsia"/>
                      <w:b/>
                      <w:bCs/>
                      <w:sz w:val="21"/>
                      <w:szCs w:val="21"/>
                      <w:vertAlign w:val="baseline"/>
                    </w:rPr>
                  </w:pPr>
                  <w:r>
                    <w:rPr>
                      <w:rFonts w:hint="eastAsia"/>
                      <w:b/>
                      <w:bCs/>
                      <w:sz w:val="21"/>
                      <w:szCs w:val="21"/>
                      <w:vertAlign w:val="baseline"/>
                      <w:lang w:eastAsia="zh-CN"/>
                    </w:rPr>
                    <w:t>等效声级</w:t>
                  </w:r>
                  <w:r>
                    <w:rPr>
                      <w:b/>
                      <w:bCs/>
                      <w:color w:val="000000"/>
                      <w:sz w:val="21"/>
                      <w:szCs w:val="21"/>
                    </w:rPr>
                    <w:t>Leq[dB(A)]</w:t>
                  </w:r>
                </w:p>
              </w:tc>
              <w:tc>
                <w:tcPr>
                  <w:tcW w:w="1111" w:type="dxa"/>
                  <w:vMerge w:val="restart"/>
                  <w:tcBorders>
                    <w:tl2br w:val="nil"/>
                    <w:tr2bl w:val="nil"/>
                  </w:tcBorders>
                  <w:noWrap w:val="0"/>
                  <w:vAlign w:val="center"/>
                </w:tcPr>
                <w:p>
                  <w:pPr>
                    <w:pStyle w:val="165"/>
                    <w:bidi w:val="0"/>
                    <w:rPr>
                      <w:rFonts w:hint="eastAsia" w:eastAsia="宋体"/>
                      <w:b/>
                      <w:bCs/>
                      <w:sz w:val="21"/>
                      <w:szCs w:val="21"/>
                      <w:vertAlign w:val="baseline"/>
                      <w:lang w:eastAsia="zh-CN"/>
                    </w:rPr>
                  </w:pPr>
                  <w:r>
                    <w:rPr>
                      <w:rFonts w:hint="eastAsia"/>
                      <w:b/>
                      <w:bCs/>
                      <w:sz w:val="21"/>
                      <w:szCs w:val="21"/>
                      <w:vertAlign w:val="baseline"/>
                      <w:lang w:eastAsia="zh-CN"/>
                    </w:rPr>
                    <w:t>标准限值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701" w:type="dxa"/>
                  <w:vMerge w:val="continue"/>
                  <w:tcBorders>
                    <w:tl2br w:val="nil"/>
                    <w:tr2bl w:val="nil"/>
                  </w:tcBorders>
                  <w:noWrap w:val="0"/>
                  <w:vAlign w:val="center"/>
                </w:tcPr>
                <w:p>
                  <w:pPr>
                    <w:pStyle w:val="165"/>
                    <w:bidi w:val="0"/>
                    <w:rPr>
                      <w:rFonts w:hint="eastAsia"/>
                      <w:sz w:val="21"/>
                      <w:szCs w:val="21"/>
                      <w:vertAlign w:val="baseline"/>
                    </w:rPr>
                  </w:pPr>
                </w:p>
              </w:tc>
              <w:tc>
                <w:tcPr>
                  <w:tcW w:w="694" w:type="dxa"/>
                  <w:vMerge w:val="continue"/>
                  <w:tcBorders>
                    <w:tl2br w:val="nil"/>
                    <w:tr2bl w:val="nil"/>
                  </w:tcBorders>
                  <w:noWrap w:val="0"/>
                  <w:vAlign w:val="center"/>
                </w:tcPr>
                <w:p>
                  <w:pPr>
                    <w:pStyle w:val="165"/>
                    <w:bidi w:val="0"/>
                    <w:rPr>
                      <w:rFonts w:hint="eastAsia"/>
                      <w:sz w:val="21"/>
                      <w:szCs w:val="21"/>
                      <w:vertAlign w:val="baseline"/>
                    </w:rPr>
                  </w:pPr>
                </w:p>
              </w:tc>
              <w:tc>
                <w:tcPr>
                  <w:tcW w:w="1875" w:type="dxa"/>
                  <w:vMerge w:val="continue"/>
                  <w:tcBorders>
                    <w:tl2br w:val="nil"/>
                    <w:tr2bl w:val="nil"/>
                  </w:tcBorders>
                  <w:noWrap w:val="0"/>
                  <w:vAlign w:val="center"/>
                </w:tcPr>
                <w:p>
                  <w:pPr>
                    <w:pStyle w:val="165"/>
                    <w:bidi w:val="0"/>
                    <w:rPr>
                      <w:rFonts w:hint="eastAsia"/>
                      <w:sz w:val="21"/>
                      <w:szCs w:val="21"/>
                      <w:vertAlign w:val="baseline"/>
                    </w:rPr>
                  </w:pPr>
                </w:p>
              </w:tc>
              <w:tc>
                <w:tcPr>
                  <w:tcW w:w="3619" w:type="dxa"/>
                  <w:gridSpan w:val="4"/>
                  <w:tcBorders>
                    <w:tl2br w:val="nil"/>
                    <w:tr2bl w:val="nil"/>
                  </w:tcBorders>
                  <w:noWrap w:val="0"/>
                  <w:vAlign w:val="center"/>
                </w:tcPr>
                <w:p>
                  <w:pPr>
                    <w:pStyle w:val="165"/>
                    <w:bidi w:val="0"/>
                    <w:rPr>
                      <w:rFonts w:hint="eastAsia"/>
                      <w:b/>
                      <w:bCs/>
                      <w:sz w:val="21"/>
                      <w:szCs w:val="21"/>
                      <w:vertAlign w:val="baseline"/>
                    </w:rPr>
                  </w:pPr>
                  <w:r>
                    <w:rPr>
                      <w:rFonts w:hint="eastAsia"/>
                      <w:b/>
                      <w:bCs/>
                      <w:sz w:val="21"/>
                      <w:szCs w:val="21"/>
                      <w:vertAlign w:val="baseline"/>
                      <w:lang w:eastAsia="zh-CN"/>
                    </w:rPr>
                    <w:t>监测结果</w:t>
                  </w:r>
                </w:p>
              </w:tc>
              <w:tc>
                <w:tcPr>
                  <w:tcW w:w="1111" w:type="dxa"/>
                  <w:vMerge w:val="continue"/>
                  <w:tcBorders>
                    <w:tl2br w:val="nil"/>
                    <w:tr2bl w:val="nil"/>
                  </w:tcBorders>
                  <w:noWrap w:val="0"/>
                  <w:vAlign w:val="center"/>
                </w:tcPr>
                <w:p>
                  <w:pPr>
                    <w:pStyle w:val="165"/>
                    <w:bidi w:val="0"/>
                    <w:rPr>
                      <w:rFonts w:hint="eastAsia"/>
                      <w:sz w:val="21"/>
                      <w:szCs w:val="21"/>
                      <w:vertAlign w:val="baseli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701" w:type="dxa"/>
                  <w:vMerge w:val="continue"/>
                  <w:tcBorders>
                    <w:tl2br w:val="nil"/>
                    <w:tr2bl w:val="nil"/>
                  </w:tcBorders>
                  <w:noWrap w:val="0"/>
                  <w:vAlign w:val="center"/>
                </w:tcPr>
                <w:p>
                  <w:pPr>
                    <w:pStyle w:val="165"/>
                    <w:bidi w:val="0"/>
                    <w:rPr>
                      <w:rFonts w:hint="eastAsia"/>
                      <w:sz w:val="21"/>
                      <w:szCs w:val="21"/>
                      <w:vertAlign w:val="baseline"/>
                    </w:rPr>
                  </w:pPr>
                </w:p>
              </w:tc>
              <w:tc>
                <w:tcPr>
                  <w:tcW w:w="694" w:type="dxa"/>
                  <w:vMerge w:val="continue"/>
                  <w:tcBorders>
                    <w:tl2br w:val="nil"/>
                    <w:tr2bl w:val="nil"/>
                  </w:tcBorders>
                  <w:noWrap w:val="0"/>
                  <w:vAlign w:val="center"/>
                </w:tcPr>
                <w:p>
                  <w:pPr>
                    <w:pStyle w:val="165"/>
                    <w:bidi w:val="0"/>
                    <w:rPr>
                      <w:rFonts w:hint="eastAsia"/>
                      <w:sz w:val="21"/>
                      <w:szCs w:val="21"/>
                      <w:vertAlign w:val="baseline"/>
                    </w:rPr>
                  </w:pPr>
                </w:p>
              </w:tc>
              <w:tc>
                <w:tcPr>
                  <w:tcW w:w="1875" w:type="dxa"/>
                  <w:vMerge w:val="continue"/>
                  <w:tcBorders>
                    <w:tl2br w:val="nil"/>
                    <w:tr2bl w:val="nil"/>
                  </w:tcBorders>
                  <w:noWrap w:val="0"/>
                  <w:vAlign w:val="center"/>
                </w:tcPr>
                <w:p>
                  <w:pPr>
                    <w:pStyle w:val="165"/>
                    <w:bidi w:val="0"/>
                    <w:rPr>
                      <w:rFonts w:hint="eastAsia"/>
                      <w:sz w:val="21"/>
                      <w:szCs w:val="21"/>
                      <w:vertAlign w:val="baseline"/>
                    </w:rPr>
                  </w:pPr>
                </w:p>
              </w:tc>
              <w:tc>
                <w:tcPr>
                  <w:tcW w:w="1837" w:type="dxa"/>
                  <w:gridSpan w:val="2"/>
                  <w:tcBorders>
                    <w:tl2br w:val="nil"/>
                    <w:tr2bl w:val="nil"/>
                  </w:tcBorders>
                  <w:noWrap w:val="0"/>
                  <w:vAlign w:val="center"/>
                </w:tcPr>
                <w:p>
                  <w:pPr>
                    <w:pStyle w:val="165"/>
                    <w:bidi w:val="0"/>
                    <w:rPr>
                      <w:rFonts w:hint="eastAsia" w:eastAsia="宋体"/>
                      <w:b/>
                      <w:bCs/>
                      <w:sz w:val="21"/>
                      <w:szCs w:val="21"/>
                      <w:vertAlign w:val="baseline"/>
                      <w:lang w:eastAsia="zh-CN"/>
                    </w:rPr>
                  </w:pPr>
                  <w:r>
                    <w:rPr>
                      <w:rFonts w:hint="eastAsia"/>
                      <w:b/>
                      <w:bCs/>
                      <w:sz w:val="21"/>
                      <w:szCs w:val="21"/>
                      <w:vertAlign w:val="baseline"/>
                      <w:lang w:eastAsia="zh-CN"/>
                    </w:rPr>
                    <w:t>昼间</w:t>
                  </w:r>
                </w:p>
              </w:tc>
              <w:tc>
                <w:tcPr>
                  <w:tcW w:w="1782" w:type="dxa"/>
                  <w:gridSpan w:val="2"/>
                  <w:tcBorders>
                    <w:tl2br w:val="nil"/>
                    <w:tr2bl w:val="nil"/>
                  </w:tcBorders>
                  <w:noWrap w:val="0"/>
                  <w:vAlign w:val="center"/>
                </w:tcPr>
                <w:p>
                  <w:pPr>
                    <w:pStyle w:val="165"/>
                    <w:bidi w:val="0"/>
                    <w:rPr>
                      <w:rFonts w:hint="eastAsia"/>
                      <w:b/>
                      <w:bCs/>
                      <w:sz w:val="21"/>
                      <w:szCs w:val="21"/>
                      <w:vertAlign w:val="baseline"/>
                    </w:rPr>
                  </w:pPr>
                  <w:r>
                    <w:rPr>
                      <w:rFonts w:hint="eastAsia"/>
                      <w:b/>
                      <w:bCs/>
                      <w:sz w:val="21"/>
                      <w:szCs w:val="21"/>
                      <w:vertAlign w:val="baseline"/>
                      <w:lang w:eastAsia="zh-CN"/>
                    </w:rPr>
                    <w:t>夜间</w:t>
                  </w:r>
                </w:p>
              </w:tc>
              <w:tc>
                <w:tcPr>
                  <w:tcW w:w="1111" w:type="dxa"/>
                  <w:vMerge w:val="continue"/>
                  <w:tcBorders>
                    <w:tl2br w:val="nil"/>
                    <w:tr2bl w:val="nil"/>
                  </w:tcBorders>
                  <w:noWrap w:val="0"/>
                  <w:vAlign w:val="center"/>
                </w:tcPr>
                <w:p>
                  <w:pPr>
                    <w:pStyle w:val="165"/>
                    <w:bidi w:val="0"/>
                    <w:rPr>
                      <w:rFonts w:hint="eastAsia"/>
                      <w:sz w:val="21"/>
                      <w:szCs w:val="21"/>
                      <w:vertAlign w:val="baseli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701" w:type="dxa"/>
                  <w:vMerge w:val="continue"/>
                  <w:tcBorders>
                    <w:tl2br w:val="nil"/>
                    <w:tr2bl w:val="nil"/>
                  </w:tcBorders>
                  <w:noWrap w:val="0"/>
                  <w:vAlign w:val="center"/>
                </w:tcPr>
                <w:p>
                  <w:pPr>
                    <w:pStyle w:val="165"/>
                    <w:bidi w:val="0"/>
                    <w:rPr>
                      <w:rFonts w:hint="eastAsia"/>
                      <w:sz w:val="21"/>
                      <w:szCs w:val="21"/>
                      <w:vertAlign w:val="baseline"/>
                    </w:rPr>
                  </w:pPr>
                </w:p>
              </w:tc>
              <w:tc>
                <w:tcPr>
                  <w:tcW w:w="694" w:type="dxa"/>
                  <w:vMerge w:val="continue"/>
                  <w:tcBorders>
                    <w:tl2br w:val="nil"/>
                    <w:tr2bl w:val="nil"/>
                  </w:tcBorders>
                  <w:noWrap w:val="0"/>
                  <w:vAlign w:val="center"/>
                </w:tcPr>
                <w:p>
                  <w:pPr>
                    <w:pStyle w:val="165"/>
                    <w:bidi w:val="0"/>
                    <w:rPr>
                      <w:rFonts w:hint="eastAsia"/>
                      <w:sz w:val="21"/>
                      <w:szCs w:val="21"/>
                      <w:vertAlign w:val="baseline"/>
                    </w:rPr>
                  </w:pPr>
                </w:p>
              </w:tc>
              <w:tc>
                <w:tcPr>
                  <w:tcW w:w="1875" w:type="dxa"/>
                  <w:vMerge w:val="continue"/>
                  <w:tcBorders>
                    <w:tl2br w:val="nil"/>
                    <w:tr2bl w:val="nil"/>
                  </w:tcBorders>
                  <w:noWrap w:val="0"/>
                  <w:vAlign w:val="center"/>
                </w:tcPr>
                <w:p>
                  <w:pPr>
                    <w:pStyle w:val="165"/>
                    <w:bidi w:val="0"/>
                    <w:rPr>
                      <w:rFonts w:hint="eastAsia"/>
                      <w:sz w:val="21"/>
                      <w:szCs w:val="21"/>
                      <w:vertAlign w:val="baseline"/>
                    </w:rPr>
                  </w:pPr>
                </w:p>
              </w:tc>
              <w:tc>
                <w:tcPr>
                  <w:tcW w:w="900" w:type="dxa"/>
                  <w:tcBorders>
                    <w:tl2br w:val="nil"/>
                    <w:tr2bl w:val="nil"/>
                  </w:tcBorders>
                  <w:noWrap w:val="0"/>
                  <w:vAlign w:val="center"/>
                </w:tcPr>
                <w:p>
                  <w:pPr>
                    <w:pStyle w:val="165"/>
                    <w:bidi w:val="0"/>
                    <w:rPr>
                      <w:rFonts w:hint="eastAsia" w:eastAsia="宋体"/>
                      <w:b/>
                      <w:bCs/>
                      <w:sz w:val="21"/>
                      <w:szCs w:val="21"/>
                      <w:vertAlign w:val="baseline"/>
                      <w:lang w:eastAsia="zh-CN"/>
                    </w:rPr>
                  </w:pPr>
                  <w:r>
                    <w:rPr>
                      <w:rFonts w:hint="eastAsia"/>
                      <w:b/>
                      <w:bCs/>
                      <w:sz w:val="21"/>
                      <w:szCs w:val="21"/>
                      <w:vertAlign w:val="baseline"/>
                      <w:lang w:eastAsia="zh-CN"/>
                    </w:rPr>
                    <w:t>一次</w:t>
                  </w:r>
                </w:p>
              </w:tc>
              <w:tc>
                <w:tcPr>
                  <w:tcW w:w="937" w:type="dxa"/>
                  <w:tcBorders>
                    <w:tl2br w:val="nil"/>
                    <w:tr2bl w:val="nil"/>
                  </w:tcBorders>
                  <w:noWrap w:val="0"/>
                  <w:vAlign w:val="center"/>
                </w:tcPr>
                <w:p>
                  <w:pPr>
                    <w:pStyle w:val="165"/>
                    <w:bidi w:val="0"/>
                    <w:rPr>
                      <w:rFonts w:hint="eastAsia" w:eastAsia="宋体"/>
                      <w:b/>
                      <w:bCs/>
                      <w:sz w:val="21"/>
                      <w:szCs w:val="21"/>
                      <w:vertAlign w:val="baseline"/>
                      <w:lang w:eastAsia="zh-CN"/>
                    </w:rPr>
                  </w:pPr>
                  <w:r>
                    <w:rPr>
                      <w:rFonts w:hint="eastAsia"/>
                      <w:b/>
                      <w:bCs/>
                      <w:sz w:val="21"/>
                      <w:szCs w:val="21"/>
                      <w:vertAlign w:val="baseline"/>
                      <w:lang w:eastAsia="zh-CN"/>
                    </w:rPr>
                    <w:t>二次</w:t>
                  </w:r>
                </w:p>
              </w:tc>
              <w:tc>
                <w:tcPr>
                  <w:tcW w:w="893" w:type="dxa"/>
                  <w:tcBorders>
                    <w:tl2br w:val="nil"/>
                    <w:tr2bl w:val="nil"/>
                  </w:tcBorders>
                  <w:noWrap w:val="0"/>
                  <w:vAlign w:val="center"/>
                </w:tcPr>
                <w:p>
                  <w:pPr>
                    <w:pStyle w:val="165"/>
                    <w:bidi w:val="0"/>
                    <w:rPr>
                      <w:rFonts w:hint="eastAsia" w:ascii="Times New Roman" w:hAnsi="Times New Roman" w:eastAsia="宋体" w:cs="Times New Roman"/>
                      <w:b/>
                      <w:bCs/>
                      <w:sz w:val="21"/>
                      <w:szCs w:val="21"/>
                      <w:vertAlign w:val="baseline"/>
                      <w:lang w:val="en-US" w:eastAsia="zh-CN" w:bidi="ar-SA"/>
                    </w:rPr>
                  </w:pPr>
                  <w:r>
                    <w:rPr>
                      <w:rFonts w:hint="eastAsia"/>
                      <w:b/>
                      <w:bCs/>
                      <w:sz w:val="21"/>
                      <w:szCs w:val="21"/>
                      <w:vertAlign w:val="baseline"/>
                      <w:lang w:eastAsia="zh-CN"/>
                    </w:rPr>
                    <w:t>一次</w:t>
                  </w:r>
                </w:p>
              </w:tc>
              <w:tc>
                <w:tcPr>
                  <w:tcW w:w="889" w:type="dxa"/>
                  <w:tcBorders>
                    <w:tl2br w:val="nil"/>
                    <w:tr2bl w:val="nil"/>
                  </w:tcBorders>
                  <w:noWrap w:val="0"/>
                  <w:vAlign w:val="center"/>
                </w:tcPr>
                <w:p>
                  <w:pPr>
                    <w:pStyle w:val="165"/>
                    <w:bidi w:val="0"/>
                    <w:rPr>
                      <w:rFonts w:hint="eastAsia" w:ascii="Times New Roman" w:hAnsi="Times New Roman" w:eastAsia="宋体" w:cs="Times New Roman"/>
                      <w:b/>
                      <w:bCs/>
                      <w:sz w:val="21"/>
                      <w:szCs w:val="21"/>
                      <w:vertAlign w:val="baseline"/>
                      <w:lang w:val="en-US" w:eastAsia="zh-CN" w:bidi="ar-SA"/>
                    </w:rPr>
                  </w:pPr>
                  <w:r>
                    <w:rPr>
                      <w:rFonts w:hint="eastAsia"/>
                      <w:b/>
                      <w:bCs/>
                      <w:sz w:val="21"/>
                      <w:szCs w:val="21"/>
                      <w:vertAlign w:val="baseline"/>
                      <w:lang w:eastAsia="zh-CN"/>
                    </w:rPr>
                    <w:t>二次</w:t>
                  </w:r>
                </w:p>
              </w:tc>
              <w:tc>
                <w:tcPr>
                  <w:tcW w:w="1111" w:type="dxa"/>
                  <w:vMerge w:val="continue"/>
                  <w:tcBorders>
                    <w:tl2br w:val="nil"/>
                    <w:tr2bl w:val="nil"/>
                  </w:tcBorders>
                  <w:noWrap w:val="0"/>
                  <w:vAlign w:val="center"/>
                </w:tcPr>
                <w:p>
                  <w:pPr>
                    <w:pStyle w:val="165"/>
                    <w:bidi w:val="0"/>
                    <w:rPr>
                      <w:rFonts w:hint="eastAsia"/>
                      <w:sz w:val="21"/>
                      <w:szCs w:val="21"/>
                      <w:vertAlign w:val="baseli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701" w:type="dxa"/>
                  <w:vMerge w:val="restart"/>
                  <w:tcBorders>
                    <w:tl2br w:val="nil"/>
                    <w:tr2bl w:val="nil"/>
                  </w:tcBorders>
                  <w:noWrap w:val="0"/>
                  <w:vAlign w:val="center"/>
                </w:tcPr>
                <w:p>
                  <w:pPr>
                    <w:pStyle w:val="165"/>
                    <w:bidi w:val="0"/>
                    <w:rPr>
                      <w:rFonts w:hint="eastAsia" w:eastAsia="宋体"/>
                      <w:sz w:val="21"/>
                      <w:szCs w:val="21"/>
                      <w:vertAlign w:val="baseline"/>
                      <w:lang w:eastAsia="zh-CN"/>
                    </w:rPr>
                  </w:pPr>
                  <w:r>
                    <w:rPr>
                      <w:rFonts w:hint="eastAsia"/>
                      <w:sz w:val="21"/>
                      <w:szCs w:val="21"/>
                      <w:vertAlign w:val="baseline"/>
                      <w:lang w:eastAsia="zh-CN"/>
                    </w:rPr>
                    <w:t>厂界噪声</w:t>
                  </w:r>
                </w:p>
              </w:tc>
              <w:tc>
                <w:tcPr>
                  <w:tcW w:w="694" w:type="dxa"/>
                  <w:vMerge w:val="restart"/>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2018.05.24</w:t>
                  </w:r>
                </w:p>
              </w:tc>
              <w:tc>
                <w:tcPr>
                  <w:tcW w:w="1875" w:type="dxa"/>
                  <w:tcBorders>
                    <w:tl2br w:val="nil"/>
                    <w:tr2bl w:val="nil"/>
                  </w:tcBorders>
                  <w:noWrap w:val="0"/>
                  <w:vAlign w:val="center"/>
                </w:tcPr>
                <w:p>
                  <w:pPr>
                    <w:pStyle w:val="165"/>
                    <w:bidi w:val="0"/>
                    <w:rPr>
                      <w:rFonts w:hint="eastAsia" w:eastAsia="宋体"/>
                      <w:sz w:val="21"/>
                      <w:szCs w:val="21"/>
                      <w:vertAlign w:val="baseline"/>
                      <w:lang w:eastAsia="zh-CN"/>
                    </w:rPr>
                  </w:pPr>
                  <w:r>
                    <w:rPr>
                      <w:rFonts w:hint="eastAsia"/>
                      <w:sz w:val="21"/>
                      <w:szCs w:val="21"/>
                      <w:vertAlign w:val="baseline"/>
                      <w:lang w:val="en-US" w:eastAsia="zh-CN"/>
                    </w:rPr>
                    <w:t>1#</w:t>
                  </w:r>
                  <w:r>
                    <w:rPr>
                      <w:rFonts w:hint="eastAsia"/>
                      <w:sz w:val="21"/>
                      <w:szCs w:val="21"/>
                      <w:vertAlign w:val="baseline"/>
                      <w:lang w:eastAsia="zh-CN"/>
                    </w:rPr>
                    <w:t>厂界北侧</w:t>
                  </w:r>
                </w:p>
              </w:tc>
              <w:tc>
                <w:tcPr>
                  <w:tcW w:w="900"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51.2</w:t>
                  </w:r>
                </w:p>
              </w:tc>
              <w:tc>
                <w:tcPr>
                  <w:tcW w:w="937"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50.7</w:t>
                  </w:r>
                </w:p>
              </w:tc>
              <w:tc>
                <w:tcPr>
                  <w:tcW w:w="893"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49.0</w:t>
                  </w:r>
                </w:p>
              </w:tc>
              <w:tc>
                <w:tcPr>
                  <w:tcW w:w="889"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48.0</w:t>
                  </w:r>
                </w:p>
              </w:tc>
              <w:tc>
                <w:tcPr>
                  <w:tcW w:w="1111" w:type="dxa"/>
                  <w:vMerge w:val="restart"/>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eastAsia="zh-CN"/>
                    </w:rPr>
                    <w:t>昼间：</w:t>
                  </w:r>
                  <w:r>
                    <w:rPr>
                      <w:rFonts w:hint="eastAsia"/>
                      <w:sz w:val="21"/>
                      <w:szCs w:val="21"/>
                      <w:vertAlign w:val="baseline"/>
                      <w:lang w:val="en-US" w:eastAsia="zh-CN"/>
                    </w:rPr>
                    <w:t>60夜间：50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701" w:type="dxa"/>
                  <w:vMerge w:val="continue"/>
                  <w:tcBorders>
                    <w:tl2br w:val="nil"/>
                    <w:tr2bl w:val="nil"/>
                  </w:tcBorders>
                  <w:noWrap w:val="0"/>
                  <w:vAlign w:val="center"/>
                </w:tcPr>
                <w:p>
                  <w:pPr>
                    <w:pStyle w:val="165"/>
                    <w:bidi w:val="0"/>
                    <w:rPr>
                      <w:rFonts w:hint="eastAsia"/>
                      <w:sz w:val="21"/>
                      <w:szCs w:val="21"/>
                      <w:vertAlign w:val="baseline"/>
                    </w:rPr>
                  </w:pPr>
                </w:p>
              </w:tc>
              <w:tc>
                <w:tcPr>
                  <w:tcW w:w="694" w:type="dxa"/>
                  <w:vMerge w:val="continue"/>
                  <w:tcBorders>
                    <w:tl2br w:val="nil"/>
                    <w:tr2bl w:val="nil"/>
                  </w:tcBorders>
                  <w:noWrap w:val="0"/>
                  <w:vAlign w:val="center"/>
                </w:tcPr>
                <w:p>
                  <w:pPr>
                    <w:pStyle w:val="165"/>
                    <w:bidi w:val="0"/>
                    <w:rPr>
                      <w:rFonts w:hint="eastAsia"/>
                      <w:sz w:val="21"/>
                      <w:szCs w:val="21"/>
                      <w:vertAlign w:val="baseline"/>
                    </w:rPr>
                  </w:pPr>
                </w:p>
              </w:tc>
              <w:tc>
                <w:tcPr>
                  <w:tcW w:w="1875"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2#厂界东侧</w:t>
                  </w:r>
                </w:p>
              </w:tc>
              <w:tc>
                <w:tcPr>
                  <w:tcW w:w="900"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50.3</w:t>
                  </w:r>
                </w:p>
              </w:tc>
              <w:tc>
                <w:tcPr>
                  <w:tcW w:w="937"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51.2</w:t>
                  </w:r>
                </w:p>
              </w:tc>
              <w:tc>
                <w:tcPr>
                  <w:tcW w:w="893"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48.7</w:t>
                  </w:r>
                </w:p>
              </w:tc>
              <w:tc>
                <w:tcPr>
                  <w:tcW w:w="889"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47.2</w:t>
                  </w:r>
                </w:p>
              </w:tc>
              <w:tc>
                <w:tcPr>
                  <w:tcW w:w="1111" w:type="dxa"/>
                  <w:vMerge w:val="continue"/>
                  <w:tcBorders>
                    <w:tl2br w:val="nil"/>
                    <w:tr2bl w:val="nil"/>
                  </w:tcBorders>
                  <w:noWrap w:val="0"/>
                  <w:vAlign w:val="center"/>
                </w:tcPr>
                <w:p>
                  <w:pPr>
                    <w:pStyle w:val="165"/>
                    <w:bidi w:val="0"/>
                    <w:rPr>
                      <w:rFonts w:hint="eastAsia"/>
                      <w:sz w:val="21"/>
                      <w:szCs w:val="21"/>
                      <w:vertAlign w:val="baseli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701" w:type="dxa"/>
                  <w:vMerge w:val="continue"/>
                  <w:tcBorders>
                    <w:tl2br w:val="nil"/>
                    <w:tr2bl w:val="nil"/>
                  </w:tcBorders>
                  <w:noWrap w:val="0"/>
                  <w:vAlign w:val="center"/>
                </w:tcPr>
                <w:p>
                  <w:pPr>
                    <w:pStyle w:val="165"/>
                    <w:bidi w:val="0"/>
                    <w:rPr>
                      <w:rFonts w:hint="eastAsia"/>
                      <w:sz w:val="21"/>
                      <w:szCs w:val="21"/>
                      <w:vertAlign w:val="baseline"/>
                    </w:rPr>
                  </w:pPr>
                </w:p>
              </w:tc>
              <w:tc>
                <w:tcPr>
                  <w:tcW w:w="694" w:type="dxa"/>
                  <w:vMerge w:val="continue"/>
                  <w:tcBorders>
                    <w:tl2br w:val="nil"/>
                    <w:tr2bl w:val="nil"/>
                  </w:tcBorders>
                  <w:noWrap w:val="0"/>
                  <w:vAlign w:val="center"/>
                </w:tcPr>
                <w:p>
                  <w:pPr>
                    <w:pStyle w:val="165"/>
                    <w:bidi w:val="0"/>
                    <w:rPr>
                      <w:rFonts w:hint="eastAsia"/>
                      <w:sz w:val="21"/>
                      <w:szCs w:val="21"/>
                      <w:vertAlign w:val="baseline"/>
                    </w:rPr>
                  </w:pPr>
                </w:p>
              </w:tc>
              <w:tc>
                <w:tcPr>
                  <w:tcW w:w="1875"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3#厂界南侧</w:t>
                  </w:r>
                </w:p>
              </w:tc>
              <w:tc>
                <w:tcPr>
                  <w:tcW w:w="900"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52.7</w:t>
                  </w:r>
                </w:p>
              </w:tc>
              <w:tc>
                <w:tcPr>
                  <w:tcW w:w="937"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52.3</w:t>
                  </w:r>
                </w:p>
              </w:tc>
              <w:tc>
                <w:tcPr>
                  <w:tcW w:w="893"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48.2</w:t>
                  </w:r>
                </w:p>
              </w:tc>
              <w:tc>
                <w:tcPr>
                  <w:tcW w:w="889"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47.0</w:t>
                  </w:r>
                </w:p>
              </w:tc>
              <w:tc>
                <w:tcPr>
                  <w:tcW w:w="1111" w:type="dxa"/>
                  <w:vMerge w:val="continue"/>
                  <w:tcBorders>
                    <w:tl2br w:val="nil"/>
                    <w:tr2bl w:val="nil"/>
                  </w:tcBorders>
                  <w:noWrap w:val="0"/>
                  <w:vAlign w:val="center"/>
                </w:tcPr>
                <w:p>
                  <w:pPr>
                    <w:pStyle w:val="165"/>
                    <w:bidi w:val="0"/>
                    <w:rPr>
                      <w:rFonts w:hint="eastAsia"/>
                      <w:sz w:val="21"/>
                      <w:szCs w:val="21"/>
                      <w:vertAlign w:val="baseli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701" w:type="dxa"/>
                  <w:vMerge w:val="continue"/>
                  <w:tcBorders>
                    <w:tl2br w:val="nil"/>
                    <w:tr2bl w:val="nil"/>
                  </w:tcBorders>
                  <w:noWrap w:val="0"/>
                  <w:vAlign w:val="center"/>
                </w:tcPr>
                <w:p>
                  <w:pPr>
                    <w:pStyle w:val="165"/>
                    <w:bidi w:val="0"/>
                    <w:rPr>
                      <w:rFonts w:hint="eastAsia"/>
                      <w:sz w:val="21"/>
                      <w:szCs w:val="21"/>
                      <w:vertAlign w:val="baseline"/>
                    </w:rPr>
                  </w:pPr>
                </w:p>
              </w:tc>
              <w:tc>
                <w:tcPr>
                  <w:tcW w:w="694" w:type="dxa"/>
                  <w:vMerge w:val="continue"/>
                  <w:tcBorders>
                    <w:tl2br w:val="nil"/>
                    <w:tr2bl w:val="nil"/>
                  </w:tcBorders>
                  <w:noWrap w:val="0"/>
                  <w:vAlign w:val="center"/>
                </w:tcPr>
                <w:p>
                  <w:pPr>
                    <w:pStyle w:val="165"/>
                    <w:bidi w:val="0"/>
                    <w:rPr>
                      <w:rFonts w:hint="eastAsia"/>
                      <w:sz w:val="21"/>
                      <w:szCs w:val="21"/>
                      <w:vertAlign w:val="baseline"/>
                    </w:rPr>
                  </w:pPr>
                </w:p>
              </w:tc>
              <w:tc>
                <w:tcPr>
                  <w:tcW w:w="1875"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4#厂界西侧</w:t>
                  </w:r>
                </w:p>
              </w:tc>
              <w:tc>
                <w:tcPr>
                  <w:tcW w:w="900"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50.0</w:t>
                  </w:r>
                </w:p>
              </w:tc>
              <w:tc>
                <w:tcPr>
                  <w:tcW w:w="937"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50.5</w:t>
                  </w:r>
                </w:p>
              </w:tc>
              <w:tc>
                <w:tcPr>
                  <w:tcW w:w="893"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49.3</w:t>
                  </w:r>
                </w:p>
              </w:tc>
              <w:tc>
                <w:tcPr>
                  <w:tcW w:w="889"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47.7</w:t>
                  </w:r>
                </w:p>
              </w:tc>
              <w:tc>
                <w:tcPr>
                  <w:tcW w:w="1111" w:type="dxa"/>
                  <w:vMerge w:val="continue"/>
                  <w:tcBorders>
                    <w:tl2br w:val="nil"/>
                    <w:tr2bl w:val="nil"/>
                  </w:tcBorders>
                  <w:noWrap w:val="0"/>
                  <w:vAlign w:val="center"/>
                </w:tcPr>
                <w:p>
                  <w:pPr>
                    <w:pStyle w:val="165"/>
                    <w:bidi w:val="0"/>
                    <w:rPr>
                      <w:rFonts w:hint="eastAsia"/>
                      <w:sz w:val="21"/>
                      <w:szCs w:val="21"/>
                      <w:vertAlign w:val="baseli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701" w:type="dxa"/>
                  <w:vMerge w:val="continue"/>
                  <w:tcBorders>
                    <w:tl2br w:val="nil"/>
                    <w:tr2bl w:val="nil"/>
                  </w:tcBorders>
                  <w:noWrap w:val="0"/>
                  <w:vAlign w:val="center"/>
                </w:tcPr>
                <w:p>
                  <w:pPr>
                    <w:pStyle w:val="165"/>
                    <w:bidi w:val="0"/>
                    <w:rPr>
                      <w:rFonts w:hint="eastAsia"/>
                      <w:sz w:val="21"/>
                      <w:szCs w:val="21"/>
                      <w:vertAlign w:val="baseline"/>
                    </w:rPr>
                  </w:pPr>
                </w:p>
              </w:tc>
              <w:tc>
                <w:tcPr>
                  <w:tcW w:w="694" w:type="dxa"/>
                  <w:vMerge w:val="restart"/>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2018.05.25</w:t>
                  </w:r>
                </w:p>
              </w:tc>
              <w:tc>
                <w:tcPr>
                  <w:tcW w:w="1875" w:type="dxa"/>
                  <w:tcBorders>
                    <w:tl2br w:val="nil"/>
                    <w:tr2bl w:val="nil"/>
                  </w:tcBorders>
                  <w:noWrap w:val="0"/>
                  <w:vAlign w:val="center"/>
                </w:tcPr>
                <w:p>
                  <w:pPr>
                    <w:pStyle w:val="165"/>
                    <w:bidi w:val="0"/>
                    <w:rPr>
                      <w:rFonts w:hint="eastAsia" w:ascii="Times New Roman" w:hAnsi="Times New Roman" w:eastAsia="宋体" w:cs="Times New Roman"/>
                      <w:sz w:val="21"/>
                      <w:szCs w:val="21"/>
                      <w:vertAlign w:val="baseline"/>
                      <w:lang w:val="en-US" w:eastAsia="zh-CN" w:bidi="ar-SA"/>
                    </w:rPr>
                  </w:pPr>
                  <w:r>
                    <w:rPr>
                      <w:rFonts w:hint="eastAsia"/>
                      <w:sz w:val="21"/>
                      <w:szCs w:val="21"/>
                      <w:vertAlign w:val="baseline"/>
                      <w:lang w:val="en-US" w:eastAsia="zh-CN"/>
                    </w:rPr>
                    <w:t>1#</w:t>
                  </w:r>
                  <w:r>
                    <w:rPr>
                      <w:rFonts w:hint="eastAsia"/>
                      <w:sz w:val="21"/>
                      <w:szCs w:val="21"/>
                      <w:vertAlign w:val="baseline"/>
                      <w:lang w:eastAsia="zh-CN"/>
                    </w:rPr>
                    <w:t>厂界北侧</w:t>
                  </w:r>
                </w:p>
              </w:tc>
              <w:tc>
                <w:tcPr>
                  <w:tcW w:w="900"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50.1</w:t>
                  </w:r>
                </w:p>
              </w:tc>
              <w:tc>
                <w:tcPr>
                  <w:tcW w:w="937"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52.3</w:t>
                  </w:r>
                </w:p>
              </w:tc>
              <w:tc>
                <w:tcPr>
                  <w:tcW w:w="893"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47.7</w:t>
                  </w:r>
                </w:p>
              </w:tc>
              <w:tc>
                <w:tcPr>
                  <w:tcW w:w="889" w:type="dxa"/>
                  <w:tcBorders>
                    <w:tl2br w:val="nil"/>
                    <w:tr2bl w:val="nil"/>
                  </w:tcBorders>
                  <w:noWrap w:val="0"/>
                  <w:vAlign w:val="center"/>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47.1</w:t>
                  </w:r>
                </w:p>
              </w:tc>
              <w:tc>
                <w:tcPr>
                  <w:tcW w:w="1111" w:type="dxa"/>
                  <w:vMerge w:val="continue"/>
                  <w:tcBorders>
                    <w:tl2br w:val="nil"/>
                    <w:tr2bl w:val="nil"/>
                  </w:tcBorders>
                  <w:noWrap w:val="0"/>
                  <w:vAlign w:val="center"/>
                </w:tcPr>
                <w:p>
                  <w:pPr>
                    <w:pStyle w:val="165"/>
                    <w:bidi w:val="0"/>
                    <w:rPr>
                      <w:rFonts w:hint="eastAsia"/>
                      <w:sz w:val="21"/>
                      <w:szCs w:val="21"/>
                      <w:vertAlign w:val="baseli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701" w:type="dxa"/>
                  <w:vMerge w:val="continue"/>
                  <w:noWrap w:val="0"/>
                  <w:vAlign w:val="top"/>
                </w:tcPr>
                <w:p>
                  <w:pPr>
                    <w:pStyle w:val="165"/>
                    <w:bidi w:val="0"/>
                    <w:rPr>
                      <w:rFonts w:hint="eastAsia"/>
                      <w:sz w:val="21"/>
                      <w:szCs w:val="21"/>
                      <w:vertAlign w:val="baseline"/>
                    </w:rPr>
                  </w:pPr>
                </w:p>
              </w:tc>
              <w:tc>
                <w:tcPr>
                  <w:tcW w:w="694" w:type="dxa"/>
                  <w:vMerge w:val="continue"/>
                  <w:noWrap w:val="0"/>
                  <w:vAlign w:val="top"/>
                </w:tcPr>
                <w:p>
                  <w:pPr>
                    <w:pStyle w:val="165"/>
                    <w:bidi w:val="0"/>
                    <w:rPr>
                      <w:rFonts w:hint="eastAsia"/>
                      <w:sz w:val="21"/>
                      <w:szCs w:val="21"/>
                      <w:vertAlign w:val="baseline"/>
                    </w:rPr>
                  </w:pPr>
                </w:p>
              </w:tc>
              <w:tc>
                <w:tcPr>
                  <w:tcW w:w="0" w:type="auto"/>
                  <w:noWrap w:val="0"/>
                  <w:vAlign w:val="center"/>
                </w:tcPr>
                <w:p>
                  <w:pPr>
                    <w:pStyle w:val="165"/>
                    <w:bidi w:val="0"/>
                    <w:rPr>
                      <w:rFonts w:hint="eastAsia" w:ascii="Times New Roman" w:hAnsi="Times New Roman" w:eastAsia="宋体" w:cs="Times New Roman"/>
                      <w:sz w:val="21"/>
                      <w:szCs w:val="21"/>
                      <w:vertAlign w:val="baseline"/>
                      <w:lang w:val="en-US" w:eastAsia="zh-CN" w:bidi="ar-SA"/>
                    </w:rPr>
                  </w:pPr>
                  <w:r>
                    <w:rPr>
                      <w:rFonts w:hint="eastAsia"/>
                      <w:sz w:val="21"/>
                      <w:szCs w:val="21"/>
                      <w:vertAlign w:val="baseline"/>
                      <w:lang w:val="en-US" w:eastAsia="zh-CN"/>
                    </w:rPr>
                    <w:t>2#厂界东侧</w:t>
                  </w:r>
                </w:p>
              </w:tc>
              <w:tc>
                <w:tcPr>
                  <w:tcW w:w="0" w:type="auto"/>
                  <w:noWrap w:val="0"/>
                  <w:vAlign w:val="top"/>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52.7</w:t>
                  </w:r>
                </w:p>
              </w:tc>
              <w:tc>
                <w:tcPr>
                  <w:tcW w:w="0" w:type="auto"/>
                  <w:noWrap w:val="0"/>
                  <w:vAlign w:val="top"/>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51.8</w:t>
                  </w:r>
                </w:p>
              </w:tc>
              <w:tc>
                <w:tcPr>
                  <w:tcW w:w="0" w:type="auto"/>
                  <w:noWrap w:val="0"/>
                  <w:vAlign w:val="top"/>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48.9</w:t>
                  </w:r>
                </w:p>
              </w:tc>
              <w:tc>
                <w:tcPr>
                  <w:tcW w:w="0" w:type="auto"/>
                  <w:noWrap w:val="0"/>
                  <w:vAlign w:val="top"/>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47.9</w:t>
                  </w:r>
                </w:p>
              </w:tc>
              <w:tc>
                <w:tcPr>
                  <w:tcW w:w="1111" w:type="dxa"/>
                  <w:vMerge w:val="continue"/>
                  <w:noWrap w:val="0"/>
                  <w:vAlign w:val="top"/>
                </w:tcPr>
                <w:p>
                  <w:pPr>
                    <w:pStyle w:val="165"/>
                    <w:bidi w:val="0"/>
                    <w:rPr>
                      <w:rFonts w:hint="eastAsia"/>
                      <w:sz w:val="21"/>
                      <w:szCs w:val="21"/>
                      <w:vertAlign w:val="baseli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701" w:type="dxa"/>
                  <w:vMerge w:val="continue"/>
                  <w:noWrap w:val="0"/>
                  <w:vAlign w:val="top"/>
                </w:tcPr>
                <w:p>
                  <w:pPr>
                    <w:pStyle w:val="165"/>
                    <w:bidi w:val="0"/>
                    <w:rPr>
                      <w:rFonts w:hint="eastAsia"/>
                      <w:sz w:val="21"/>
                      <w:szCs w:val="21"/>
                      <w:vertAlign w:val="baseline"/>
                    </w:rPr>
                  </w:pPr>
                </w:p>
              </w:tc>
              <w:tc>
                <w:tcPr>
                  <w:tcW w:w="694" w:type="dxa"/>
                  <w:vMerge w:val="continue"/>
                  <w:noWrap w:val="0"/>
                  <w:vAlign w:val="top"/>
                </w:tcPr>
                <w:p>
                  <w:pPr>
                    <w:pStyle w:val="165"/>
                    <w:bidi w:val="0"/>
                    <w:rPr>
                      <w:rFonts w:hint="eastAsia"/>
                      <w:sz w:val="21"/>
                      <w:szCs w:val="21"/>
                      <w:vertAlign w:val="baseline"/>
                    </w:rPr>
                  </w:pPr>
                </w:p>
              </w:tc>
              <w:tc>
                <w:tcPr>
                  <w:tcW w:w="0" w:type="auto"/>
                  <w:noWrap w:val="0"/>
                  <w:vAlign w:val="center"/>
                </w:tcPr>
                <w:p>
                  <w:pPr>
                    <w:pStyle w:val="165"/>
                    <w:bidi w:val="0"/>
                    <w:rPr>
                      <w:rFonts w:hint="eastAsia" w:ascii="Times New Roman" w:hAnsi="Times New Roman" w:eastAsia="宋体" w:cs="Times New Roman"/>
                      <w:sz w:val="21"/>
                      <w:szCs w:val="21"/>
                      <w:vertAlign w:val="baseline"/>
                      <w:lang w:val="en-US" w:eastAsia="zh-CN" w:bidi="ar-SA"/>
                    </w:rPr>
                  </w:pPr>
                  <w:r>
                    <w:rPr>
                      <w:rFonts w:hint="eastAsia"/>
                      <w:sz w:val="21"/>
                      <w:szCs w:val="21"/>
                      <w:vertAlign w:val="baseline"/>
                      <w:lang w:val="en-US" w:eastAsia="zh-CN"/>
                    </w:rPr>
                    <w:t>3#厂界南侧</w:t>
                  </w:r>
                </w:p>
              </w:tc>
              <w:tc>
                <w:tcPr>
                  <w:tcW w:w="0" w:type="auto"/>
                  <w:noWrap w:val="0"/>
                  <w:vAlign w:val="top"/>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50.8</w:t>
                  </w:r>
                </w:p>
              </w:tc>
              <w:tc>
                <w:tcPr>
                  <w:tcW w:w="0" w:type="auto"/>
                  <w:noWrap w:val="0"/>
                  <w:vAlign w:val="top"/>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53.1</w:t>
                  </w:r>
                </w:p>
              </w:tc>
              <w:tc>
                <w:tcPr>
                  <w:tcW w:w="0" w:type="auto"/>
                  <w:noWrap w:val="0"/>
                  <w:vAlign w:val="top"/>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49.2</w:t>
                  </w:r>
                </w:p>
              </w:tc>
              <w:tc>
                <w:tcPr>
                  <w:tcW w:w="0" w:type="auto"/>
                  <w:noWrap w:val="0"/>
                  <w:vAlign w:val="top"/>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47.7</w:t>
                  </w:r>
                </w:p>
              </w:tc>
              <w:tc>
                <w:tcPr>
                  <w:tcW w:w="1111" w:type="dxa"/>
                  <w:vMerge w:val="continue"/>
                  <w:noWrap w:val="0"/>
                  <w:vAlign w:val="top"/>
                </w:tcPr>
                <w:p>
                  <w:pPr>
                    <w:pStyle w:val="165"/>
                    <w:bidi w:val="0"/>
                    <w:rPr>
                      <w:rFonts w:hint="eastAsia"/>
                      <w:sz w:val="21"/>
                      <w:szCs w:val="21"/>
                      <w:vertAlign w:val="baseli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701" w:type="dxa"/>
                  <w:vMerge w:val="continue"/>
                  <w:noWrap w:val="0"/>
                  <w:vAlign w:val="top"/>
                </w:tcPr>
                <w:p>
                  <w:pPr>
                    <w:pStyle w:val="165"/>
                    <w:bidi w:val="0"/>
                    <w:rPr>
                      <w:rFonts w:hint="eastAsia"/>
                      <w:sz w:val="21"/>
                      <w:szCs w:val="21"/>
                      <w:vertAlign w:val="baseline"/>
                    </w:rPr>
                  </w:pPr>
                </w:p>
              </w:tc>
              <w:tc>
                <w:tcPr>
                  <w:tcW w:w="694" w:type="dxa"/>
                  <w:vMerge w:val="continue"/>
                  <w:noWrap w:val="0"/>
                  <w:vAlign w:val="top"/>
                </w:tcPr>
                <w:p>
                  <w:pPr>
                    <w:pStyle w:val="165"/>
                    <w:bidi w:val="0"/>
                    <w:rPr>
                      <w:rFonts w:hint="eastAsia"/>
                      <w:sz w:val="21"/>
                      <w:szCs w:val="21"/>
                      <w:vertAlign w:val="baseline"/>
                    </w:rPr>
                  </w:pPr>
                </w:p>
              </w:tc>
              <w:tc>
                <w:tcPr>
                  <w:tcW w:w="0" w:type="auto"/>
                  <w:noWrap w:val="0"/>
                  <w:vAlign w:val="center"/>
                </w:tcPr>
                <w:p>
                  <w:pPr>
                    <w:pStyle w:val="165"/>
                    <w:bidi w:val="0"/>
                    <w:rPr>
                      <w:rFonts w:hint="eastAsia" w:ascii="Times New Roman" w:hAnsi="Times New Roman" w:eastAsia="宋体" w:cs="Times New Roman"/>
                      <w:sz w:val="21"/>
                      <w:szCs w:val="21"/>
                      <w:vertAlign w:val="baseline"/>
                      <w:lang w:val="en-US" w:eastAsia="zh-CN" w:bidi="ar-SA"/>
                    </w:rPr>
                  </w:pPr>
                  <w:r>
                    <w:rPr>
                      <w:rFonts w:hint="eastAsia"/>
                      <w:sz w:val="21"/>
                      <w:szCs w:val="21"/>
                      <w:vertAlign w:val="baseline"/>
                      <w:lang w:val="en-US" w:eastAsia="zh-CN"/>
                    </w:rPr>
                    <w:t>4#厂界西侧</w:t>
                  </w:r>
                </w:p>
              </w:tc>
              <w:tc>
                <w:tcPr>
                  <w:tcW w:w="0" w:type="auto"/>
                  <w:noWrap w:val="0"/>
                  <w:vAlign w:val="top"/>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51.1</w:t>
                  </w:r>
                </w:p>
              </w:tc>
              <w:tc>
                <w:tcPr>
                  <w:tcW w:w="0" w:type="auto"/>
                  <w:noWrap w:val="0"/>
                  <w:vAlign w:val="top"/>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50.7</w:t>
                  </w:r>
                </w:p>
              </w:tc>
              <w:tc>
                <w:tcPr>
                  <w:tcW w:w="0" w:type="auto"/>
                  <w:noWrap w:val="0"/>
                  <w:vAlign w:val="top"/>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47.8</w:t>
                  </w:r>
                </w:p>
              </w:tc>
              <w:tc>
                <w:tcPr>
                  <w:tcW w:w="0" w:type="auto"/>
                  <w:noWrap w:val="0"/>
                  <w:vAlign w:val="top"/>
                </w:tcPr>
                <w:p>
                  <w:pPr>
                    <w:pStyle w:val="165"/>
                    <w:bidi w:val="0"/>
                    <w:rPr>
                      <w:rFonts w:hint="default" w:eastAsia="宋体"/>
                      <w:sz w:val="21"/>
                      <w:szCs w:val="21"/>
                      <w:vertAlign w:val="baseline"/>
                      <w:lang w:val="en-US" w:eastAsia="zh-CN"/>
                    </w:rPr>
                  </w:pPr>
                  <w:r>
                    <w:rPr>
                      <w:rFonts w:hint="eastAsia"/>
                      <w:sz w:val="21"/>
                      <w:szCs w:val="21"/>
                      <w:vertAlign w:val="baseline"/>
                      <w:lang w:val="en-US" w:eastAsia="zh-CN"/>
                    </w:rPr>
                    <w:t>48.0</w:t>
                  </w:r>
                </w:p>
              </w:tc>
              <w:tc>
                <w:tcPr>
                  <w:tcW w:w="1111" w:type="dxa"/>
                  <w:vMerge w:val="continue"/>
                  <w:noWrap w:val="0"/>
                  <w:vAlign w:val="top"/>
                </w:tcPr>
                <w:p>
                  <w:pPr>
                    <w:pStyle w:val="165"/>
                    <w:bidi w:val="0"/>
                    <w:rPr>
                      <w:rFonts w:hint="eastAsia"/>
                      <w:sz w:val="21"/>
                      <w:szCs w:val="21"/>
                      <w:vertAlign w:val="baseline"/>
                    </w:rPr>
                  </w:pPr>
                </w:p>
              </w:tc>
            </w:tr>
          </w:tbl>
          <w:p>
            <w:pPr>
              <w:pStyle w:val="165"/>
              <w:bidi w:val="0"/>
              <w:rPr>
                <w:rFonts w:hint="eastAsia"/>
              </w:rPr>
            </w:pPr>
          </w:p>
          <w:p>
            <w:pPr>
              <w:spacing w:line="360" w:lineRule="auto"/>
              <w:ind w:firstLine="482" w:firstLineChars="200"/>
              <w:rPr>
                <w:rFonts w:hint="eastAsia"/>
                <w:b/>
                <w:bCs/>
                <w:sz w:val="24"/>
              </w:rPr>
            </w:pPr>
            <w:r>
              <w:rPr>
                <w:rFonts w:hint="eastAsia"/>
                <w:b/>
                <w:bCs/>
                <w:sz w:val="24"/>
                <w:lang w:val="en-US" w:eastAsia="zh-CN"/>
              </w:rPr>
              <w:t>4、</w:t>
            </w:r>
            <w:r>
              <w:rPr>
                <w:rFonts w:hint="eastAsia"/>
                <w:b/>
                <w:bCs/>
                <w:sz w:val="24"/>
              </w:rPr>
              <w:t>固废</w:t>
            </w:r>
            <w:r>
              <w:rPr>
                <w:rFonts w:hint="eastAsia"/>
                <w:b/>
                <w:bCs/>
                <w:sz w:val="24"/>
                <w:lang w:eastAsia="zh-CN"/>
              </w:rPr>
              <w:t>产生及治理措施</w:t>
            </w:r>
          </w:p>
          <w:p>
            <w:pPr>
              <w:pStyle w:val="72"/>
              <w:ind w:firstLine="480"/>
              <w:rPr>
                <w:rFonts w:hint="eastAsia" w:ascii="宋体" w:hAnsi="宋体" w:cs="宋体"/>
                <w:szCs w:val="24"/>
              </w:rPr>
            </w:pPr>
            <w:r>
              <w:rPr>
                <w:rFonts w:hint="eastAsia" w:ascii="宋体" w:hAnsi="宋体" w:cs="宋体"/>
                <w:szCs w:val="24"/>
              </w:rPr>
              <w:t>本项目</w:t>
            </w:r>
            <w:r>
              <w:rPr>
                <w:rFonts w:hint="eastAsia" w:ascii="宋体" w:hAnsi="宋体" w:cs="宋体"/>
                <w:szCs w:val="24"/>
                <w:lang w:eastAsia="zh-CN"/>
              </w:rPr>
              <w:t>扩建前的</w:t>
            </w:r>
            <w:r>
              <w:rPr>
                <w:rFonts w:hint="eastAsia" w:ascii="宋体" w:hAnsi="宋体" w:cs="宋体"/>
                <w:szCs w:val="24"/>
              </w:rPr>
              <w:t>固体废弃物主要为生活垃圾、医疗废物、以及污水处理站污泥。</w:t>
            </w:r>
          </w:p>
          <w:p>
            <w:pPr>
              <w:pStyle w:val="72"/>
              <w:ind w:firstLine="480"/>
              <w:rPr>
                <w:rFonts w:hint="default" w:ascii="Times New Roman" w:hAnsi="Times New Roman" w:eastAsia="宋体" w:cs="Times New Roman"/>
                <w:szCs w:val="24"/>
              </w:rPr>
            </w:pPr>
            <w:r>
              <w:rPr>
                <w:rFonts w:hint="default" w:ascii="Times New Roman" w:hAnsi="Times New Roman" w:eastAsia="宋体" w:cs="Times New Roman"/>
                <w:szCs w:val="24"/>
              </w:rPr>
              <w:t>①生活垃圾</w:t>
            </w:r>
          </w:p>
          <w:p>
            <w:pPr>
              <w:pStyle w:val="72"/>
              <w:ind w:firstLine="480"/>
              <w:rPr>
                <w:rFonts w:hint="default" w:ascii="Times New Roman" w:hAnsi="Times New Roman" w:eastAsia="宋体" w:cs="Times New Roman"/>
                <w:szCs w:val="24"/>
              </w:rPr>
            </w:pPr>
            <w:r>
              <w:rPr>
                <w:rFonts w:hint="default" w:ascii="Times New Roman" w:hAnsi="Times New Roman" w:eastAsia="宋体" w:cs="Times New Roman"/>
                <w:szCs w:val="24"/>
              </w:rPr>
              <w:t>医院生活垃圾由垃圾桶收集后统一放到外面垃圾收集站，由环卫部门收集送城市垃圾填埋场处置。</w:t>
            </w:r>
          </w:p>
          <w:p>
            <w:pPr>
              <w:pStyle w:val="72"/>
              <w:ind w:firstLine="480"/>
              <w:rPr>
                <w:rFonts w:hint="default" w:ascii="Times New Roman" w:hAnsi="Times New Roman" w:eastAsia="宋体" w:cs="Times New Roman"/>
                <w:szCs w:val="24"/>
              </w:rPr>
            </w:pPr>
            <w:r>
              <w:rPr>
                <w:rFonts w:hint="default" w:ascii="Times New Roman" w:hAnsi="Times New Roman" w:eastAsia="宋体" w:cs="Times New Roman"/>
                <w:szCs w:val="24"/>
              </w:rPr>
              <w:t>②医疗废物</w:t>
            </w:r>
          </w:p>
          <w:p>
            <w:pPr>
              <w:pStyle w:val="72"/>
              <w:ind w:firstLine="480"/>
              <w:rPr>
                <w:rFonts w:hint="default" w:ascii="Times New Roman" w:hAnsi="Times New Roman" w:eastAsia="宋体" w:cs="Times New Roman"/>
                <w:szCs w:val="24"/>
              </w:rPr>
            </w:pPr>
            <w:r>
              <w:rPr>
                <w:rFonts w:hint="default" w:ascii="Times New Roman" w:hAnsi="Times New Roman" w:eastAsia="宋体" w:cs="Times New Roman"/>
                <w:szCs w:val="24"/>
              </w:rPr>
              <w:t>医疗废物一般可分为感染型废弃物和非感染型废弃物两大类。医疗废物收集于医疗废物暂存间，定期交由有资质单位进行运输处置，并有医疗废物进出登记。</w:t>
            </w:r>
          </w:p>
          <w:tbl>
            <w:tblPr>
              <w:tblStyle w:val="41"/>
              <w:tblW w:w="8100" w:type="dxa"/>
              <w:jc w:val="center"/>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4050"/>
              <w:gridCol w:w="4050"/>
            </w:tblGrid>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904" w:hRule="atLeast"/>
                <w:jc w:val="center"/>
              </w:trPr>
              <w:tc>
                <w:tcPr>
                  <w:tcW w:w="4050" w:type="dxa"/>
                  <w:noWrap w:val="0"/>
                  <w:vAlign w:val="center"/>
                </w:tcPr>
                <w:p>
                  <w:pPr>
                    <w:pStyle w:val="72"/>
                    <w:spacing w:line="240" w:lineRule="auto"/>
                    <w:ind w:firstLine="0" w:firstLineChars="0"/>
                    <w:jc w:val="center"/>
                    <w:rPr>
                      <w:rFonts w:hint="eastAsia"/>
                      <w:sz w:val="21"/>
                      <w:szCs w:val="16"/>
                    </w:rPr>
                  </w:pPr>
                  <w:r>
                    <w:rPr>
                      <w:rFonts w:hint="eastAsia"/>
                      <w:sz w:val="21"/>
                      <w:szCs w:val="16"/>
                    </w:rPr>
                    <w:drawing>
                      <wp:inline distT="0" distB="0" distL="114300" distR="114300">
                        <wp:extent cx="2479040" cy="4407535"/>
                        <wp:effectExtent l="0" t="0" r="16510" b="12065"/>
                        <wp:docPr id="161" name="图片 28" descr="3153f3f4ec5780262f9be3fe8416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8" descr="3153f3f4ec5780262f9be3fe8416e48"/>
                                <pic:cNvPicPr>
                                  <a:picLocks noChangeAspect="1"/>
                                </pic:cNvPicPr>
                              </pic:nvPicPr>
                              <pic:blipFill>
                                <a:blip r:embed="rId34"/>
                                <a:stretch>
                                  <a:fillRect/>
                                </a:stretch>
                              </pic:blipFill>
                              <pic:spPr>
                                <a:xfrm>
                                  <a:off x="0" y="0"/>
                                  <a:ext cx="2479040" cy="4407535"/>
                                </a:xfrm>
                                <a:prstGeom prst="rect">
                                  <a:avLst/>
                                </a:prstGeom>
                                <a:noFill/>
                                <a:ln>
                                  <a:noFill/>
                                </a:ln>
                              </pic:spPr>
                            </pic:pic>
                          </a:graphicData>
                        </a:graphic>
                      </wp:inline>
                    </w:drawing>
                  </w:r>
                </w:p>
              </w:tc>
              <w:tc>
                <w:tcPr>
                  <w:tcW w:w="4050" w:type="dxa"/>
                  <w:noWrap w:val="0"/>
                  <w:vAlign w:val="center"/>
                </w:tcPr>
                <w:p>
                  <w:pPr>
                    <w:pStyle w:val="72"/>
                    <w:spacing w:line="240" w:lineRule="auto"/>
                    <w:ind w:firstLine="0" w:firstLineChars="0"/>
                    <w:jc w:val="center"/>
                    <w:rPr>
                      <w:rFonts w:hint="eastAsia"/>
                      <w:sz w:val="21"/>
                      <w:szCs w:val="16"/>
                    </w:rPr>
                  </w:pPr>
                  <w:r>
                    <w:rPr>
                      <w:rFonts w:hint="eastAsia"/>
                      <w:sz w:val="21"/>
                      <w:szCs w:val="16"/>
                    </w:rPr>
                    <w:drawing>
                      <wp:inline distT="0" distB="0" distL="114300" distR="114300">
                        <wp:extent cx="2479040" cy="4407535"/>
                        <wp:effectExtent l="0" t="0" r="16510" b="12065"/>
                        <wp:docPr id="162" name="图片 29" descr="463ac08650052233e093114f7b5c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9" descr="463ac08650052233e093114f7b5cde2"/>
                                <pic:cNvPicPr>
                                  <a:picLocks noChangeAspect="1"/>
                                </pic:cNvPicPr>
                              </pic:nvPicPr>
                              <pic:blipFill>
                                <a:blip r:embed="rId35"/>
                                <a:stretch>
                                  <a:fillRect/>
                                </a:stretch>
                              </pic:blipFill>
                              <pic:spPr>
                                <a:xfrm>
                                  <a:off x="0" y="0"/>
                                  <a:ext cx="2479040" cy="4407535"/>
                                </a:xfrm>
                                <a:prstGeom prst="rect">
                                  <a:avLst/>
                                </a:prstGeom>
                                <a:noFill/>
                                <a:ln>
                                  <a:noFill/>
                                </a:ln>
                              </pic:spPr>
                            </pic:pic>
                          </a:graphicData>
                        </a:graphic>
                      </wp:inline>
                    </w:drawing>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9" w:hRule="atLeast"/>
                <w:jc w:val="center"/>
              </w:trPr>
              <w:tc>
                <w:tcPr>
                  <w:tcW w:w="4050" w:type="dxa"/>
                  <w:noWrap w:val="0"/>
                  <w:vAlign w:val="center"/>
                </w:tcPr>
                <w:p>
                  <w:pPr>
                    <w:pStyle w:val="72"/>
                    <w:spacing w:line="240" w:lineRule="auto"/>
                    <w:ind w:firstLine="0" w:firstLineChars="0"/>
                    <w:jc w:val="center"/>
                    <w:rPr>
                      <w:rFonts w:hint="eastAsia" w:eastAsia="宋体"/>
                      <w:sz w:val="21"/>
                      <w:szCs w:val="16"/>
                      <w:lang w:val="en-US" w:eastAsia="zh-CN"/>
                    </w:rPr>
                  </w:pPr>
                  <w:r>
                    <w:rPr>
                      <w:rFonts w:hint="eastAsia"/>
                      <w:sz w:val="21"/>
                      <w:szCs w:val="16"/>
                    </w:rPr>
                    <w:t>医疗废物暂存间外部</w:t>
                  </w:r>
                  <w:r>
                    <w:rPr>
                      <w:rFonts w:hint="eastAsia"/>
                      <w:sz w:val="21"/>
                      <w:szCs w:val="16"/>
                      <w:lang w:val="en-US" w:eastAsia="zh-CN"/>
                    </w:rPr>
                    <w:t xml:space="preserve"> </w:t>
                  </w:r>
                </w:p>
              </w:tc>
              <w:tc>
                <w:tcPr>
                  <w:tcW w:w="4050" w:type="dxa"/>
                  <w:noWrap w:val="0"/>
                  <w:vAlign w:val="center"/>
                </w:tcPr>
                <w:p>
                  <w:pPr>
                    <w:pStyle w:val="72"/>
                    <w:spacing w:line="240" w:lineRule="auto"/>
                    <w:ind w:firstLine="0" w:firstLineChars="0"/>
                    <w:jc w:val="center"/>
                    <w:rPr>
                      <w:rFonts w:hint="eastAsia"/>
                      <w:sz w:val="21"/>
                      <w:szCs w:val="16"/>
                    </w:rPr>
                  </w:pPr>
                  <w:r>
                    <w:rPr>
                      <w:rFonts w:hint="eastAsia"/>
                      <w:sz w:val="21"/>
                      <w:szCs w:val="16"/>
                    </w:rPr>
                    <w:t>医疗废物暂存间内部</w:t>
                  </w:r>
                </w:p>
              </w:tc>
            </w:tr>
          </w:tbl>
          <w:p>
            <w:pPr>
              <w:pStyle w:val="72"/>
              <w:ind w:firstLine="480"/>
              <w:rPr>
                <w:rFonts w:hint="eastAsia" w:ascii="宋体" w:hAnsi="宋体" w:eastAsia="宋体" w:cs="宋体"/>
                <w:szCs w:val="24"/>
              </w:rPr>
            </w:pPr>
            <w:r>
              <w:rPr>
                <w:rFonts w:hint="default" w:ascii="Times New Roman" w:hAnsi="Times New Roman" w:eastAsia="宋体" w:cs="Times New Roman"/>
                <w:szCs w:val="24"/>
              </w:rPr>
              <w:t>③污水处</w:t>
            </w:r>
            <w:r>
              <w:rPr>
                <w:rFonts w:hint="eastAsia" w:ascii="宋体" w:hAnsi="宋体" w:eastAsia="宋体" w:cs="宋体"/>
                <w:szCs w:val="24"/>
              </w:rPr>
              <w:t>理站污泥</w:t>
            </w:r>
          </w:p>
          <w:p>
            <w:pPr>
              <w:pStyle w:val="72"/>
              <w:ind w:firstLine="480"/>
              <w:rPr>
                <w:rFonts w:hint="eastAsia" w:ascii="宋体" w:hAnsi="宋体" w:eastAsia="宋体" w:cs="宋体"/>
                <w:szCs w:val="24"/>
              </w:rPr>
            </w:pPr>
            <w:r>
              <w:rPr>
                <w:rFonts w:hint="eastAsia" w:ascii="宋体" w:hAnsi="宋体" w:eastAsia="宋体" w:cs="宋体"/>
                <w:szCs w:val="24"/>
              </w:rPr>
              <w:t>医院污水处理过程产生的污泥定期清空，分类收集于医废暂存间定期由有资质单位来运输带走处置，同时做好登记。</w:t>
            </w:r>
          </w:p>
          <w:p>
            <w:pPr>
              <w:pStyle w:val="72"/>
              <w:ind w:firstLine="480"/>
              <w:rPr>
                <w:rFonts w:hint="eastAsia" w:ascii="宋体" w:hAnsi="宋体" w:eastAsia="宋体" w:cs="宋体"/>
                <w:szCs w:val="24"/>
              </w:rPr>
            </w:pPr>
            <w:r>
              <w:rPr>
                <w:rFonts w:hint="eastAsia" w:ascii="宋体" w:hAnsi="宋体" w:eastAsia="宋体" w:cs="宋体"/>
                <w:szCs w:val="24"/>
              </w:rPr>
              <w:t>综上所述，项目营运期产生的各类固体废弃物均可实现清洁处理和处置，不会对周围环境产生二次污染。</w:t>
            </w:r>
          </w:p>
          <w:p>
            <w:pPr>
              <w:wordWrap w:val="0"/>
              <w:adjustRightInd w:val="0"/>
              <w:snapToGrid w:val="0"/>
              <w:spacing w:line="360" w:lineRule="auto"/>
              <w:ind w:firstLine="482" w:firstLineChars="200"/>
              <w:jc w:val="left"/>
              <w:rPr>
                <w:rFonts w:hint="eastAsia"/>
                <w:color w:val="000000"/>
                <w:sz w:val="24"/>
                <w:szCs w:val="32"/>
              </w:rPr>
            </w:pPr>
            <w:r>
              <w:rPr>
                <w:rFonts w:hint="eastAsia"/>
                <w:b/>
                <w:bCs/>
                <w:color w:val="000000"/>
                <w:sz w:val="24"/>
                <w:szCs w:val="32"/>
                <w:lang w:val="en-US" w:eastAsia="zh-CN"/>
              </w:rPr>
              <w:t>5、</w:t>
            </w:r>
            <w:r>
              <w:rPr>
                <w:rFonts w:hint="eastAsia"/>
                <w:b/>
                <w:bCs/>
                <w:color w:val="000000"/>
                <w:sz w:val="24"/>
                <w:szCs w:val="32"/>
              </w:rPr>
              <w:t>环境风险防范措施</w:t>
            </w:r>
          </w:p>
          <w:p>
            <w:pPr>
              <w:wordWrap w:val="0"/>
              <w:adjustRightInd w:val="0"/>
              <w:snapToGrid w:val="0"/>
              <w:spacing w:line="360" w:lineRule="auto"/>
              <w:ind w:firstLine="480" w:firstLineChars="200"/>
              <w:jc w:val="left"/>
              <w:rPr>
                <w:rFonts w:hint="eastAsia"/>
                <w:color w:val="000000"/>
                <w:sz w:val="24"/>
                <w:szCs w:val="32"/>
              </w:rPr>
            </w:pPr>
            <w:r>
              <w:rPr>
                <w:rFonts w:hint="eastAsia"/>
                <w:color w:val="000000"/>
                <w:sz w:val="24"/>
                <w:szCs w:val="32"/>
                <w:lang w:eastAsia="zh-CN"/>
              </w:rPr>
              <w:t>经现场调查，项目扩建前已采取</w:t>
            </w:r>
            <w:r>
              <w:rPr>
                <w:rFonts w:hint="eastAsia"/>
                <w:color w:val="000000"/>
                <w:sz w:val="24"/>
                <w:szCs w:val="32"/>
              </w:rPr>
              <w:t>以下环境风险防范措施：</w:t>
            </w:r>
          </w:p>
          <w:p>
            <w:pPr>
              <w:wordWrap w:val="0"/>
              <w:adjustRightInd w:val="0"/>
              <w:snapToGrid w:val="0"/>
              <w:spacing w:line="360" w:lineRule="auto"/>
              <w:ind w:firstLine="480" w:firstLineChars="200"/>
              <w:jc w:val="left"/>
              <w:rPr>
                <w:rFonts w:hint="eastAsia"/>
                <w:color w:val="000000"/>
                <w:sz w:val="24"/>
                <w:szCs w:val="32"/>
              </w:rPr>
            </w:pPr>
            <w:r>
              <w:rPr>
                <w:rFonts w:hint="eastAsia"/>
                <w:color w:val="000000"/>
                <w:sz w:val="24"/>
                <w:szCs w:val="32"/>
              </w:rPr>
              <w:t>①设置了30m</w:t>
            </w:r>
            <w:r>
              <w:rPr>
                <w:rFonts w:hint="eastAsia"/>
                <w:color w:val="000000"/>
                <w:sz w:val="24"/>
                <w:szCs w:val="32"/>
                <w:vertAlign w:val="superscript"/>
              </w:rPr>
              <w:t>3</w:t>
            </w:r>
            <w:r>
              <w:rPr>
                <w:rFonts w:hint="eastAsia"/>
                <w:color w:val="000000"/>
                <w:sz w:val="24"/>
                <w:szCs w:val="32"/>
              </w:rPr>
              <w:t>的事故应急池，设置在院内污水处理站旁边，以预防医院污水事故排放；</w:t>
            </w:r>
          </w:p>
          <w:p>
            <w:pPr>
              <w:wordWrap w:val="0"/>
              <w:adjustRightInd w:val="0"/>
              <w:snapToGrid w:val="0"/>
              <w:spacing w:line="360" w:lineRule="auto"/>
              <w:ind w:firstLine="480" w:firstLineChars="200"/>
              <w:jc w:val="left"/>
              <w:rPr>
                <w:rFonts w:hint="eastAsia"/>
                <w:color w:val="000000"/>
                <w:sz w:val="24"/>
                <w:szCs w:val="32"/>
              </w:rPr>
            </w:pPr>
            <w:r>
              <w:rPr>
                <w:rFonts w:hint="eastAsia"/>
                <w:color w:val="000000"/>
                <w:sz w:val="24"/>
                <w:szCs w:val="32"/>
              </w:rPr>
              <w:t>②医疗废物暂存间采取防渗措施，专人收集并分类包装；</w:t>
            </w:r>
          </w:p>
          <w:p>
            <w:pPr>
              <w:wordWrap w:val="0"/>
              <w:adjustRightInd w:val="0"/>
              <w:snapToGrid w:val="0"/>
              <w:spacing w:line="360" w:lineRule="auto"/>
              <w:ind w:firstLine="480" w:firstLineChars="200"/>
              <w:jc w:val="left"/>
              <w:rPr>
                <w:rFonts w:hint="eastAsia"/>
                <w:color w:val="000000"/>
                <w:sz w:val="24"/>
                <w:szCs w:val="32"/>
              </w:rPr>
            </w:pPr>
            <w:r>
              <w:rPr>
                <w:rFonts w:hint="eastAsia"/>
                <w:color w:val="000000"/>
                <w:sz w:val="24"/>
                <w:szCs w:val="32"/>
              </w:rPr>
              <w:t>③定期对污水处理站进行检查和维护，减少废水事故排放及二氧化氯泄露事件；</w:t>
            </w:r>
          </w:p>
          <w:p>
            <w:pPr>
              <w:wordWrap w:val="0"/>
              <w:adjustRightInd w:val="0"/>
              <w:snapToGrid w:val="0"/>
              <w:spacing w:line="360" w:lineRule="auto"/>
              <w:ind w:firstLine="480" w:firstLineChars="200"/>
              <w:jc w:val="left"/>
              <w:rPr>
                <w:rFonts w:hint="eastAsia"/>
                <w:color w:val="000000"/>
                <w:sz w:val="24"/>
                <w:szCs w:val="32"/>
              </w:rPr>
            </w:pPr>
            <w:r>
              <w:rPr>
                <w:rFonts w:hint="eastAsia"/>
                <w:color w:val="000000"/>
                <w:sz w:val="24"/>
                <w:szCs w:val="32"/>
              </w:rPr>
              <w:t>④备用发电机房，采取防渗措施。</w:t>
            </w:r>
          </w:p>
          <w:p>
            <w:pPr>
              <w:wordWrap w:val="0"/>
              <w:adjustRightInd w:val="0"/>
              <w:snapToGrid w:val="0"/>
              <w:spacing w:line="360" w:lineRule="auto"/>
              <w:ind w:firstLine="482" w:firstLineChars="200"/>
              <w:jc w:val="left"/>
              <w:rPr>
                <w:rFonts w:hint="eastAsia"/>
                <w:b/>
                <w:bCs/>
                <w:color w:val="000000"/>
                <w:sz w:val="24"/>
                <w:szCs w:val="32"/>
              </w:rPr>
            </w:pPr>
            <w:r>
              <w:rPr>
                <w:rFonts w:hint="eastAsia"/>
                <w:b/>
                <w:bCs/>
                <w:color w:val="000000"/>
                <w:sz w:val="24"/>
                <w:szCs w:val="32"/>
                <w:lang w:val="en-US" w:eastAsia="zh-CN"/>
              </w:rPr>
              <w:t>6、</w:t>
            </w:r>
            <w:r>
              <w:rPr>
                <w:rFonts w:hint="eastAsia"/>
                <w:b/>
                <w:bCs/>
                <w:color w:val="000000"/>
                <w:sz w:val="24"/>
                <w:szCs w:val="32"/>
              </w:rPr>
              <w:t>污染事故及环境纠纷</w:t>
            </w:r>
          </w:p>
          <w:p>
            <w:pPr>
              <w:wordWrap w:val="0"/>
              <w:adjustRightInd w:val="0"/>
              <w:snapToGrid w:val="0"/>
              <w:spacing w:line="360" w:lineRule="auto"/>
              <w:ind w:firstLine="480" w:firstLineChars="200"/>
              <w:jc w:val="left"/>
              <w:rPr>
                <w:rFonts w:hint="eastAsia"/>
                <w:lang w:val="en-US" w:eastAsia="zh-CN"/>
              </w:rPr>
            </w:pPr>
            <w:r>
              <w:rPr>
                <w:rFonts w:hint="eastAsia"/>
                <w:color w:val="000000"/>
                <w:sz w:val="24"/>
                <w:szCs w:val="32"/>
              </w:rPr>
              <w:t>根据现场踏勘和向当地环境保护部门了解，乐山</w:t>
            </w:r>
            <w:r>
              <w:rPr>
                <w:rFonts w:hint="eastAsia"/>
                <w:color w:val="000000"/>
                <w:sz w:val="24"/>
                <w:szCs w:val="32"/>
                <w:lang w:eastAsia="zh-CN"/>
              </w:rPr>
              <w:t>巴川</w:t>
            </w:r>
            <w:r>
              <w:rPr>
                <w:rFonts w:hint="eastAsia"/>
                <w:color w:val="000000"/>
                <w:sz w:val="24"/>
                <w:szCs w:val="32"/>
              </w:rPr>
              <w:t>精神病专科医院自投运以来，未出现过环境污染事件和环境纠纷投诉事件。</w:t>
            </w:r>
          </w:p>
          <w:p>
            <w:pPr>
              <w:numPr>
                <w:ilvl w:val="0"/>
                <w:numId w:val="6"/>
              </w:numPr>
              <w:wordWrap w:val="0"/>
              <w:adjustRightInd w:val="0"/>
              <w:snapToGrid w:val="0"/>
              <w:spacing w:line="360" w:lineRule="auto"/>
              <w:ind w:firstLine="482" w:firstLineChars="200"/>
              <w:jc w:val="left"/>
              <w:rPr>
                <w:rFonts w:hint="eastAsia"/>
                <w:b/>
                <w:bCs/>
                <w:color w:val="000000"/>
                <w:sz w:val="24"/>
                <w:szCs w:val="32"/>
                <w:lang w:val="en-US" w:eastAsia="zh-CN"/>
              </w:rPr>
            </w:pPr>
            <w:r>
              <w:rPr>
                <w:rFonts w:hint="eastAsia"/>
                <w:b/>
                <w:bCs/>
                <w:color w:val="000000"/>
                <w:sz w:val="24"/>
                <w:szCs w:val="32"/>
                <w:lang w:val="en-US" w:eastAsia="zh-CN"/>
              </w:rPr>
              <w:t>环境遗留问题</w:t>
            </w:r>
          </w:p>
          <w:p>
            <w:pPr>
              <w:pStyle w:val="72"/>
              <w:bidi w:val="0"/>
              <w:rPr>
                <w:rFonts w:hint="eastAsia"/>
                <w:lang w:val="en-US" w:eastAsia="zh-CN"/>
              </w:rPr>
            </w:pPr>
            <w:r>
              <w:rPr>
                <w:rFonts w:hint="eastAsia"/>
                <w:lang w:val="en-US" w:eastAsia="zh-CN"/>
              </w:rPr>
              <w:t>目前项目主体工程已竣工并完成验收投入营运，现场干净整洁，空气清新，施工痕迹已基本恢复，未发现施工遗留环境问题；同时，根据现状污染源监测报告（见附件）可知，项目运营阶段，产生的废水、废气、噪声均能做到达标排放；固废处置合理，去向明确，未造成二次污染，对周边环境影响较小，未发现环境遗留问题。</w:t>
            </w:r>
          </w:p>
        </w:tc>
      </w:tr>
    </w:tbl>
    <w:p>
      <w:pPr>
        <w:pStyle w:val="37"/>
        <w:jc w:val="center"/>
        <w:rPr>
          <w:rFonts w:ascii="黑体" w:hAnsi="黑体" w:eastAsia="黑体"/>
          <w:snapToGrid w:val="0"/>
          <w:color w:val="000000"/>
          <w:sz w:val="36"/>
          <w:szCs w:val="36"/>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37"/>
        <w:adjustRightInd w:val="0"/>
        <w:snapToGrid w:val="0"/>
        <w:spacing w:before="0" w:beforeAutospacing="0" w:after="0" w:afterAutospacing="0" w:line="14" w:lineRule="auto"/>
        <w:jc w:val="center"/>
        <w:outlineLvl w:val="0"/>
        <w:rPr>
          <w:rFonts w:hint="eastAsia" w:ascii="黑体" w:hAnsi="黑体" w:eastAsia="黑体"/>
          <w:snapToGrid w:val="0"/>
          <w:color w:val="000000"/>
          <w:sz w:val="30"/>
          <w:szCs w:val="30"/>
        </w:rPr>
      </w:pPr>
    </w:p>
    <w:p>
      <w:pPr>
        <w:pStyle w:val="37"/>
        <w:jc w:val="center"/>
        <w:outlineLvl w:val="0"/>
        <w:rPr>
          <w:rFonts w:ascii="黑体" w:hAnsi="黑体" w:eastAsia="黑体"/>
          <w:snapToGrid w:val="0"/>
          <w:color w:val="000000"/>
          <w:sz w:val="30"/>
          <w:szCs w:val="30"/>
        </w:rPr>
      </w:pPr>
      <w:r>
        <w:rPr>
          <w:rFonts w:hint="eastAsia" w:ascii="黑体" w:hAnsi="黑体" w:eastAsia="黑体"/>
          <w:snapToGrid w:val="0"/>
          <w:color w:val="000000"/>
          <w:sz w:val="30"/>
          <w:szCs w:val="30"/>
        </w:rPr>
        <w:t>三、区域环境质量现状、环境保护目标及评价标准</w:t>
      </w:r>
    </w:p>
    <w:tbl>
      <w:tblPr>
        <w:tblStyle w:val="4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40"/>
        <w:gridCol w:w="835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40" w:type="dxa"/>
            <w:noWrap w:val="0"/>
            <w:vAlign w:val="center"/>
          </w:tcPr>
          <w:p>
            <w:pPr>
              <w:adjustRightInd w:val="0"/>
              <w:snapToGrid w:val="0"/>
              <w:jc w:val="center"/>
              <w:rPr>
                <w:rFonts w:ascii="Times New Roman" w:hAnsi="Times New Roman" w:eastAsia="宋体"/>
                <w:color w:val="000000"/>
                <w:kern w:val="0"/>
                <w:szCs w:val="21"/>
              </w:rPr>
            </w:pPr>
            <w:r>
              <w:rPr>
                <w:rFonts w:ascii="Times New Roman" w:hAnsi="Times New Roman" w:eastAsia="宋体"/>
                <w:color w:val="000000"/>
                <w:kern w:val="0"/>
                <w:szCs w:val="21"/>
              </w:rPr>
              <w:t>区域</w:t>
            </w:r>
          </w:p>
          <w:p>
            <w:pPr>
              <w:adjustRightInd w:val="0"/>
              <w:snapToGrid w:val="0"/>
              <w:jc w:val="center"/>
              <w:rPr>
                <w:rFonts w:ascii="Times New Roman" w:hAnsi="Times New Roman" w:eastAsia="宋体"/>
                <w:color w:val="000000"/>
                <w:kern w:val="0"/>
                <w:szCs w:val="21"/>
              </w:rPr>
            </w:pPr>
            <w:r>
              <w:rPr>
                <w:rFonts w:ascii="Times New Roman" w:hAnsi="Times New Roman" w:eastAsia="宋体"/>
                <w:color w:val="000000"/>
                <w:kern w:val="0"/>
                <w:szCs w:val="21"/>
              </w:rPr>
              <w:t>环境</w:t>
            </w:r>
          </w:p>
          <w:p>
            <w:pPr>
              <w:adjustRightInd w:val="0"/>
              <w:snapToGrid w:val="0"/>
              <w:jc w:val="center"/>
              <w:rPr>
                <w:rFonts w:ascii="Times New Roman" w:hAnsi="Times New Roman" w:eastAsia="宋体"/>
                <w:color w:val="000000"/>
                <w:kern w:val="0"/>
                <w:szCs w:val="21"/>
              </w:rPr>
            </w:pPr>
            <w:r>
              <w:rPr>
                <w:rFonts w:ascii="Times New Roman" w:hAnsi="Times New Roman" w:eastAsia="宋体"/>
                <w:color w:val="000000"/>
                <w:kern w:val="0"/>
                <w:szCs w:val="21"/>
              </w:rPr>
              <w:t>质量</w:t>
            </w:r>
          </w:p>
          <w:p>
            <w:pPr>
              <w:adjustRightInd w:val="0"/>
              <w:snapToGrid w:val="0"/>
              <w:jc w:val="center"/>
              <w:rPr>
                <w:rFonts w:ascii="Times New Roman" w:hAnsi="Times New Roman" w:eastAsia="宋体"/>
                <w:color w:val="000000"/>
                <w:kern w:val="0"/>
                <w:szCs w:val="21"/>
              </w:rPr>
            </w:pPr>
            <w:r>
              <w:rPr>
                <w:rFonts w:ascii="Times New Roman" w:hAnsi="Times New Roman" w:eastAsia="宋体"/>
                <w:color w:val="000000"/>
                <w:kern w:val="0"/>
                <w:szCs w:val="21"/>
              </w:rPr>
              <w:t>现状</w:t>
            </w:r>
          </w:p>
        </w:tc>
        <w:tc>
          <w:tcPr>
            <w:tcW w:w="8350" w:type="dxa"/>
            <w:noWrap w:val="0"/>
            <w:vAlign w:val="center"/>
          </w:tcPr>
          <w:p>
            <w:pPr>
              <w:pStyle w:val="185"/>
              <w:ind w:firstLine="482"/>
              <w:rPr>
                <w:rFonts w:ascii="Times New Roman" w:hAnsi="Times New Roman" w:eastAsia="宋体"/>
                <w:b/>
                <w:color w:val="000000"/>
                <w:kern w:val="0"/>
              </w:rPr>
            </w:pPr>
            <w:r>
              <w:rPr>
                <w:rFonts w:ascii="Times New Roman" w:hAnsi="Times New Roman" w:eastAsia="宋体"/>
                <w:b/>
                <w:color w:val="000000"/>
                <w:kern w:val="0"/>
              </w:rPr>
              <w:t>1、环境空气质量现状</w:t>
            </w:r>
          </w:p>
          <w:p>
            <w:pPr>
              <w:wordWrap w:val="0"/>
              <w:adjustRightInd w:val="0"/>
              <w:spacing w:line="360" w:lineRule="auto"/>
              <w:ind w:firstLine="480" w:firstLineChars="200"/>
              <w:rPr>
                <w:rFonts w:hint="eastAsia" w:ascii="Times New Roman" w:hAnsi="Times New Roman" w:eastAsia="宋体" w:cs="Times New Roman"/>
                <w:color w:val="000000"/>
                <w:kern w:val="0"/>
                <w:sz w:val="24"/>
                <w:szCs w:val="24"/>
                <w:lang w:val="en-US" w:eastAsia="zh-CN" w:bidi="ar"/>
              </w:rPr>
            </w:pPr>
            <w:r>
              <w:rPr>
                <w:bCs/>
                <w:sz w:val="24"/>
              </w:rPr>
              <w:t>根据《环境影响评价技术导则 大气环境》（HJ2.2-2018），项目所在区域达标情况判定优先采用国家或地方生态环境主管部门公开发布的环境质量公告或环境</w:t>
            </w:r>
            <w:r>
              <w:rPr>
                <w:rFonts w:hint="eastAsia" w:ascii="Times New Roman" w:hAnsi="Times New Roman" w:eastAsia="宋体" w:cs="Times New Roman"/>
                <w:color w:val="000000"/>
                <w:kern w:val="0"/>
                <w:sz w:val="24"/>
                <w:szCs w:val="24"/>
                <w:lang w:val="en-US" w:eastAsia="zh-CN" w:bidi="ar"/>
              </w:rPr>
              <w:t>质量报告中的数据和结论。</w:t>
            </w:r>
          </w:p>
          <w:p>
            <w:pPr>
              <w:pStyle w:val="37"/>
              <w:widowControl w:val="0"/>
              <w:autoSpaceDE w:val="0"/>
              <w:autoSpaceDN w:val="0"/>
              <w:adjustRightInd w:val="0"/>
              <w:spacing w:before="0" w:beforeAutospacing="0" w:after="0" w:afterAutospacing="0" w:line="360" w:lineRule="auto"/>
              <w:ind w:firstLine="480" w:firstLineChars="200"/>
              <w:jc w:val="both"/>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本项目位于乐山市市中区水口镇徐月村7组456号，项目所在环境空气功能区属二类区，环境空气质量现状评价采用《环境空气质量标准》（GB3095-2012）及其修改单（生态环境部2018年第29号）中的二级标准。根据2022年乐山市中区环境质量状况监测数据，乐山市中区环境空气质量主要指标见下表；</w:t>
            </w:r>
          </w:p>
          <w:p>
            <w:pPr>
              <w:jc w:val="right"/>
              <w:rPr>
                <w:b/>
              </w:rPr>
            </w:pPr>
            <w:r>
              <w:rPr>
                <w:b/>
              </w:rPr>
              <w:t>表</w:t>
            </w:r>
            <w:r>
              <w:rPr>
                <w:rFonts w:hint="eastAsia"/>
                <w:b/>
                <w:lang w:val="en-US" w:eastAsia="zh-CN"/>
              </w:rPr>
              <w:t>3-1</w:t>
            </w:r>
            <w:r>
              <w:rPr>
                <w:b/>
              </w:rPr>
              <w:t xml:space="preserve">  </w:t>
            </w:r>
            <w:r>
              <w:rPr>
                <w:rFonts w:hint="eastAsia"/>
                <w:b/>
              </w:rPr>
              <w:t>202</w:t>
            </w:r>
            <w:r>
              <w:rPr>
                <w:b/>
              </w:rPr>
              <w:t>2年</w:t>
            </w:r>
            <w:r>
              <w:rPr>
                <w:rFonts w:hint="eastAsia"/>
                <w:b/>
                <w:lang w:eastAsia="zh-CN"/>
              </w:rPr>
              <w:t>市中区</w:t>
            </w:r>
            <w:r>
              <w:rPr>
                <w:b/>
              </w:rPr>
              <w:t>环境空气质量主要指标  单位：ug/m</w:t>
            </w:r>
            <w:r>
              <w:rPr>
                <w:b/>
                <w:vertAlign w:val="superscript"/>
              </w:rPr>
              <w:t>3</w:t>
            </w:r>
            <w:r>
              <w:rPr>
                <w:b/>
              </w:rPr>
              <w:t>，CO：mg/m</w:t>
            </w:r>
            <w:r>
              <w:rPr>
                <w:b/>
                <w:vertAlign w:val="superscript"/>
              </w:rPr>
              <w:t>3</w:t>
            </w:r>
          </w:p>
          <w:tbl>
            <w:tblPr>
              <w:tblStyle w:val="41"/>
              <w:tblW w:w="82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7"/>
              <w:gridCol w:w="2883"/>
              <w:gridCol w:w="1223"/>
              <w:gridCol w:w="1058"/>
              <w:gridCol w:w="989"/>
              <w:gridCol w:w="11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907" w:type="dxa"/>
                  <w:noWrap w:val="0"/>
                  <w:vAlign w:val="center"/>
                </w:tcPr>
                <w:p>
                  <w:pPr>
                    <w:spacing w:line="240" w:lineRule="auto"/>
                    <w:jc w:val="center"/>
                    <w:rPr>
                      <w:b/>
                      <w:bCs/>
                      <w:sz w:val="21"/>
                      <w:szCs w:val="21"/>
                    </w:rPr>
                  </w:pPr>
                  <w:r>
                    <w:rPr>
                      <w:b/>
                      <w:bCs/>
                      <w:sz w:val="21"/>
                      <w:szCs w:val="21"/>
                    </w:rPr>
                    <w:t>污染物</w:t>
                  </w:r>
                </w:p>
              </w:tc>
              <w:tc>
                <w:tcPr>
                  <w:tcW w:w="2883" w:type="dxa"/>
                  <w:noWrap w:val="0"/>
                  <w:vAlign w:val="center"/>
                </w:tcPr>
                <w:p>
                  <w:pPr>
                    <w:spacing w:line="240" w:lineRule="auto"/>
                    <w:jc w:val="center"/>
                    <w:rPr>
                      <w:b/>
                      <w:bCs/>
                      <w:sz w:val="21"/>
                      <w:szCs w:val="21"/>
                    </w:rPr>
                  </w:pPr>
                  <w:r>
                    <w:rPr>
                      <w:b/>
                      <w:bCs/>
                      <w:sz w:val="21"/>
                      <w:szCs w:val="21"/>
                    </w:rPr>
                    <w:t>年评价指标</w:t>
                  </w:r>
                </w:p>
              </w:tc>
              <w:tc>
                <w:tcPr>
                  <w:tcW w:w="1223" w:type="dxa"/>
                  <w:noWrap w:val="0"/>
                  <w:vAlign w:val="center"/>
                </w:tcPr>
                <w:p>
                  <w:pPr>
                    <w:spacing w:line="240" w:lineRule="auto"/>
                    <w:jc w:val="center"/>
                    <w:rPr>
                      <w:b/>
                      <w:bCs/>
                      <w:sz w:val="21"/>
                      <w:szCs w:val="21"/>
                    </w:rPr>
                  </w:pPr>
                  <w:r>
                    <w:rPr>
                      <w:b/>
                      <w:bCs/>
                      <w:sz w:val="21"/>
                      <w:szCs w:val="21"/>
                    </w:rPr>
                    <w:t>现状浓度（ug/m</w:t>
                  </w:r>
                  <w:r>
                    <w:rPr>
                      <w:b/>
                      <w:bCs/>
                      <w:sz w:val="21"/>
                      <w:szCs w:val="21"/>
                      <w:vertAlign w:val="superscript"/>
                    </w:rPr>
                    <w:t>3</w:t>
                  </w:r>
                  <w:r>
                    <w:rPr>
                      <w:b/>
                      <w:bCs/>
                      <w:sz w:val="21"/>
                      <w:szCs w:val="21"/>
                    </w:rPr>
                    <w:t>）</w:t>
                  </w:r>
                </w:p>
              </w:tc>
              <w:tc>
                <w:tcPr>
                  <w:tcW w:w="1058" w:type="dxa"/>
                  <w:noWrap w:val="0"/>
                  <w:vAlign w:val="center"/>
                </w:tcPr>
                <w:p>
                  <w:pPr>
                    <w:spacing w:line="240" w:lineRule="auto"/>
                    <w:jc w:val="center"/>
                    <w:rPr>
                      <w:b/>
                      <w:bCs/>
                      <w:sz w:val="21"/>
                      <w:szCs w:val="21"/>
                    </w:rPr>
                  </w:pPr>
                  <w:r>
                    <w:rPr>
                      <w:b/>
                      <w:bCs/>
                      <w:sz w:val="21"/>
                      <w:szCs w:val="21"/>
                    </w:rPr>
                    <w:t>标准值（ug/m</w:t>
                  </w:r>
                  <w:r>
                    <w:rPr>
                      <w:b/>
                      <w:bCs/>
                      <w:sz w:val="21"/>
                      <w:szCs w:val="21"/>
                      <w:vertAlign w:val="superscript"/>
                    </w:rPr>
                    <w:t>3</w:t>
                  </w:r>
                  <w:r>
                    <w:rPr>
                      <w:b/>
                      <w:bCs/>
                      <w:sz w:val="21"/>
                      <w:szCs w:val="21"/>
                    </w:rPr>
                    <w:t>）</w:t>
                  </w:r>
                </w:p>
              </w:tc>
              <w:tc>
                <w:tcPr>
                  <w:tcW w:w="989" w:type="dxa"/>
                  <w:noWrap w:val="0"/>
                  <w:vAlign w:val="center"/>
                </w:tcPr>
                <w:p>
                  <w:pPr>
                    <w:spacing w:line="240" w:lineRule="auto"/>
                    <w:jc w:val="center"/>
                    <w:rPr>
                      <w:b/>
                      <w:bCs/>
                      <w:sz w:val="21"/>
                      <w:szCs w:val="21"/>
                    </w:rPr>
                  </w:pPr>
                  <w:r>
                    <w:rPr>
                      <w:b/>
                      <w:bCs/>
                      <w:sz w:val="21"/>
                      <w:szCs w:val="21"/>
                    </w:rPr>
                    <w:t>占标率（%）</w:t>
                  </w:r>
                </w:p>
              </w:tc>
              <w:tc>
                <w:tcPr>
                  <w:tcW w:w="1177" w:type="dxa"/>
                  <w:noWrap w:val="0"/>
                  <w:vAlign w:val="center"/>
                </w:tcPr>
                <w:p>
                  <w:pPr>
                    <w:spacing w:line="240" w:lineRule="auto"/>
                    <w:jc w:val="center"/>
                    <w:rPr>
                      <w:b/>
                      <w:bCs/>
                      <w:sz w:val="21"/>
                      <w:szCs w:val="21"/>
                    </w:rPr>
                  </w:pPr>
                  <w:r>
                    <w:rPr>
                      <w:b/>
                      <w:bCs/>
                      <w:sz w:val="21"/>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907" w:type="dxa"/>
                  <w:noWrap w:val="0"/>
                  <w:vAlign w:val="center"/>
                </w:tcPr>
                <w:p>
                  <w:pPr>
                    <w:spacing w:line="240" w:lineRule="auto"/>
                    <w:jc w:val="center"/>
                    <w:rPr>
                      <w:bCs/>
                      <w:sz w:val="21"/>
                      <w:szCs w:val="21"/>
                    </w:rPr>
                  </w:pPr>
                  <w:r>
                    <w:rPr>
                      <w:sz w:val="21"/>
                      <w:szCs w:val="21"/>
                    </w:rPr>
                    <w:t>SO</w:t>
                  </w:r>
                  <w:r>
                    <w:rPr>
                      <w:sz w:val="21"/>
                      <w:szCs w:val="21"/>
                      <w:vertAlign w:val="subscript"/>
                    </w:rPr>
                    <w:t>2</w:t>
                  </w:r>
                </w:p>
              </w:tc>
              <w:tc>
                <w:tcPr>
                  <w:tcW w:w="2883" w:type="dxa"/>
                  <w:noWrap w:val="0"/>
                  <w:vAlign w:val="center"/>
                </w:tcPr>
                <w:p>
                  <w:pPr>
                    <w:spacing w:line="240" w:lineRule="auto"/>
                    <w:jc w:val="center"/>
                    <w:rPr>
                      <w:bCs/>
                      <w:sz w:val="21"/>
                      <w:szCs w:val="21"/>
                    </w:rPr>
                  </w:pPr>
                  <w:r>
                    <w:rPr>
                      <w:sz w:val="21"/>
                      <w:szCs w:val="21"/>
                    </w:rPr>
                    <w:t>年平均质量浓度</w:t>
                  </w:r>
                </w:p>
              </w:tc>
              <w:tc>
                <w:tcPr>
                  <w:tcW w:w="1223" w:type="dxa"/>
                  <w:noWrap w:val="0"/>
                  <w:vAlign w:val="center"/>
                </w:tcPr>
                <w:p>
                  <w:pPr>
                    <w:spacing w:line="240" w:lineRule="auto"/>
                    <w:jc w:val="center"/>
                    <w:rPr>
                      <w:rFonts w:hint="eastAsia" w:eastAsia="宋体"/>
                      <w:bCs/>
                      <w:sz w:val="21"/>
                      <w:szCs w:val="21"/>
                      <w:lang w:eastAsia="zh-CN"/>
                    </w:rPr>
                  </w:pPr>
                  <w:r>
                    <w:rPr>
                      <w:rFonts w:hint="eastAsia"/>
                      <w:bCs/>
                      <w:sz w:val="21"/>
                      <w:szCs w:val="21"/>
                      <w:lang w:val="en-US" w:eastAsia="zh-CN"/>
                    </w:rPr>
                    <w:t>7</w:t>
                  </w:r>
                </w:p>
              </w:tc>
              <w:tc>
                <w:tcPr>
                  <w:tcW w:w="1058" w:type="dxa"/>
                  <w:noWrap w:val="0"/>
                  <w:vAlign w:val="center"/>
                </w:tcPr>
                <w:p>
                  <w:pPr>
                    <w:spacing w:line="240" w:lineRule="auto"/>
                    <w:jc w:val="center"/>
                    <w:rPr>
                      <w:bCs/>
                      <w:sz w:val="21"/>
                      <w:szCs w:val="21"/>
                    </w:rPr>
                  </w:pPr>
                  <w:r>
                    <w:rPr>
                      <w:rFonts w:hint="eastAsia"/>
                      <w:sz w:val="21"/>
                      <w:szCs w:val="21"/>
                    </w:rPr>
                    <w:t>60</w:t>
                  </w:r>
                </w:p>
              </w:tc>
              <w:tc>
                <w:tcPr>
                  <w:tcW w:w="989" w:type="dxa"/>
                  <w:noWrap w:val="0"/>
                  <w:vAlign w:val="center"/>
                </w:tcPr>
                <w:p>
                  <w:pPr>
                    <w:spacing w:line="240" w:lineRule="auto"/>
                    <w:jc w:val="center"/>
                    <w:rPr>
                      <w:rFonts w:hint="default" w:eastAsia="宋体"/>
                      <w:bCs/>
                      <w:sz w:val="21"/>
                      <w:szCs w:val="21"/>
                      <w:lang w:val="en-US" w:eastAsia="zh-CN"/>
                    </w:rPr>
                  </w:pPr>
                  <w:r>
                    <w:rPr>
                      <w:rFonts w:hint="eastAsia"/>
                      <w:bCs/>
                      <w:sz w:val="21"/>
                      <w:szCs w:val="21"/>
                      <w:lang w:val="en-US" w:eastAsia="zh-CN"/>
                    </w:rPr>
                    <w:t>11.7</w:t>
                  </w:r>
                </w:p>
              </w:tc>
              <w:tc>
                <w:tcPr>
                  <w:tcW w:w="1177" w:type="dxa"/>
                  <w:noWrap w:val="0"/>
                  <w:vAlign w:val="center"/>
                </w:tcPr>
                <w:p>
                  <w:pPr>
                    <w:spacing w:line="240" w:lineRule="auto"/>
                    <w:jc w:val="center"/>
                    <w:rPr>
                      <w:bCs/>
                      <w:sz w:val="21"/>
                      <w:szCs w:val="21"/>
                    </w:rPr>
                  </w:pPr>
                  <w:r>
                    <w:rPr>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907" w:type="dxa"/>
                  <w:noWrap w:val="0"/>
                  <w:vAlign w:val="center"/>
                </w:tcPr>
                <w:p>
                  <w:pPr>
                    <w:spacing w:line="240" w:lineRule="auto"/>
                    <w:jc w:val="center"/>
                    <w:rPr>
                      <w:bCs/>
                      <w:sz w:val="21"/>
                      <w:szCs w:val="21"/>
                    </w:rPr>
                  </w:pPr>
                  <w:r>
                    <w:rPr>
                      <w:sz w:val="21"/>
                      <w:szCs w:val="21"/>
                    </w:rPr>
                    <w:t>NO</w:t>
                  </w:r>
                  <w:r>
                    <w:rPr>
                      <w:sz w:val="21"/>
                      <w:szCs w:val="21"/>
                      <w:vertAlign w:val="subscript"/>
                    </w:rPr>
                    <w:t>2</w:t>
                  </w:r>
                </w:p>
              </w:tc>
              <w:tc>
                <w:tcPr>
                  <w:tcW w:w="2883" w:type="dxa"/>
                  <w:noWrap w:val="0"/>
                  <w:vAlign w:val="center"/>
                </w:tcPr>
                <w:p>
                  <w:pPr>
                    <w:spacing w:line="240" w:lineRule="auto"/>
                    <w:jc w:val="center"/>
                    <w:rPr>
                      <w:bCs/>
                      <w:sz w:val="21"/>
                      <w:szCs w:val="21"/>
                    </w:rPr>
                  </w:pPr>
                  <w:r>
                    <w:rPr>
                      <w:sz w:val="21"/>
                      <w:szCs w:val="21"/>
                    </w:rPr>
                    <w:t>年平均质量浓度</w:t>
                  </w:r>
                </w:p>
              </w:tc>
              <w:tc>
                <w:tcPr>
                  <w:tcW w:w="1223" w:type="dxa"/>
                  <w:noWrap w:val="0"/>
                  <w:vAlign w:val="center"/>
                </w:tcPr>
                <w:p>
                  <w:pPr>
                    <w:spacing w:line="240" w:lineRule="auto"/>
                    <w:jc w:val="center"/>
                    <w:rPr>
                      <w:rFonts w:hint="default" w:eastAsia="宋体"/>
                      <w:bCs/>
                      <w:sz w:val="21"/>
                      <w:szCs w:val="21"/>
                      <w:lang w:val="en-US" w:eastAsia="zh-CN"/>
                    </w:rPr>
                  </w:pPr>
                  <w:r>
                    <w:rPr>
                      <w:rFonts w:hint="eastAsia"/>
                      <w:bCs/>
                      <w:sz w:val="21"/>
                      <w:szCs w:val="21"/>
                      <w:lang w:val="en-US" w:eastAsia="zh-CN"/>
                    </w:rPr>
                    <w:t>24</w:t>
                  </w:r>
                </w:p>
              </w:tc>
              <w:tc>
                <w:tcPr>
                  <w:tcW w:w="1058" w:type="dxa"/>
                  <w:noWrap w:val="0"/>
                  <w:vAlign w:val="center"/>
                </w:tcPr>
                <w:p>
                  <w:pPr>
                    <w:spacing w:line="240" w:lineRule="auto"/>
                    <w:jc w:val="center"/>
                    <w:rPr>
                      <w:bCs/>
                      <w:sz w:val="21"/>
                      <w:szCs w:val="21"/>
                    </w:rPr>
                  </w:pPr>
                  <w:r>
                    <w:rPr>
                      <w:rFonts w:hint="eastAsia"/>
                      <w:sz w:val="21"/>
                      <w:szCs w:val="21"/>
                    </w:rPr>
                    <w:t>40</w:t>
                  </w:r>
                </w:p>
              </w:tc>
              <w:tc>
                <w:tcPr>
                  <w:tcW w:w="989" w:type="dxa"/>
                  <w:noWrap w:val="0"/>
                  <w:vAlign w:val="center"/>
                </w:tcPr>
                <w:p>
                  <w:pPr>
                    <w:spacing w:line="240" w:lineRule="auto"/>
                    <w:jc w:val="center"/>
                    <w:rPr>
                      <w:rFonts w:hint="default" w:eastAsia="宋体"/>
                      <w:bCs/>
                      <w:sz w:val="21"/>
                      <w:szCs w:val="21"/>
                      <w:lang w:val="en-US" w:eastAsia="zh-CN"/>
                    </w:rPr>
                  </w:pPr>
                  <w:r>
                    <w:rPr>
                      <w:rFonts w:hint="eastAsia"/>
                      <w:bCs/>
                      <w:sz w:val="21"/>
                      <w:szCs w:val="21"/>
                      <w:lang w:val="en-US" w:eastAsia="zh-CN"/>
                    </w:rPr>
                    <w:t>60</w:t>
                  </w:r>
                </w:p>
              </w:tc>
              <w:tc>
                <w:tcPr>
                  <w:tcW w:w="1177" w:type="dxa"/>
                  <w:noWrap w:val="0"/>
                  <w:vAlign w:val="center"/>
                </w:tcPr>
                <w:p>
                  <w:pPr>
                    <w:spacing w:line="240" w:lineRule="auto"/>
                    <w:jc w:val="center"/>
                    <w:rPr>
                      <w:bCs/>
                      <w:sz w:val="21"/>
                      <w:szCs w:val="21"/>
                    </w:rPr>
                  </w:pPr>
                  <w:r>
                    <w:rPr>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907" w:type="dxa"/>
                  <w:noWrap w:val="0"/>
                  <w:vAlign w:val="center"/>
                </w:tcPr>
                <w:p>
                  <w:pPr>
                    <w:spacing w:line="240" w:lineRule="auto"/>
                    <w:jc w:val="center"/>
                    <w:rPr>
                      <w:bCs/>
                      <w:sz w:val="21"/>
                      <w:szCs w:val="21"/>
                    </w:rPr>
                  </w:pPr>
                  <w:r>
                    <w:rPr>
                      <w:sz w:val="21"/>
                      <w:szCs w:val="21"/>
                    </w:rPr>
                    <w:t>PM</w:t>
                  </w:r>
                  <w:r>
                    <w:rPr>
                      <w:sz w:val="21"/>
                      <w:szCs w:val="21"/>
                      <w:vertAlign w:val="subscript"/>
                    </w:rPr>
                    <w:t>10</w:t>
                  </w:r>
                </w:p>
              </w:tc>
              <w:tc>
                <w:tcPr>
                  <w:tcW w:w="2883" w:type="dxa"/>
                  <w:noWrap w:val="0"/>
                  <w:vAlign w:val="center"/>
                </w:tcPr>
                <w:p>
                  <w:pPr>
                    <w:spacing w:line="240" w:lineRule="auto"/>
                    <w:jc w:val="center"/>
                    <w:rPr>
                      <w:bCs/>
                      <w:sz w:val="21"/>
                      <w:szCs w:val="21"/>
                    </w:rPr>
                  </w:pPr>
                  <w:r>
                    <w:rPr>
                      <w:sz w:val="21"/>
                      <w:szCs w:val="21"/>
                    </w:rPr>
                    <w:t>年平均质量浓度</w:t>
                  </w:r>
                </w:p>
              </w:tc>
              <w:tc>
                <w:tcPr>
                  <w:tcW w:w="1223" w:type="dxa"/>
                  <w:noWrap w:val="0"/>
                  <w:vAlign w:val="center"/>
                </w:tcPr>
                <w:p>
                  <w:pPr>
                    <w:spacing w:line="240" w:lineRule="auto"/>
                    <w:jc w:val="center"/>
                    <w:rPr>
                      <w:rFonts w:hint="default" w:eastAsia="宋体"/>
                      <w:bCs/>
                      <w:sz w:val="21"/>
                      <w:szCs w:val="21"/>
                      <w:lang w:val="en-US" w:eastAsia="zh-CN"/>
                    </w:rPr>
                  </w:pPr>
                  <w:r>
                    <w:rPr>
                      <w:rFonts w:hint="eastAsia"/>
                      <w:bCs/>
                      <w:sz w:val="21"/>
                      <w:szCs w:val="21"/>
                      <w:lang w:val="en-US" w:eastAsia="zh-CN"/>
                    </w:rPr>
                    <w:t>58</w:t>
                  </w:r>
                </w:p>
              </w:tc>
              <w:tc>
                <w:tcPr>
                  <w:tcW w:w="1058" w:type="dxa"/>
                  <w:noWrap w:val="0"/>
                  <w:vAlign w:val="center"/>
                </w:tcPr>
                <w:p>
                  <w:pPr>
                    <w:spacing w:line="240" w:lineRule="auto"/>
                    <w:jc w:val="center"/>
                    <w:rPr>
                      <w:bCs/>
                      <w:sz w:val="21"/>
                      <w:szCs w:val="21"/>
                    </w:rPr>
                  </w:pPr>
                  <w:r>
                    <w:rPr>
                      <w:rFonts w:hint="eastAsia"/>
                      <w:sz w:val="21"/>
                      <w:szCs w:val="21"/>
                    </w:rPr>
                    <w:t>70</w:t>
                  </w:r>
                </w:p>
              </w:tc>
              <w:tc>
                <w:tcPr>
                  <w:tcW w:w="989" w:type="dxa"/>
                  <w:noWrap w:val="0"/>
                  <w:vAlign w:val="center"/>
                </w:tcPr>
                <w:p>
                  <w:pPr>
                    <w:spacing w:line="240" w:lineRule="auto"/>
                    <w:jc w:val="center"/>
                    <w:rPr>
                      <w:rFonts w:hint="default" w:eastAsia="宋体"/>
                      <w:bCs/>
                      <w:sz w:val="21"/>
                      <w:szCs w:val="21"/>
                      <w:lang w:val="en-US" w:eastAsia="zh-CN"/>
                    </w:rPr>
                  </w:pPr>
                  <w:r>
                    <w:rPr>
                      <w:rFonts w:hint="eastAsia"/>
                      <w:bCs/>
                      <w:sz w:val="21"/>
                      <w:szCs w:val="21"/>
                      <w:lang w:val="en-US" w:eastAsia="zh-CN"/>
                    </w:rPr>
                    <w:t>82.9</w:t>
                  </w:r>
                </w:p>
              </w:tc>
              <w:tc>
                <w:tcPr>
                  <w:tcW w:w="1177" w:type="dxa"/>
                  <w:noWrap w:val="0"/>
                  <w:vAlign w:val="center"/>
                </w:tcPr>
                <w:p>
                  <w:pPr>
                    <w:spacing w:line="240" w:lineRule="auto"/>
                    <w:jc w:val="center"/>
                    <w:rPr>
                      <w:bCs/>
                      <w:sz w:val="21"/>
                      <w:szCs w:val="21"/>
                    </w:rPr>
                  </w:pPr>
                  <w:r>
                    <w:rPr>
                      <w:rFonts w:hint="eastAsia"/>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34" w:hRule="atLeast"/>
                <w:jc w:val="center"/>
              </w:trPr>
              <w:tc>
                <w:tcPr>
                  <w:tcW w:w="907" w:type="dxa"/>
                  <w:noWrap w:val="0"/>
                  <w:vAlign w:val="center"/>
                </w:tcPr>
                <w:p>
                  <w:pPr>
                    <w:spacing w:line="240" w:lineRule="auto"/>
                    <w:jc w:val="center"/>
                    <w:rPr>
                      <w:bCs/>
                      <w:sz w:val="21"/>
                      <w:szCs w:val="21"/>
                    </w:rPr>
                  </w:pPr>
                  <w:r>
                    <w:rPr>
                      <w:sz w:val="21"/>
                      <w:szCs w:val="21"/>
                    </w:rPr>
                    <w:t>PM</w:t>
                  </w:r>
                  <w:r>
                    <w:rPr>
                      <w:sz w:val="21"/>
                      <w:szCs w:val="21"/>
                      <w:vertAlign w:val="subscript"/>
                    </w:rPr>
                    <w:t>2.5</w:t>
                  </w:r>
                </w:p>
              </w:tc>
              <w:tc>
                <w:tcPr>
                  <w:tcW w:w="2883" w:type="dxa"/>
                  <w:noWrap w:val="0"/>
                  <w:vAlign w:val="center"/>
                </w:tcPr>
                <w:p>
                  <w:pPr>
                    <w:spacing w:line="240" w:lineRule="auto"/>
                    <w:jc w:val="center"/>
                    <w:rPr>
                      <w:bCs/>
                      <w:sz w:val="21"/>
                      <w:szCs w:val="21"/>
                    </w:rPr>
                  </w:pPr>
                  <w:r>
                    <w:rPr>
                      <w:sz w:val="21"/>
                      <w:szCs w:val="21"/>
                    </w:rPr>
                    <w:t>年平均质量浓度</w:t>
                  </w:r>
                </w:p>
              </w:tc>
              <w:tc>
                <w:tcPr>
                  <w:tcW w:w="1223" w:type="dxa"/>
                  <w:noWrap w:val="0"/>
                  <w:vAlign w:val="center"/>
                </w:tcPr>
                <w:p>
                  <w:pPr>
                    <w:spacing w:line="240" w:lineRule="auto"/>
                    <w:jc w:val="center"/>
                    <w:rPr>
                      <w:rFonts w:hint="default" w:eastAsia="宋体"/>
                      <w:bCs/>
                      <w:sz w:val="21"/>
                      <w:szCs w:val="21"/>
                      <w:lang w:val="en-US" w:eastAsia="zh-CN"/>
                    </w:rPr>
                  </w:pPr>
                  <w:r>
                    <w:rPr>
                      <w:rFonts w:hint="eastAsia"/>
                      <w:bCs/>
                      <w:sz w:val="21"/>
                      <w:szCs w:val="21"/>
                      <w:lang w:val="en-US" w:eastAsia="zh-CN"/>
                    </w:rPr>
                    <w:t>40</w:t>
                  </w:r>
                </w:p>
              </w:tc>
              <w:tc>
                <w:tcPr>
                  <w:tcW w:w="1058" w:type="dxa"/>
                  <w:noWrap w:val="0"/>
                  <w:vAlign w:val="center"/>
                </w:tcPr>
                <w:p>
                  <w:pPr>
                    <w:spacing w:line="240" w:lineRule="auto"/>
                    <w:jc w:val="center"/>
                    <w:rPr>
                      <w:bCs/>
                      <w:sz w:val="21"/>
                      <w:szCs w:val="21"/>
                    </w:rPr>
                  </w:pPr>
                  <w:r>
                    <w:rPr>
                      <w:rFonts w:hint="eastAsia"/>
                      <w:sz w:val="21"/>
                      <w:szCs w:val="21"/>
                    </w:rPr>
                    <w:t>35</w:t>
                  </w:r>
                </w:p>
              </w:tc>
              <w:tc>
                <w:tcPr>
                  <w:tcW w:w="989" w:type="dxa"/>
                  <w:noWrap w:val="0"/>
                  <w:vAlign w:val="center"/>
                </w:tcPr>
                <w:p>
                  <w:pPr>
                    <w:spacing w:line="240" w:lineRule="auto"/>
                    <w:jc w:val="center"/>
                    <w:rPr>
                      <w:rFonts w:hint="default" w:eastAsia="宋体"/>
                      <w:bCs/>
                      <w:sz w:val="21"/>
                      <w:szCs w:val="21"/>
                      <w:lang w:val="en-US" w:eastAsia="zh-CN"/>
                    </w:rPr>
                  </w:pPr>
                  <w:r>
                    <w:rPr>
                      <w:rFonts w:hint="eastAsia"/>
                      <w:bCs/>
                      <w:sz w:val="21"/>
                      <w:szCs w:val="21"/>
                      <w:lang w:val="en-US" w:eastAsia="zh-CN"/>
                    </w:rPr>
                    <w:t>114.3</w:t>
                  </w:r>
                </w:p>
              </w:tc>
              <w:tc>
                <w:tcPr>
                  <w:tcW w:w="1177" w:type="dxa"/>
                  <w:noWrap w:val="0"/>
                  <w:vAlign w:val="center"/>
                </w:tcPr>
                <w:p>
                  <w:pPr>
                    <w:spacing w:line="240" w:lineRule="auto"/>
                    <w:jc w:val="center"/>
                    <w:rPr>
                      <w:bCs/>
                      <w:sz w:val="21"/>
                      <w:szCs w:val="21"/>
                    </w:rPr>
                  </w:pPr>
                  <w:r>
                    <w:rPr>
                      <w:rFonts w:hint="eastAsia"/>
                      <w:sz w:val="21"/>
                      <w:szCs w:val="21"/>
                      <w:lang w:eastAsia="zh-CN"/>
                    </w:rPr>
                    <w:t>不</w:t>
                  </w:r>
                  <w:r>
                    <w:rPr>
                      <w:rFonts w:hint="eastAsia"/>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907" w:type="dxa"/>
                  <w:noWrap w:val="0"/>
                  <w:vAlign w:val="center"/>
                </w:tcPr>
                <w:p>
                  <w:pPr>
                    <w:spacing w:line="240" w:lineRule="auto"/>
                    <w:jc w:val="center"/>
                    <w:rPr>
                      <w:bCs/>
                      <w:sz w:val="21"/>
                      <w:szCs w:val="21"/>
                    </w:rPr>
                  </w:pPr>
                  <w:r>
                    <w:rPr>
                      <w:sz w:val="21"/>
                      <w:szCs w:val="21"/>
                    </w:rPr>
                    <w:t>CO</w:t>
                  </w:r>
                </w:p>
              </w:tc>
              <w:tc>
                <w:tcPr>
                  <w:tcW w:w="2883" w:type="dxa"/>
                  <w:noWrap w:val="0"/>
                  <w:vAlign w:val="center"/>
                </w:tcPr>
                <w:p>
                  <w:pPr>
                    <w:spacing w:line="240" w:lineRule="auto"/>
                    <w:jc w:val="center"/>
                    <w:rPr>
                      <w:bCs/>
                      <w:sz w:val="21"/>
                      <w:szCs w:val="21"/>
                    </w:rPr>
                  </w:pPr>
                  <w:r>
                    <w:rPr>
                      <w:sz w:val="21"/>
                      <w:szCs w:val="21"/>
                    </w:rPr>
                    <w:t>第95百位数日平均质量浓度</w:t>
                  </w:r>
                </w:p>
              </w:tc>
              <w:tc>
                <w:tcPr>
                  <w:tcW w:w="1223" w:type="dxa"/>
                  <w:noWrap w:val="0"/>
                  <w:vAlign w:val="center"/>
                </w:tcPr>
                <w:p>
                  <w:pPr>
                    <w:spacing w:line="240" w:lineRule="auto"/>
                    <w:jc w:val="center"/>
                    <w:rPr>
                      <w:rFonts w:hint="default" w:eastAsia="宋体"/>
                      <w:bCs/>
                      <w:sz w:val="21"/>
                      <w:szCs w:val="21"/>
                      <w:lang w:val="en-US" w:eastAsia="zh-CN"/>
                    </w:rPr>
                  </w:pPr>
                  <w:r>
                    <w:rPr>
                      <w:rFonts w:hint="eastAsia"/>
                      <w:bCs/>
                      <w:sz w:val="21"/>
                      <w:szCs w:val="21"/>
                      <w:lang w:val="en-US" w:eastAsia="zh-CN"/>
                    </w:rPr>
                    <w:t>1.1</w:t>
                  </w:r>
                </w:p>
              </w:tc>
              <w:tc>
                <w:tcPr>
                  <w:tcW w:w="1058" w:type="dxa"/>
                  <w:noWrap w:val="0"/>
                  <w:vAlign w:val="center"/>
                </w:tcPr>
                <w:p>
                  <w:pPr>
                    <w:spacing w:line="240" w:lineRule="auto"/>
                    <w:jc w:val="center"/>
                    <w:rPr>
                      <w:bCs/>
                      <w:sz w:val="21"/>
                      <w:szCs w:val="21"/>
                    </w:rPr>
                  </w:pPr>
                  <w:r>
                    <w:rPr>
                      <w:rFonts w:hint="eastAsia"/>
                      <w:sz w:val="21"/>
                      <w:szCs w:val="21"/>
                    </w:rPr>
                    <w:t>4</w:t>
                  </w:r>
                </w:p>
              </w:tc>
              <w:tc>
                <w:tcPr>
                  <w:tcW w:w="989" w:type="dxa"/>
                  <w:noWrap w:val="0"/>
                  <w:vAlign w:val="center"/>
                </w:tcPr>
                <w:p>
                  <w:pPr>
                    <w:spacing w:line="240" w:lineRule="auto"/>
                    <w:jc w:val="center"/>
                    <w:rPr>
                      <w:rFonts w:hint="default" w:eastAsia="宋体"/>
                      <w:bCs/>
                      <w:sz w:val="21"/>
                      <w:szCs w:val="21"/>
                      <w:lang w:val="en-US" w:eastAsia="zh-CN"/>
                    </w:rPr>
                  </w:pPr>
                  <w:r>
                    <w:rPr>
                      <w:rFonts w:hint="eastAsia"/>
                      <w:bCs/>
                      <w:sz w:val="21"/>
                      <w:szCs w:val="21"/>
                      <w:lang w:val="en-US" w:eastAsia="zh-CN"/>
                    </w:rPr>
                    <w:t>27.5</w:t>
                  </w:r>
                </w:p>
              </w:tc>
              <w:tc>
                <w:tcPr>
                  <w:tcW w:w="1177" w:type="dxa"/>
                  <w:noWrap w:val="0"/>
                  <w:vAlign w:val="center"/>
                </w:tcPr>
                <w:p>
                  <w:pPr>
                    <w:spacing w:line="240" w:lineRule="auto"/>
                    <w:jc w:val="center"/>
                    <w:rPr>
                      <w:bCs/>
                      <w:sz w:val="21"/>
                      <w:szCs w:val="21"/>
                    </w:rPr>
                  </w:pPr>
                  <w:r>
                    <w:rPr>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907" w:type="dxa"/>
                  <w:noWrap w:val="0"/>
                  <w:vAlign w:val="center"/>
                </w:tcPr>
                <w:p>
                  <w:pPr>
                    <w:spacing w:line="240" w:lineRule="auto"/>
                    <w:jc w:val="center"/>
                    <w:rPr>
                      <w:bCs/>
                      <w:sz w:val="21"/>
                      <w:szCs w:val="21"/>
                    </w:rPr>
                  </w:pPr>
                  <w:r>
                    <w:rPr>
                      <w:sz w:val="21"/>
                      <w:szCs w:val="21"/>
                    </w:rPr>
                    <w:t>O</w:t>
                  </w:r>
                  <w:r>
                    <w:rPr>
                      <w:sz w:val="21"/>
                      <w:szCs w:val="21"/>
                      <w:vertAlign w:val="subscript"/>
                    </w:rPr>
                    <w:t>3</w:t>
                  </w:r>
                </w:p>
              </w:tc>
              <w:tc>
                <w:tcPr>
                  <w:tcW w:w="2883" w:type="dxa"/>
                  <w:noWrap w:val="0"/>
                  <w:vAlign w:val="center"/>
                </w:tcPr>
                <w:p>
                  <w:pPr>
                    <w:spacing w:line="240" w:lineRule="auto"/>
                    <w:jc w:val="center"/>
                    <w:rPr>
                      <w:bCs/>
                      <w:sz w:val="21"/>
                      <w:szCs w:val="21"/>
                    </w:rPr>
                  </w:pPr>
                  <w:r>
                    <w:rPr>
                      <w:sz w:val="21"/>
                      <w:szCs w:val="21"/>
                    </w:rPr>
                    <w:t>第90百分位8h平均质量浓度</w:t>
                  </w:r>
                </w:p>
              </w:tc>
              <w:tc>
                <w:tcPr>
                  <w:tcW w:w="1223" w:type="dxa"/>
                  <w:noWrap w:val="0"/>
                  <w:vAlign w:val="center"/>
                </w:tcPr>
                <w:p>
                  <w:pPr>
                    <w:spacing w:line="240" w:lineRule="auto"/>
                    <w:jc w:val="center"/>
                    <w:rPr>
                      <w:rFonts w:hint="default" w:eastAsia="宋体"/>
                      <w:bCs/>
                      <w:sz w:val="21"/>
                      <w:szCs w:val="21"/>
                      <w:lang w:val="en-US" w:eastAsia="zh-CN"/>
                    </w:rPr>
                  </w:pPr>
                  <w:r>
                    <w:rPr>
                      <w:rFonts w:hint="eastAsia"/>
                      <w:bCs/>
                      <w:sz w:val="21"/>
                      <w:szCs w:val="21"/>
                      <w:lang w:val="en-US" w:eastAsia="zh-CN"/>
                    </w:rPr>
                    <w:t>157</w:t>
                  </w:r>
                </w:p>
              </w:tc>
              <w:tc>
                <w:tcPr>
                  <w:tcW w:w="1058" w:type="dxa"/>
                  <w:noWrap w:val="0"/>
                  <w:vAlign w:val="center"/>
                </w:tcPr>
                <w:p>
                  <w:pPr>
                    <w:spacing w:line="240" w:lineRule="auto"/>
                    <w:jc w:val="center"/>
                    <w:rPr>
                      <w:bCs/>
                      <w:sz w:val="21"/>
                      <w:szCs w:val="21"/>
                    </w:rPr>
                  </w:pPr>
                  <w:r>
                    <w:rPr>
                      <w:rFonts w:hint="eastAsia"/>
                      <w:sz w:val="21"/>
                      <w:szCs w:val="21"/>
                    </w:rPr>
                    <w:t>160</w:t>
                  </w:r>
                </w:p>
              </w:tc>
              <w:tc>
                <w:tcPr>
                  <w:tcW w:w="989" w:type="dxa"/>
                  <w:noWrap w:val="0"/>
                  <w:vAlign w:val="center"/>
                </w:tcPr>
                <w:p>
                  <w:pPr>
                    <w:spacing w:line="240" w:lineRule="auto"/>
                    <w:jc w:val="center"/>
                    <w:rPr>
                      <w:rFonts w:hint="default" w:eastAsia="宋体"/>
                      <w:bCs/>
                      <w:sz w:val="21"/>
                      <w:szCs w:val="21"/>
                      <w:lang w:val="en-US" w:eastAsia="zh-CN"/>
                    </w:rPr>
                  </w:pPr>
                  <w:r>
                    <w:rPr>
                      <w:rFonts w:hint="eastAsia"/>
                      <w:bCs/>
                      <w:sz w:val="21"/>
                      <w:szCs w:val="21"/>
                      <w:lang w:val="en-US" w:eastAsia="zh-CN"/>
                    </w:rPr>
                    <w:t>98.1</w:t>
                  </w:r>
                </w:p>
              </w:tc>
              <w:tc>
                <w:tcPr>
                  <w:tcW w:w="1177" w:type="dxa"/>
                  <w:noWrap w:val="0"/>
                  <w:vAlign w:val="center"/>
                </w:tcPr>
                <w:p>
                  <w:pPr>
                    <w:spacing w:line="240" w:lineRule="auto"/>
                    <w:jc w:val="center"/>
                    <w:rPr>
                      <w:bCs/>
                      <w:sz w:val="21"/>
                      <w:szCs w:val="21"/>
                    </w:rPr>
                  </w:pPr>
                  <w:r>
                    <w:rPr>
                      <w:rFonts w:hint="eastAsia"/>
                      <w:sz w:val="21"/>
                      <w:szCs w:val="21"/>
                    </w:rPr>
                    <w:t>达标</w:t>
                  </w:r>
                </w:p>
              </w:tc>
            </w:tr>
          </w:tbl>
          <w:p>
            <w:pPr>
              <w:pStyle w:val="72"/>
              <w:bidi w:val="0"/>
            </w:pPr>
            <w:r>
              <w:t>由上表统计结果可知</w:t>
            </w:r>
            <w:r>
              <w:rPr>
                <w:rFonts w:hint="eastAsia"/>
              </w:rPr>
              <w:t>，</w:t>
            </w:r>
            <w:r>
              <w:rPr>
                <w:rFonts w:hint="eastAsia"/>
                <w:lang w:val="en-US" w:eastAsia="zh-CN"/>
              </w:rPr>
              <w:t>2022年乐山市中区</w:t>
            </w:r>
            <w:r>
              <w:rPr>
                <w:rFonts w:hint="eastAsia"/>
              </w:rPr>
              <w:t>环境空气中除细颗粒物浓度以外，二氧化硫、二氧化氮、臭氧、一氧化碳和可吸入颗粒物年均浓度年平均浓度满足《环境空气质量标准》</w:t>
            </w:r>
            <w:r>
              <w:rPr>
                <w:rFonts w:hint="eastAsia"/>
                <w:lang w:val="en-US" w:eastAsia="zh-CN"/>
              </w:rPr>
              <w:t>（GB3095-2012）二</w:t>
            </w:r>
            <w:r>
              <w:rPr>
                <w:rFonts w:hint="eastAsia"/>
              </w:rPr>
              <w:t>级标准要求。因此，项目所在地乐山市市中区属于环境空气质量</w:t>
            </w:r>
            <w:r>
              <w:rPr>
                <w:rFonts w:hint="eastAsia"/>
                <w:lang w:eastAsia="zh-CN"/>
              </w:rPr>
              <w:t>不</w:t>
            </w:r>
            <w:r>
              <w:rPr>
                <w:rFonts w:hint="eastAsia"/>
              </w:rPr>
              <w:t>达标区。</w:t>
            </w:r>
          </w:p>
          <w:p>
            <w:pPr>
              <w:pStyle w:val="185"/>
              <w:ind w:firstLine="480"/>
              <w:rPr>
                <w:rFonts w:ascii="Times New Roman" w:hAnsi="Times New Roman" w:eastAsia="宋体"/>
                <w:b/>
                <w:color w:val="000000"/>
                <w:kern w:val="0"/>
              </w:rPr>
            </w:pPr>
            <w:r>
              <w:rPr>
                <w:rFonts w:ascii="Times New Roman" w:hAnsi="Times New Roman" w:eastAsia="宋体"/>
                <w:b/>
                <w:color w:val="000000"/>
                <w:kern w:val="0"/>
              </w:rPr>
              <w:t>2、地表水环境质量</w:t>
            </w:r>
          </w:p>
          <w:p>
            <w:pPr>
              <w:pStyle w:val="72"/>
              <w:ind w:firstLine="480"/>
              <w:rPr>
                <w:rFonts w:hint="eastAsia"/>
              </w:rPr>
            </w:pPr>
            <w:r>
              <w:rPr>
                <w:rFonts w:hint="eastAsia"/>
              </w:rPr>
              <w:t>本项目为乐山巴川精神病专科医院床位扩建项目，项目营运期</w:t>
            </w:r>
            <w:r>
              <w:rPr>
                <w:rFonts w:hint="eastAsia"/>
                <w:szCs w:val="21"/>
              </w:rPr>
              <w:t>食堂废水经隔油池预处理后与生活污水、洗涤废水</w:t>
            </w:r>
            <w:r>
              <w:rPr>
                <w:rFonts w:hint="eastAsia"/>
                <w:szCs w:val="21"/>
                <w:lang w:eastAsia="zh-CN"/>
              </w:rPr>
              <w:t>、</w:t>
            </w:r>
            <w:r>
              <w:rPr>
                <w:rFonts w:hint="eastAsia"/>
                <w:szCs w:val="21"/>
              </w:rPr>
              <w:t>医疗污水通过化粪池排入</w:t>
            </w:r>
            <w:r>
              <w:rPr>
                <w:rFonts w:hint="eastAsia" w:hAnsi="宋体"/>
                <w:kern w:val="2"/>
                <w:szCs w:val="24"/>
              </w:rPr>
              <w:t>院内污水处理站</w:t>
            </w:r>
            <w:r>
              <w:rPr>
                <w:rFonts w:hint="eastAsia"/>
              </w:rPr>
              <w:t>（采用二级生化+消毒工艺）</w:t>
            </w:r>
            <w:r>
              <w:rPr>
                <w:rFonts w:hint="eastAsia" w:hAnsi="宋体"/>
                <w:kern w:val="2"/>
                <w:szCs w:val="24"/>
              </w:rPr>
              <w:t>处理达到《医疗机构水污染物排放标准》（GB18466-2005）表2中预处理标准后，排入市政污水管网进入</w:t>
            </w:r>
            <w:r>
              <w:rPr>
                <w:rFonts w:hint="eastAsia" w:hAnsi="宋体"/>
                <w:kern w:val="2"/>
                <w:szCs w:val="24"/>
                <w:lang w:eastAsia="zh-CN"/>
              </w:rPr>
              <w:t>乐山市第三</w:t>
            </w:r>
            <w:r>
              <w:rPr>
                <w:rFonts w:hint="eastAsia" w:hAnsi="宋体"/>
                <w:kern w:val="2"/>
                <w:szCs w:val="24"/>
              </w:rPr>
              <w:t>污水处理厂处理</w:t>
            </w:r>
            <w:r>
              <w:rPr>
                <w:rFonts w:hint="eastAsia"/>
              </w:rPr>
              <w:t>达标后排放。根据《环境影响评价技术导则 地表水环境》（HJ2.3-2018），本项目地表水评价等级为三级</w:t>
            </w:r>
            <w:r>
              <w:t>B</w:t>
            </w:r>
            <w:r>
              <w:rPr>
                <w:rFonts w:hint="eastAsia"/>
              </w:rPr>
              <w:t>，应优先采用国务院生态环境保护部门统一发布的水环境状况信息。</w:t>
            </w:r>
          </w:p>
          <w:p>
            <w:pPr>
              <w:pStyle w:val="72"/>
              <w:ind w:firstLine="480"/>
              <w:rPr>
                <w:rFonts w:hint="eastAsia"/>
                <w:bCs/>
              </w:rPr>
            </w:pPr>
            <w:r>
              <w:rPr>
                <w:rFonts w:hint="eastAsia"/>
              </w:rPr>
              <w:t>本项目所在区域地表水体为临江河，乐山市市中区人民政府网站上公布的《乐山市市中区生态环境局2021年市中区环境质量公报》“二、地表水水质状况”</w:t>
            </w:r>
            <w:r>
              <w:rPr>
                <w:rFonts w:hint="eastAsia"/>
                <w:bCs/>
              </w:rPr>
              <w:t>，2021年，临江河各监测断面年均浓度达到地表水Ⅱ类水质，河流水质状况优良。各监测指标年均浓度为：总磷0.09毫克/升，同比无变化；氨氮0.195毫克/升，同比下降49.5%；高锰酸盐指数2.3毫克/升，同比下降11.5%。</w:t>
            </w:r>
          </w:p>
          <w:p>
            <w:pPr>
              <w:pStyle w:val="72"/>
              <w:ind w:firstLine="480"/>
              <w:rPr>
                <w:rFonts w:hint="eastAsia"/>
                <w:bCs/>
                <w:highlight w:val="yellow"/>
              </w:rPr>
            </w:pPr>
            <w:r>
              <w:rPr>
                <w:rFonts w:hint="eastAsia"/>
                <w:bCs/>
              </w:rPr>
              <w:t>综上，市中区临江河出入境断面水质达到国家规定的《地表水环境质量标准》</w:t>
            </w:r>
            <w:r>
              <w:rPr>
                <w:rFonts w:hint="eastAsia" w:ascii="宋体" w:hAnsi="宋体" w:cs="宋体"/>
                <w:bCs/>
              </w:rPr>
              <w:t>Ⅱ</w:t>
            </w:r>
            <w:r>
              <w:rPr>
                <w:rFonts w:hint="eastAsia"/>
                <w:bCs/>
              </w:rPr>
              <w:t>类水域标准，水质状况良好。</w:t>
            </w:r>
          </w:p>
          <w:tbl>
            <w:tblPr>
              <w:tblStyle w:val="41"/>
              <w:tblW w:w="8000" w:type="dxa"/>
              <w:jc w:val="center"/>
              <w:tblLayout w:type="fixed"/>
              <w:tblCellMar>
                <w:top w:w="0" w:type="dxa"/>
                <w:left w:w="108" w:type="dxa"/>
                <w:bottom w:w="0" w:type="dxa"/>
                <w:right w:w="108" w:type="dxa"/>
              </w:tblCellMar>
            </w:tblPr>
            <w:tblGrid>
              <w:gridCol w:w="4000"/>
              <w:gridCol w:w="4000"/>
            </w:tblGrid>
            <w:tr>
              <w:tblPrEx>
                <w:tblCellMar>
                  <w:top w:w="0" w:type="dxa"/>
                  <w:left w:w="108" w:type="dxa"/>
                  <w:bottom w:w="0" w:type="dxa"/>
                  <w:right w:w="108" w:type="dxa"/>
                </w:tblCellMar>
              </w:tblPrEx>
              <w:trPr>
                <w:jc w:val="center"/>
              </w:trPr>
              <w:tc>
                <w:tcPr>
                  <w:tcW w:w="4000" w:type="dxa"/>
                  <w:noWrap w:val="0"/>
                  <w:vAlign w:val="top"/>
                </w:tcPr>
                <w:p>
                  <w:pPr>
                    <w:pStyle w:val="72"/>
                    <w:ind w:firstLine="0" w:firstLineChars="0"/>
                    <w:jc w:val="left"/>
                  </w:pPr>
                  <w:r>
                    <w:drawing>
                      <wp:inline distT="0" distB="0" distL="114300" distR="114300">
                        <wp:extent cx="2555875" cy="1414145"/>
                        <wp:effectExtent l="0" t="0" r="15875" b="14605"/>
                        <wp:docPr id="16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30"/>
                                <pic:cNvPicPr>
                                  <a:picLocks noChangeAspect="1"/>
                                </pic:cNvPicPr>
                              </pic:nvPicPr>
                              <pic:blipFill>
                                <a:blip r:embed="rId36"/>
                                <a:srcRect b="65997"/>
                                <a:stretch>
                                  <a:fillRect/>
                                </a:stretch>
                              </pic:blipFill>
                              <pic:spPr>
                                <a:xfrm>
                                  <a:off x="0" y="0"/>
                                  <a:ext cx="2555875" cy="1414145"/>
                                </a:xfrm>
                                <a:prstGeom prst="rect">
                                  <a:avLst/>
                                </a:prstGeom>
                                <a:noFill/>
                                <a:ln>
                                  <a:noFill/>
                                </a:ln>
                              </pic:spPr>
                            </pic:pic>
                          </a:graphicData>
                        </a:graphic>
                      </wp:inline>
                    </w:drawing>
                  </w:r>
                </w:p>
                <w:p>
                  <w:pPr>
                    <w:pStyle w:val="72"/>
                    <w:ind w:firstLine="0" w:firstLineChars="0"/>
                  </w:pPr>
                  <w:r>
                    <w:drawing>
                      <wp:inline distT="0" distB="0" distL="114300" distR="114300">
                        <wp:extent cx="2555875" cy="1397635"/>
                        <wp:effectExtent l="0" t="0" r="15875" b="12065"/>
                        <wp:docPr id="16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1"/>
                                <pic:cNvPicPr>
                                  <a:picLocks noChangeAspect="1"/>
                                </pic:cNvPicPr>
                              </pic:nvPicPr>
                              <pic:blipFill>
                                <a:blip r:embed="rId36"/>
                                <a:srcRect t="66371"/>
                                <a:stretch>
                                  <a:fillRect/>
                                </a:stretch>
                              </pic:blipFill>
                              <pic:spPr>
                                <a:xfrm>
                                  <a:off x="0" y="0"/>
                                  <a:ext cx="2555875" cy="1397635"/>
                                </a:xfrm>
                                <a:prstGeom prst="rect">
                                  <a:avLst/>
                                </a:prstGeom>
                                <a:noFill/>
                                <a:ln>
                                  <a:noFill/>
                                </a:ln>
                              </pic:spPr>
                            </pic:pic>
                          </a:graphicData>
                        </a:graphic>
                      </wp:inline>
                    </w:drawing>
                  </w:r>
                </w:p>
              </w:tc>
              <w:tc>
                <w:tcPr>
                  <w:tcW w:w="4000" w:type="dxa"/>
                  <w:noWrap w:val="0"/>
                  <w:vAlign w:val="top"/>
                </w:tcPr>
                <w:p>
                  <w:pPr>
                    <w:pStyle w:val="72"/>
                    <w:ind w:firstLine="0" w:firstLineChars="0"/>
                    <w:jc w:val="left"/>
                  </w:pPr>
                  <w:r>
                    <w:drawing>
                      <wp:inline distT="0" distB="0" distL="114300" distR="114300">
                        <wp:extent cx="2484120" cy="1995170"/>
                        <wp:effectExtent l="0" t="0" r="11430" b="5080"/>
                        <wp:docPr id="16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2"/>
                                <pic:cNvPicPr>
                                  <a:picLocks noChangeAspect="1"/>
                                </pic:cNvPicPr>
                              </pic:nvPicPr>
                              <pic:blipFill>
                                <a:blip r:embed="rId37"/>
                                <a:stretch>
                                  <a:fillRect/>
                                </a:stretch>
                              </pic:blipFill>
                              <pic:spPr>
                                <a:xfrm>
                                  <a:off x="0" y="0"/>
                                  <a:ext cx="2484120" cy="1995170"/>
                                </a:xfrm>
                                <a:prstGeom prst="rect">
                                  <a:avLst/>
                                </a:prstGeom>
                                <a:noFill/>
                                <a:ln>
                                  <a:noFill/>
                                </a:ln>
                              </pic:spPr>
                            </pic:pic>
                          </a:graphicData>
                        </a:graphic>
                      </wp:inline>
                    </w:drawing>
                  </w:r>
                </w:p>
                <w:p>
                  <w:pPr>
                    <w:pStyle w:val="72"/>
                    <w:ind w:firstLine="0" w:firstLineChars="0"/>
                    <w:jc w:val="left"/>
                  </w:pPr>
                  <w:r>
                    <w:drawing>
                      <wp:inline distT="0" distB="0" distL="114300" distR="114300">
                        <wp:extent cx="2484120" cy="465455"/>
                        <wp:effectExtent l="0" t="0" r="11430" b="10795"/>
                        <wp:docPr id="16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33"/>
                                <pic:cNvPicPr>
                                  <a:picLocks noChangeAspect="1"/>
                                </pic:cNvPicPr>
                              </pic:nvPicPr>
                              <pic:blipFill>
                                <a:blip r:embed="rId38"/>
                                <a:stretch>
                                  <a:fillRect/>
                                </a:stretch>
                              </pic:blipFill>
                              <pic:spPr>
                                <a:xfrm>
                                  <a:off x="0" y="0"/>
                                  <a:ext cx="2484120" cy="465455"/>
                                </a:xfrm>
                                <a:prstGeom prst="rect">
                                  <a:avLst/>
                                </a:prstGeom>
                                <a:noFill/>
                                <a:ln>
                                  <a:noFill/>
                                </a:ln>
                              </pic:spPr>
                            </pic:pic>
                          </a:graphicData>
                        </a:graphic>
                      </wp:inline>
                    </w:drawing>
                  </w:r>
                </w:p>
              </w:tc>
            </w:tr>
          </w:tbl>
          <w:p>
            <w:pPr>
              <w:pStyle w:val="72"/>
              <w:spacing w:line="240" w:lineRule="auto"/>
              <w:ind w:firstLine="0" w:firstLineChars="0"/>
              <w:jc w:val="center"/>
              <w:rPr>
                <w:rFonts w:hint="eastAsia"/>
                <w:b/>
                <w:szCs w:val="21"/>
              </w:rPr>
            </w:pPr>
            <w:r>
              <w:rPr>
                <w:rFonts w:hint="eastAsia"/>
                <w:b/>
                <w:bCs/>
                <w:sz w:val="21"/>
                <w:szCs w:val="16"/>
              </w:rPr>
              <w:t>图3-</w:t>
            </w:r>
            <w:r>
              <w:rPr>
                <w:rFonts w:hint="eastAsia"/>
                <w:b/>
                <w:bCs/>
                <w:sz w:val="21"/>
                <w:szCs w:val="16"/>
                <w:lang w:val="en-US" w:eastAsia="zh-CN"/>
              </w:rPr>
              <w:t>1</w:t>
            </w:r>
            <w:r>
              <w:rPr>
                <w:rFonts w:hint="eastAsia"/>
                <w:b/>
                <w:bCs/>
                <w:sz w:val="21"/>
                <w:szCs w:val="16"/>
              </w:rPr>
              <w:t xml:space="preserve"> 乐山市市中区生态环境局2021年市中区环境质量公报</w:t>
            </w:r>
            <w:r>
              <w:rPr>
                <w:rFonts w:hint="eastAsia"/>
              </w:rPr>
              <w:t xml:space="preserve"> </w:t>
            </w:r>
          </w:p>
          <w:p>
            <w:pPr>
              <w:adjustRightInd w:val="0"/>
              <w:spacing w:line="360" w:lineRule="auto"/>
              <w:ind w:firstLine="482" w:firstLineChars="200"/>
              <w:rPr>
                <w:rFonts w:ascii="Times New Roman" w:hAnsi="Times New Roman" w:eastAsia="宋体"/>
                <w:b/>
                <w:bCs/>
                <w:color w:val="000000"/>
                <w:sz w:val="24"/>
              </w:rPr>
            </w:pPr>
            <w:r>
              <w:rPr>
                <w:rFonts w:ascii="Times New Roman" w:hAnsi="Times New Roman" w:eastAsia="宋体"/>
                <w:b/>
                <w:bCs/>
                <w:color w:val="000000"/>
                <w:sz w:val="24"/>
              </w:rPr>
              <w:t>3、声环境质量现状</w:t>
            </w:r>
          </w:p>
          <w:p>
            <w:pPr>
              <w:adjustRightInd w:val="0"/>
              <w:spacing w:line="360" w:lineRule="auto"/>
              <w:ind w:firstLine="480" w:firstLineChars="200"/>
              <w:rPr>
                <w:rFonts w:hint="eastAsia" w:ascii="Times New Roman" w:hAnsi="Times New Roman" w:eastAsia="宋体"/>
                <w:color w:val="000000"/>
                <w:sz w:val="24"/>
              </w:rPr>
            </w:pPr>
            <w:r>
              <w:rPr>
                <w:rFonts w:hint="eastAsia" w:ascii="Times New Roman" w:hAnsi="Times New Roman" w:eastAsia="宋体"/>
                <w:color w:val="000000"/>
                <w:sz w:val="24"/>
              </w:rPr>
              <w:t>根据《建设项目环境影响报告表编制技术指南（污染影响类）（试行）》（2021年4月1日实施），声环境。厂界外周边50米范围内存在声环境保护目标的建设项目，应监测保护目标声环境质量现状并评价达标情况。各点位应监测昼夜间噪声，监测时间不少于1天，项目夜间不生产则仅监测昼间噪声。</w:t>
            </w:r>
          </w:p>
          <w:p>
            <w:pPr>
              <w:adjustRightInd w:val="0"/>
              <w:spacing w:line="360" w:lineRule="auto"/>
              <w:ind w:firstLine="480" w:firstLineChars="200"/>
              <w:rPr>
                <w:rFonts w:ascii="Times New Roman" w:hAnsi="Times New Roman" w:eastAsia="宋体"/>
                <w:color w:val="000000"/>
                <w:sz w:val="24"/>
              </w:rPr>
            </w:pPr>
            <w:r>
              <w:rPr>
                <w:rFonts w:hint="eastAsia" w:ascii="Times New Roman" w:hAnsi="Times New Roman" w:eastAsia="宋体"/>
                <w:color w:val="000000"/>
                <w:sz w:val="24"/>
              </w:rPr>
              <w:t>根据现场调查，项目厂界外50m范围内有多户住户，西面、南面、东面均为徐月村聚集住户，北面主要为耕地及分散的零散住户；项目四周均有住户，因此本次评价对项目四周最近居民处进行了声环境质量监测，监测点位基本信息见下表：</w:t>
            </w:r>
          </w:p>
          <w:p>
            <w:pPr>
              <w:spacing w:line="240" w:lineRule="auto"/>
              <w:jc w:val="center"/>
              <w:rPr>
                <w:rFonts w:hint="eastAsia"/>
                <w:b/>
                <w:bCs/>
                <w:kern w:val="0"/>
                <w:szCs w:val="16"/>
              </w:rPr>
            </w:pPr>
            <w:r>
              <w:rPr>
                <w:rFonts w:hint="eastAsia"/>
                <w:b/>
                <w:bCs/>
                <w:kern w:val="0"/>
                <w:szCs w:val="16"/>
              </w:rPr>
              <w:t>表3-</w:t>
            </w:r>
            <w:r>
              <w:rPr>
                <w:b/>
                <w:bCs/>
                <w:kern w:val="0"/>
                <w:szCs w:val="16"/>
                <w:lang w:val="en"/>
              </w:rPr>
              <w:t>2</w:t>
            </w:r>
            <w:r>
              <w:rPr>
                <w:rFonts w:hint="eastAsia"/>
                <w:b/>
                <w:bCs/>
                <w:kern w:val="0"/>
                <w:szCs w:val="16"/>
              </w:rPr>
              <w:t xml:space="preserve">  声环境监测点位信息</w:t>
            </w:r>
          </w:p>
          <w:tbl>
            <w:tblPr>
              <w:tblStyle w:val="41"/>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17"/>
              <w:gridCol w:w="1384"/>
              <w:gridCol w:w="1321"/>
              <w:gridCol w:w="948"/>
              <w:gridCol w:w="126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1" w:hRule="atLeast"/>
              </w:trPr>
              <w:tc>
                <w:tcPr>
                  <w:tcW w:w="1978" w:type="pct"/>
                  <w:tcBorders>
                    <w:top w:val="single" w:color="000000" w:sz="4" w:space="0"/>
                  </w:tcBorders>
                  <w:noWrap w:val="0"/>
                  <w:vAlign w:val="center"/>
                </w:tcPr>
                <w:p>
                  <w:pPr>
                    <w:pStyle w:val="37"/>
                    <w:widowControl w:val="0"/>
                    <w:autoSpaceDE w:val="0"/>
                    <w:autoSpaceDN w:val="0"/>
                    <w:adjustRightInd w:val="0"/>
                    <w:spacing w:before="0" w:beforeAutospacing="0" w:after="0" w:afterAutospacing="0"/>
                    <w:jc w:val="center"/>
                    <w:rPr>
                      <w:rFonts w:hint="eastAsia" w:ascii="Times New Roman" w:hAnsi="Times New Roman"/>
                      <w:b/>
                      <w:bCs/>
                      <w:color w:val="000000"/>
                      <w:sz w:val="21"/>
                      <w:szCs w:val="21"/>
                      <w:lang w:bidi="ar"/>
                    </w:rPr>
                  </w:pPr>
                  <w:r>
                    <w:rPr>
                      <w:rFonts w:hint="eastAsia"/>
                      <w:b/>
                      <w:bCs/>
                      <w:sz w:val="21"/>
                      <w:szCs w:val="21"/>
                    </w:rPr>
                    <w:t>检测点编号及位置</w:t>
                  </w:r>
                </w:p>
              </w:tc>
              <w:tc>
                <w:tcPr>
                  <w:tcW w:w="851" w:type="pct"/>
                  <w:tcBorders>
                    <w:top w:val="single" w:color="000000" w:sz="4" w:space="0"/>
                  </w:tcBorders>
                  <w:noWrap w:val="0"/>
                  <w:vAlign w:val="center"/>
                </w:tcPr>
                <w:p>
                  <w:pPr>
                    <w:pStyle w:val="37"/>
                    <w:widowControl w:val="0"/>
                    <w:autoSpaceDE w:val="0"/>
                    <w:autoSpaceDN w:val="0"/>
                    <w:adjustRightInd w:val="0"/>
                    <w:spacing w:before="0" w:beforeAutospacing="0" w:after="0" w:afterAutospacing="0"/>
                    <w:jc w:val="center"/>
                    <w:rPr>
                      <w:rFonts w:hint="eastAsia" w:ascii="Times New Roman" w:hAnsi="Times New Roman"/>
                      <w:b/>
                      <w:bCs/>
                      <w:color w:val="000000"/>
                      <w:sz w:val="21"/>
                      <w:szCs w:val="21"/>
                      <w:lang w:bidi="ar"/>
                    </w:rPr>
                  </w:pPr>
                  <w:r>
                    <w:rPr>
                      <w:rFonts w:hint="eastAsia" w:ascii="Times New Roman" w:hAnsi="Times New Roman"/>
                      <w:b/>
                      <w:bCs/>
                      <w:color w:val="000000"/>
                      <w:sz w:val="21"/>
                      <w:szCs w:val="21"/>
                      <w:lang w:bidi="ar"/>
                    </w:rPr>
                    <w:t>监测因子</w:t>
                  </w:r>
                </w:p>
              </w:tc>
              <w:tc>
                <w:tcPr>
                  <w:tcW w:w="812" w:type="pct"/>
                  <w:tcBorders>
                    <w:top w:val="single" w:color="000000" w:sz="4" w:space="0"/>
                  </w:tcBorders>
                  <w:noWrap w:val="0"/>
                  <w:vAlign w:val="center"/>
                </w:tcPr>
                <w:p>
                  <w:pPr>
                    <w:pStyle w:val="37"/>
                    <w:widowControl w:val="0"/>
                    <w:autoSpaceDE w:val="0"/>
                    <w:autoSpaceDN w:val="0"/>
                    <w:adjustRightInd w:val="0"/>
                    <w:spacing w:before="0" w:beforeAutospacing="0" w:after="0" w:afterAutospacing="0"/>
                    <w:jc w:val="center"/>
                    <w:rPr>
                      <w:rFonts w:hint="eastAsia" w:ascii="Times New Roman" w:hAnsi="Times New Roman"/>
                      <w:b/>
                      <w:bCs/>
                      <w:color w:val="000000"/>
                      <w:sz w:val="21"/>
                      <w:szCs w:val="21"/>
                      <w:lang w:bidi="ar"/>
                    </w:rPr>
                  </w:pPr>
                  <w:r>
                    <w:rPr>
                      <w:rFonts w:hint="eastAsia" w:ascii="Times New Roman" w:hAnsi="Times New Roman"/>
                      <w:b/>
                      <w:bCs/>
                      <w:color w:val="000000"/>
                      <w:sz w:val="21"/>
                      <w:szCs w:val="21"/>
                      <w:lang w:bidi="ar"/>
                    </w:rPr>
                    <w:t>监测时段</w:t>
                  </w:r>
                </w:p>
              </w:tc>
              <w:tc>
                <w:tcPr>
                  <w:tcW w:w="583" w:type="pct"/>
                  <w:tcBorders>
                    <w:top w:val="single" w:color="000000" w:sz="4" w:space="0"/>
                  </w:tcBorders>
                  <w:noWrap w:val="0"/>
                  <w:vAlign w:val="center"/>
                </w:tcPr>
                <w:p>
                  <w:pPr>
                    <w:pStyle w:val="37"/>
                    <w:widowControl w:val="0"/>
                    <w:autoSpaceDE w:val="0"/>
                    <w:autoSpaceDN w:val="0"/>
                    <w:adjustRightInd w:val="0"/>
                    <w:spacing w:before="0" w:beforeAutospacing="0" w:after="0" w:afterAutospacing="0"/>
                    <w:jc w:val="center"/>
                    <w:rPr>
                      <w:rFonts w:hint="eastAsia" w:ascii="Times New Roman" w:hAnsi="Times New Roman"/>
                      <w:b/>
                      <w:bCs/>
                      <w:color w:val="000000"/>
                      <w:sz w:val="21"/>
                      <w:szCs w:val="21"/>
                      <w:lang w:bidi="ar"/>
                    </w:rPr>
                  </w:pPr>
                  <w:r>
                    <w:rPr>
                      <w:rFonts w:hint="eastAsia" w:ascii="Times New Roman" w:hAnsi="Times New Roman"/>
                      <w:b/>
                      <w:bCs/>
                      <w:color w:val="000000"/>
                      <w:sz w:val="21"/>
                      <w:szCs w:val="21"/>
                      <w:lang w:bidi="ar"/>
                    </w:rPr>
                    <w:t>相对厂址方向</w:t>
                  </w:r>
                </w:p>
              </w:tc>
              <w:tc>
                <w:tcPr>
                  <w:tcW w:w="774" w:type="pct"/>
                  <w:tcBorders>
                    <w:top w:val="single" w:color="000000" w:sz="4" w:space="0"/>
                  </w:tcBorders>
                  <w:noWrap w:val="0"/>
                  <w:vAlign w:val="center"/>
                </w:tcPr>
                <w:p>
                  <w:pPr>
                    <w:pStyle w:val="37"/>
                    <w:widowControl w:val="0"/>
                    <w:autoSpaceDE w:val="0"/>
                    <w:autoSpaceDN w:val="0"/>
                    <w:adjustRightInd w:val="0"/>
                    <w:spacing w:before="0" w:beforeAutospacing="0" w:after="0" w:afterAutospacing="0"/>
                    <w:jc w:val="center"/>
                    <w:rPr>
                      <w:rFonts w:hint="eastAsia" w:ascii="Times New Roman" w:hAnsi="Times New Roman"/>
                      <w:b/>
                      <w:bCs/>
                      <w:color w:val="000000"/>
                      <w:sz w:val="21"/>
                      <w:szCs w:val="21"/>
                      <w:lang w:bidi="ar"/>
                    </w:rPr>
                  </w:pPr>
                  <w:r>
                    <w:rPr>
                      <w:rFonts w:hint="eastAsia" w:ascii="Times New Roman" w:hAnsi="Times New Roman"/>
                      <w:b/>
                      <w:bCs/>
                      <w:color w:val="000000"/>
                      <w:sz w:val="21"/>
                      <w:szCs w:val="21"/>
                      <w:lang w:bidi="ar"/>
                    </w:rPr>
                    <w:t>相对厂界距离（m）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78" w:type="pct"/>
                  <w:noWrap w:val="0"/>
                  <w:vAlign w:val="center"/>
                </w:tcPr>
                <w:p>
                  <w:pPr>
                    <w:pStyle w:val="37"/>
                    <w:widowControl w:val="0"/>
                    <w:autoSpaceDE w:val="0"/>
                    <w:autoSpaceDN w:val="0"/>
                    <w:adjustRightInd w:val="0"/>
                    <w:spacing w:before="0" w:beforeAutospacing="0" w:after="0" w:afterAutospacing="0"/>
                    <w:jc w:val="center"/>
                    <w:rPr>
                      <w:rFonts w:ascii="Times New Roman" w:hAnsi="Times New Roman"/>
                      <w:color w:val="000000"/>
                      <w:sz w:val="21"/>
                      <w:szCs w:val="21"/>
                      <w:lang w:bidi="ar"/>
                    </w:rPr>
                  </w:pPr>
                  <w:r>
                    <w:rPr>
                      <w:rFonts w:hint="eastAsia" w:ascii="Times New Roman" w:hAnsi="Times New Roman"/>
                      <w:color w:val="000000"/>
                      <w:sz w:val="21"/>
                      <w:szCs w:val="21"/>
                      <w:lang w:bidi="ar"/>
                    </w:rPr>
                    <w:t>1#项目所在地北侧最近居民处</w:t>
                  </w:r>
                </w:p>
              </w:tc>
              <w:tc>
                <w:tcPr>
                  <w:tcW w:w="851" w:type="pct"/>
                  <w:vMerge w:val="restart"/>
                  <w:noWrap w:val="0"/>
                  <w:vAlign w:val="center"/>
                </w:tcPr>
                <w:p>
                  <w:pPr>
                    <w:pStyle w:val="37"/>
                    <w:widowControl w:val="0"/>
                    <w:autoSpaceDE w:val="0"/>
                    <w:autoSpaceDN w:val="0"/>
                    <w:adjustRightInd w:val="0"/>
                    <w:spacing w:before="0" w:beforeAutospacing="0" w:after="0" w:afterAutospacing="0"/>
                    <w:jc w:val="center"/>
                    <w:rPr>
                      <w:rFonts w:hint="eastAsia" w:ascii="Times New Roman" w:hAnsi="Times New Roman"/>
                      <w:color w:val="000000"/>
                      <w:sz w:val="21"/>
                      <w:szCs w:val="21"/>
                      <w:lang w:bidi="ar"/>
                    </w:rPr>
                  </w:pPr>
                  <w:r>
                    <w:rPr>
                      <w:rFonts w:hint="eastAsia" w:ascii="Times New Roman" w:hAnsi="Times New Roman"/>
                      <w:color w:val="000000"/>
                      <w:sz w:val="21"/>
                      <w:szCs w:val="21"/>
                      <w:lang w:bidi="ar"/>
                    </w:rPr>
                    <w:t>等效连续A声级：Leq（dB(A)）</w:t>
                  </w:r>
                </w:p>
              </w:tc>
              <w:tc>
                <w:tcPr>
                  <w:tcW w:w="812" w:type="pct"/>
                  <w:vMerge w:val="restart"/>
                  <w:noWrap w:val="0"/>
                  <w:vAlign w:val="center"/>
                </w:tcPr>
                <w:p>
                  <w:pPr>
                    <w:pStyle w:val="37"/>
                    <w:widowControl w:val="0"/>
                    <w:autoSpaceDE w:val="0"/>
                    <w:autoSpaceDN w:val="0"/>
                    <w:adjustRightInd w:val="0"/>
                    <w:spacing w:before="0" w:beforeAutospacing="0" w:after="0" w:afterAutospacing="0"/>
                    <w:jc w:val="center"/>
                    <w:rPr>
                      <w:rFonts w:ascii="Times New Roman" w:hAnsi="Times New Roman"/>
                      <w:color w:val="000000"/>
                      <w:sz w:val="21"/>
                      <w:szCs w:val="21"/>
                      <w:lang w:bidi="ar"/>
                    </w:rPr>
                  </w:pPr>
                  <w:r>
                    <w:rPr>
                      <w:rFonts w:hint="eastAsia" w:ascii="Times New Roman" w:hAnsi="Times New Roman"/>
                      <w:color w:val="000000"/>
                      <w:sz w:val="21"/>
                      <w:szCs w:val="21"/>
                      <w:lang w:bidi="ar"/>
                    </w:rPr>
                    <w:t>2023.02.16</w:t>
                  </w:r>
                </w:p>
              </w:tc>
              <w:tc>
                <w:tcPr>
                  <w:tcW w:w="583" w:type="pct"/>
                  <w:noWrap w:val="0"/>
                  <w:vAlign w:val="center"/>
                </w:tcPr>
                <w:p>
                  <w:pPr>
                    <w:pStyle w:val="37"/>
                    <w:widowControl w:val="0"/>
                    <w:autoSpaceDE w:val="0"/>
                    <w:autoSpaceDN w:val="0"/>
                    <w:adjustRightInd w:val="0"/>
                    <w:spacing w:before="0" w:beforeAutospacing="0" w:after="0" w:afterAutospacing="0"/>
                    <w:jc w:val="center"/>
                    <w:rPr>
                      <w:rFonts w:ascii="Times New Roman" w:hAnsi="Times New Roman"/>
                      <w:color w:val="000000"/>
                      <w:sz w:val="21"/>
                      <w:szCs w:val="21"/>
                      <w:lang w:bidi="ar"/>
                    </w:rPr>
                  </w:pPr>
                  <w:r>
                    <w:rPr>
                      <w:rFonts w:hint="eastAsia" w:ascii="Times New Roman" w:hAnsi="Times New Roman"/>
                      <w:color w:val="000000"/>
                      <w:sz w:val="21"/>
                      <w:szCs w:val="21"/>
                      <w:lang w:bidi="ar"/>
                    </w:rPr>
                    <w:t>北</w:t>
                  </w:r>
                </w:p>
              </w:tc>
              <w:tc>
                <w:tcPr>
                  <w:tcW w:w="774" w:type="pct"/>
                  <w:noWrap w:val="0"/>
                  <w:vAlign w:val="center"/>
                </w:tcPr>
                <w:p>
                  <w:pPr>
                    <w:pStyle w:val="37"/>
                    <w:widowControl w:val="0"/>
                    <w:autoSpaceDE w:val="0"/>
                    <w:autoSpaceDN w:val="0"/>
                    <w:adjustRightInd w:val="0"/>
                    <w:spacing w:before="0" w:beforeAutospacing="0" w:after="0" w:afterAutospacing="0"/>
                    <w:jc w:val="center"/>
                    <w:rPr>
                      <w:rFonts w:ascii="Times New Roman" w:hAnsi="Times New Roman"/>
                      <w:color w:val="000000"/>
                      <w:sz w:val="21"/>
                      <w:szCs w:val="21"/>
                      <w:lang w:bidi="ar"/>
                    </w:rPr>
                  </w:pPr>
                  <w:r>
                    <w:rPr>
                      <w:rFonts w:hint="eastAsia" w:ascii="Times New Roman" w:hAnsi="Times New Roman"/>
                      <w:color w:val="000000"/>
                      <w:sz w:val="21"/>
                      <w:szCs w:val="21"/>
                      <w:lang w:bidi="ar"/>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78" w:type="pct"/>
                  <w:noWrap w:val="0"/>
                  <w:vAlign w:val="center"/>
                </w:tcPr>
                <w:p>
                  <w:pPr>
                    <w:pStyle w:val="37"/>
                    <w:widowControl w:val="0"/>
                    <w:autoSpaceDE w:val="0"/>
                    <w:autoSpaceDN w:val="0"/>
                    <w:adjustRightInd w:val="0"/>
                    <w:spacing w:before="0" w:beforeAutospacing="0" w:after="0" w:afterAutospacing="0"/>
                    <w:jc w:val="center"/>
                    <w:rPr>
                      <w:rFonts w:ascii="Times New Roman" w:hAnsi="Times New Roman"/>
                      <w:color w:val="000000"/>
                      <w:sz w:val="21"/>
                      <w:szCs w:val="21"/>
                      <w:lang w:bidi="ar"/>
                    </w:rPr>
                  </w:pPr>
                  <w:r>
                    <w:rPr>
                      <w:rFonts w:hint="eastAsia" w:ascii="Times New Roman" w:hAnsi="Times New Roman"/>
                      <w:color w:val="000000"/>
                      <w:sz w:val="21"/>
                      <w:szCs w:val="21"/>
                      <w:lang w:bidi="ar"/>
                    </w:rPr>
                    <w:t>2#项目所在地东侧最近居民处</w:t>
                  </w:r>
                </w:p>
              </w:tc>
              <w:tc>
                <w:tcPr>
                  <w:tcW w:w="851" w:type="pct"/>
                  <w:vMerge w:val="continue"/>
                  <w:noWrap w:val="0"/>
                  <w:vAlign w:val="center"/>
                </w:tcPr>
                <w:p>
                  <w:pPr>
                    <w:pStyle w:val="37"/>
                    <w:widowControl w:val="0"/>
                    <w:autoSpaceDE w:val="0"/>
                    <w:autoSpaceDN w:val="0"/>
                    <w:adjustRightInd w:val="0"/>
                    <w:spacing w:before="0" w:beforeAutospacing="0" w:after="0" w:afterAutospacing="0"/>
                    <w:jc w:val="center"/>
                    <w:rPr>
                      <w:rFonts w:hint="eastAsia" w:ascii="Times New Roman" w:hAnsi="Times New Roman"/>
                      <w:color w:val="000000"/>
                      <w:sz w:val="21"/>
                      <w:szCs w:val="21"/>
                      <w:lang w:bidi="ar"/>
                    </w:rPr>
                  </w:pPr>
                </w:p>
              </w:tc>
              <w:tc>
                <w:tcPr>
                  <w:tcW w:w="812" w:type="pct"/>
                  <w:vMerge w:val="continue"/>
                  <w:noWrap w:val="0"/>
                  <w:vAlign w:val="center"/>
                </w:tcPr>
                <w:p>
                  <w:pPr>
                    <w:pStyle w:val="37"/>
                    <w:widowControl w:val="0"/>
                    <w:autoSpaceDE w:val="0"/>
                    <w:autoSpaceDN w:val="0"/>
                    <w:adjustRightInd w:val="0"/>
                    <w:spacing w:before="0" w:beforeAutospacing="0" w:after="0" w:afterAutospacing="0"/>
                    <w:jc w:val="center"/>
                    <w:rPr>
                      <w:rFonts w:hint="eastAsia" w:ascii="Times New Roman" w:hAnsi="Times New Roman"/>
                      <w:color w:val="000000"/>
                      <w:sz w:val="21"/>
                      <w:szCs w:val="21"/>
                      <w:lang w:bidi="ar"/>
                    </w:rPr>
                  </w:pPr>
                </w:p>
              </w:tc>
              <w:tc>
                <w:tcPr>
                  <w:tcW w:w="583" w:type="pct"/>
                  <w:noWrap w:val="0"/>
                  <w:vAlign w:val="center"/>
                </w:tcPr>
                <w:p>
                  <w:pPr>
                    <w:pStyle w:val="37"/>
                    <w:widowControl w:val="0"/>
                    <w:autoSpaceDE w:val="0"/>
                    <w:autoSpaceDN w:val="0"/>
                    <w:adjustRightInd w:val="0"/>
                    <w:spacing w:before="0" w:beforeAutospacing="0" w:after="0" w:afterAutospacing="0"/>
                    <w:jc w:val="center"/>
                    <w:rPr>
                      <w:rFonts w:ascii="Times New Roman" w:hAnsi="Times New Roman"/>
                      <w:color w:val="000000"/>
                      <w:sz w:val="21"/>
                      <w:szCs w:val="21"/>
                      <w:lang w:bidi="ar"/>
                    </w:rPr>
                  </w:pPr>
                  <w:r>
                    <w:rPr>
                      <w:rFonts w:hint="eastAsia" w:ascii="Times New Roman" w:hAnsi="Times New Roman"/>
                      <w:color w:val="000000"/>
                      <w:sz w:val="21"/>
                      <w:szCs w:val="21"/>
                      <w:lang w:bidi="ar"/>
                    </w:rPr>
                    <w:t>东</w:t>
                  </w:r>
                </w:p>
              </w:tc>
              <w:tc>
                <w:tcPr>
                  <w:tcW w:w="774" w:type="pct"/>
                  <w:noWrap w:val="0"/>
                  <w:vAlign w:val="center"/>
                </w:tcPr>
                <w:p>
                  <w:pPr>
                    <w:pStyle w:val="37"/>
                    <w:widowControl w:val="0"/>
                    <w:autoSpaceDE w:val="0"/>
                    <w:autoSpaceDN w:val="0"/>
                    <w:adjustRightInd w:val="0"/>
                    <w:spacing w:before="0" w:beforeAutospacing="0" w:after="0" w:afterAutospacing="0"/>
                    <w:jc w:val="center"/>
                    <w:rPr>
                      <w:rFonts w:ascii="Times New Roman" w:hAnsi="Times New Roman"/>
                      <w:color w:val="000000"/>
                      <w:sz w:val="21"/>
                      <w:szCs w:val="21"/>
                      <w:lang w:bidi="ar"/>
                    </w:rPr>
                  </w:pPr>
                  <w:r>
                    <w:rPr>
                      <w:rFonts w:hint="eastAsia" w:ascii="Times New Roman" w:hAnsi="Times New Roman"/>
                      <w:color w:val="000000"/>
                      <w:sz w:val="21"/>
                      <w:szCs w:val="21"/>
                      <w:lang w:bidi="ar"/>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1978" w:type="pct"/>
                  <w:noWrap w:val="0"/>
                  <w:vAlign w:val="center"/>
                </w:tcPr>
                <w:p>
                  <w:pPr>
                    <w:pStyle w:val="37"/>
                    <w:widowControl w:val="0"/>
                    <w:autoSpaceDE w:val="0"/>
                    <w:autoSpaceDN w:val="0"/>
                    <w:adjustRightInd w:val="0"/>
                    <w:spacing w:before="0" w:beforeAutospacing="0" w:after="0" w:afterAutospacing="0"/>
                    <w:jc w:val="center"/>
                    <w:rPr>
                      <w:rFonts w:ascii="Times New Roman" w:hAnsi="Times New Roman"/>
                      <w:color w:val="000000"/>
                      <w:sz w:val="21"/>
                      <w:szCs w:val="21"/>
                      <w:lang w:bidi="ar"/>
                    </w:rPr>
                  </w:pPr>
                  <w:r>
                    <w:rPr>
                      <w:rFonts w:hint="eastAsia" w:ascii="Times New Roman" w:hAnsi="Times New Roman"/>
                      <w:color w:val="000000"/>
                      <w:sz w:val="21"/>
                      <w:szCs w:val="21"/>
                      <w:lang w:bidi="ar"/>
                    </w:rPr>
                    <w:t>3#项目所在地南侧最近居民处</w:t>
                  </w:r>
                </w:p>
              </w:tc>
              <w:tc>
                <w:tcPr>
                  <w:tcW w:w="851" w:type="pct"/>
                  <w:vMerge w:val="continue"/>
                  <w:noWrap w:val="0"/>
                  <w:vAlign w:val="center"/>
                </w:tcPr>
                <w:p>
                  <w:pPr>
                    <w:pStyle w:val="37"/>
                    <w:widowControl w:val="0"/>
                    <w:autoSpaceDE w:val="0"/>
                    <w:autoSpaceDN w:val="0"/>
                    <w:adjustRightInd w:val="0"/>
                    <w:spacing w:before="0" w:beforeAutospacing="0" w:after="0" w:afterAutospacing="0"/>
                    <w:jc w:val="center"/>
                    <w:rPr>
                      <w:rFonts w:hint="eastAsia" w:ascii="Times New Roman" w:hAnsi="Times New Roman"/>
                      <w:color w:val="000000"/>
                      <w:sz w:val="21"/>
                      <w:szCs w:val="21"/>
                      <w:lang w:bidi="ar"/>
                    </w:rPr>
                  </w:pPr>
                </w:p>
              </w:tc>
              <w:tc>
                <w:tcPr>
                  <w:tcW w:w="812" w:type="pct"/>
                  <w:vMerge w:val="continue"/>
                  <w:noWrap w:val="0"/>
                  <w:vAlign w:val="center"/>
                </w:tcPr>
                <w:p>
                  <w:pPr>
                    <w:pStyle w:val="37"/>
                    <w:widowControl w:val="0"/>
                    <w:autoSpaceDE w:val="0"/>
                    <w:autoSpaceDN w:val="0"/>
                    <w:adjustRightInd w:val="0"/>
                    <w:spacing w:before="0" w:beforeAutospacing="0" w:after="0" w:afterAutospacing="0"/>
                    <w:jc w:val="center"/>
                    <w:rPr>
                      <w:rFonts w:hint="eastAsia" w:ascii="Times New Roman" w:hAnsi="Times New Roman"/>
                      <w:color w:val="000000"/>
                      <w:sz w:val="21"/>
                      <w:szCs w:val="21"/>
                      <w:lang w:bidi="ar"/>
                    </w:rPr>
                  </w:pPr>
                </w:p>
              </w:tc>
              <w:tc>
                <w:tcPr>
                  <w:tcW w:w="583" w:type="pct"/>
                  <w:noWrap w:val="0"/>
                  <w:vAlign w:val="center"/>
                </w:tcPr>
                <w:p>
                  <w:pPr>
                    <w:pStyle w:val="37"/>
                    <w:widowControl w:val="0"/>
                    <w:autoSpaceDE w:val="0"/>
                    <w:autoSpaceDN w:val="0"/>
                    <w:adjustRightInd w:val="0"/>
                    <w:spacing w:before="0" w:beforeAutospacing="0" w:after="0" w:afterAutospacing="0"/>
                    <w:jc w:val="center"/>
                    <w:rPr>
                      <w:rFonts w:ascii="Times New Roman" w:hAnsi="Times New Roman"/>
                      <w:color w:val="000000"/>
                      <w:sz w:val="21"/>
                      <w:szCs w:val="21"/>
                      <w:lang w:bidi="ar"/>
                    </w:rPr>
                  </w:pPr>
                  <w:r>
                    <w:rPr>
                      <w:rFonts w:hint="eastAsia" w:ascii="Times New Roman" w:hAnsi="Times New Roman"/>
                      <w:color w:val="000000"/>
                      <w:sz w:val="21"/>
                      <w:szCs w:val="21"/>
                      <w:lang w:bidi="ar"/>
                    </w:rPr>
                    <w:t>南</w:t>
                  </w:r>
                </w:p>
              </w:tc>
              <w:tc>
                <w:tcPr>
                  <w:tcW w:w="774" w:type="pct"/>
                  <w:noWrap w:val="0"/>
                  <w:vAlign w:val="center"/>
                </w:tcPr>
                <w:p>
                  <w:pPr>
                    <w:pStyle w:val="37"/>
                    <w:widowControl w:val="0"/>
                    <w:autoSpaceDE w:val="0"/>
                    <w:autoSpaceDN w:val="0"/>
                    <w:adjustRightInd w:val="0"/>
                    <w:spacing w:before="0" w:beforeAutospacing="0" w:after="0" w:afterAutospacing="0"/>
                    <w:jc w:val="center"/>
                    <w:rPr>
                      <w:rFonts w:ascii="Times New Roman" w:hAnsi="Times New Roman"/>
                      <w:color w:val="000000"/>
                      <w:sz w:val="21"/>
                      <w:szCs w:val="21"/>
                      <w:lang w:bidi="ar"/>
                    </w:rPr>
                  </w:pPr>
                  <w:r>
                    <w:rPr>
                      <w:rFonts w:hint="eastAsia" w:ascii="Times New Roman" w:hAnsi="Times New Roman"/>
                      <w:color w:val="000000"/>
                      <w:sz w:val="21"/>
                      <w:szCs w:val="21"/>
                      <w:lang w:bidi="ar"/>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78" w:type="pct"/>
                  <w:noWrap w:val="0"/>
                  <w:vAlign w:val="center"/>
                </w:tcPr>
                <w:p>
                  <w:pPr>
                    <w:pStyle w:val="37"/>
                    <w:widowControl w:val="0"/>
                    <w:autoSpaceDE w:val="0"/>
                    <w:autoSpaceDN w:val="0"/>
                    <w:adjustRightInd w:val="0"/>
                    <w:spacing w:before="0" w:beforeAutospacing="0" w:after="0" w:afterAutospacing="0"/>
                    <w:jc w:val="center"/>
                    <w:rPr>
                      <w:rFonts w:ascii="Times New Roman" w:hAnsi="Times New Roman"/>
                      <w:color w:val="000000"/>
                      <w:sz w:val="21"/>
                      <w:szCs w:val="21"/>
                      <w:lang w:bidi="ar"/>
                    </w:rPr>
                  </w:pPr>
                  <w:r>
                    <w:rPr>
                      <w:rFonts w:hint="eastAsia" w:ascii="Times New Roman" w:hAnsi="Times New Roman"/>
                      <w:color w:val="000000"/>
                      <w:sz w:val="21"/>
                      <w:szCs w:val="21"/>
                      <w:lang w:bidi="ar"/>
                    </w:rPr>
                    <w:t>4#项目所在地西侧最近居民处</w:t>
                  </w:r>
                </w:p>
              </w:tc>
              <w:tc>
                <w:tcPr>
                  <w:tcW w:w="851" w:type="pct"/>
                  <w:vMerge w:val="continue"/>
                  <w:noWrap w:val="0"/>
                  <w:vAlign w:val="center"/>
                </w:tcPr>
                <w:p>
                  <w:pPr>
                    <w:pStyle w:val="37"/>
                    <w:widowControl w:val="0"/>
                    <w:autoSpaceDE w:val="0"/>
                    <w:autoSpaceDN w:val="0"/>
                    <w:adjustRightInd w:val="0"/>
                    <w:spacing w:before="0" w:beforeAutospacing="0" w:after="0" w:afterAutospacing="0"/>
                    <w:jc w:val="center"/>
                    <w:rPr>
                      <w:rFonts w:hint="eastAsia" w:ascii="Times New Roman" w:hAnsi="Times New Roman"/>
                      <w:color w:val="000000"/>
                      <w:sz w:val="21"/>
                      <w:szCs w:val="21"/>
                      <w:lang w:bidi="ar"/>
                    </w:rPr>
                  </w:pPr>
                </w:p>
              </w:tc>
              <w:tc>
                <w:tcPr>
                  <w:tcW w:w="812" w:type="pct"/>
                  <w:vMerge w:val="continue"/>
                  <w:noWrap w:val="0"/>
                  <w:vAlign w:val="center"/>
                </w:tcPr>
                <w:p>
                  <w:pPr>
                    <w:pStyle w:val="37"/>
                    <w:widowControl w:val="0"/>
                    <w:autoSpaceDE w:val="0"/>
                    <w:autoSpaceDN w:val="0"/>
                    <w:adjustRightInd w:val="0"/>
                    <w:spacing w:before="0" w:beforeAutospacing="0" w:after="0" w:afterAutospacing="0"/>
                    <w:jc w:val="center"/>
                    <w:rPr>
                      <w:rFonts w:hint="eastAsia" w:ascii="Times New Roman" w:hAnsi="Times New Roman"/>
                      <w:color w:val="000000"/>
                      <w:sz w:val="21"/>
                      <w:szCs w:val="21"/>
                      <w:lang w:bidi="ar"/>
                    </w:rPr>
                  </w:pPr>
                </w:p>
              </w:tc>
              <w:tc>
                <w:tcPr>
                  <w:tcW w:w="583" w:type="pct"/>
                  <w:noWrap w:val="0"/>
                  <w:vAlign w:val="center"/>
                </w:tcPr>
                <w:p>
                  <w:pPr>
                    <w:pStyle w:val="37"/>
                    <w:widowControl w:val="0"/>
                    <w:autoSpaceDE w:val="0"/>
                    <w:autoSpaceDN w:val="0"/>
                    <w:adjustRightInd w:val="0"/>
                    <w:spacing w:before="0" w:beforeAutospacing="0" w:after="0" w:afterAutospacing="0"/>
                    <w:jc w:val="center"/>
                    <w:rPr>
                      <w:rFonts w:ascii="Times New Roman" w:hAnsi="Times New Roman"/>
                      <w:color w:val="000000"/>
                      <w:sz w:val="21"/>
                      <w:szCs w:val="21"/>
                      <w:lang w:bidi="ar"/>
                    </w:rPr>
                  </w:pPr>
                  <w:r>
                    <w:rPr>
                      <w:rFonts w:hint="eastAsia" w:ascii="Times New Roman" w:hAnsi="Times New Roman"/>
                      <w:color w:val="000000"/>
                      <w:sz w:val="21"/>
                      <w:szCs w:val="21"/>
                      <w:lang w:bidi="ar"/>
                    </w:rPr>
                    <w:t>西</w:t>
                  </w:r>
                </w:p>
              </w:tc>
              <w:tc>
                <w:tcPr>
                  <w:tcW w:w="774" w:type="pct"/>
                  <w:noWrap w:val="0"/>
                  <w:vAlign w:val="center"/>
                </w:tcPr>
                <w:p>
                  <w:pPr>
                    <w:pStyle w:val="37"/>
                    <w:widowControl w:val="0"/>
                    <w:autoSpaceDE w:val="0"/>
                    <w:autoSpaceDN w:val="0"/>
                    <w:adjustRightInd w:val="0"/>
                    <w:spacing w:before="0" w:beforeAutospacing="0" w:after="0" w:afterAutospacing="0"/>
                    <w:jc w:val="center"/>
                    <w:rPr>
                      <w:rFonts w:ascii="Times New Roman" w:hAnsi="Times New Roman"/>
                      <w:color w:val="000000"/>
                      <w:sz w:val="21"/>
                      <w:szCs w:val="21"/>
                      <w:lang w:bidi="ar"/>
                    </w:rPr>
                  </w:pPr>
                  <w:r>
                    <w:rPr>
                      <w:rFonts w:hint="eastAsia" w:ascii="Times New Roman" w:hAnsi="Times New Roman"/>
                      <w:color w:val="000000"/>
                      <w:sz w:val="21"/>
                      <w:szCs w:val="21"/>
                      <w:lang w:bidi="ar"/>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5"/>
                  <w:noWrap w:val="0"/>
                  <w:vAlign w:val="center"/>
                </w:tcPr>
                <w:p>
                  <w:pPr>
                    <w:pStyle w:val="37"/>
                    <w:widowControl w:val="0"/>
                    <w:autoSpaceDE w:val="0"/>
                    <w:autoSpaceDN w:val="0"/>
                    <w:adjustRightInd w:val="0"/>
                    <w:spacing w:before="0" w:beforeAutospacing="0" w:after="0" w:afterAutospacing="0"/>
                    <w:jc w:val="center"/>
                    <w:rPr>
                      <w:rFonts w:hint="eastAsia" w:ascii="Times New Roman" w:hAnsi="Times New Roman"/>
                      <w:color w:val="000000"/>
                      <w:sz w:val="21"/>
                      <w:szCs w:val="21"/>
                      <w:lang w:bidi="ar"/>
                    </w:rPr>
                  </w:pPr>
                  <w:r>
                    <w:rPr>
                      <w:rFonts w:hint="eastAsia" w:ascii="Times New Roman" w:hAnsi="Times New Roman"/>
                      <w:color w:val="000000"/>
                      <w:sz w:val="21"/>
                      <w:szCs w:val="21"/>
                      <w:lang w:bidi="ar"/>
                    </w:rPr>
                    <w:t>声环境质量标准执行《声环境质量标准》（GB3096-2008）中2类标准</w:t>
                  </w:r>
                </w:p>
              </w:tc>
            </w:tr>
          </w:tbl>
          <w:p>
            <w:pPr>
              <w:widowControl/>
              <w:spacing w:line="360" w:lineRule="auto"/>
              <w:ind w:firstLine="480" w:firstLineChars="200"/>
              <w:rPr>
                <w:sz w:val="24"/>
              </w:rPr>
            </w:pPr>
            <w:r>
              <w:rPr>
                <w:rFonts w:hint="eastAsia" w:ascii="宋体" w:hAnsi="宋体" w:cs="宋体"/>
                <w:kern w:val="0"/>
                <w:sz w:val="24"/>
                <w:lang w:bidi="ar"/>
              </w:rPr>
              <w:t>项目声环境监测及评价结果见下表：</w:t>
            </w:r>
          </w:p>
          <w:p>
            <w:pPr>
              <w:widowControl/>
              <w:jc w:val="right"/>
              <w:rPr>
                <w:rFonts w:hint="eastAsia"/>
                <w:b/>
                <w:bCs/>
                <w:kern w:val="0"/>
                <w:szCs w:val="16"/>
              </w:rPr>
            </w:pPr>
            <w:r>
              <w:rPr>
                <w:rFonts w:hint="eastAsia" w:ascii="黑体" w:hAnsi="黑体" w:eastAsia="黑体" w:cs="黑体"/>
                <w:bCs/>
                <w:kern w:val="0"/>
                <w:szCs w:val="21"/>
              </w:rPr>
              <w:t xml:space="preserve">                    </w:t>
            </w:r>
            <w:r>
              <w:rPr>
                <w:rFonts w:hint="eastAsia"/>
                <w:b/>
                <w:bCs/>
                <w:kern w:val="0"/>
                <w:szCs w:val="16"/>
              </w:rPr>
              <w:t>表3-</w:t>
            </w:r>
            <w:r>
              <w:rPr>
                <w:b/>
                <w:bCs/>
                <w:kern w:val="0"/>
                <w:szCs w:val="16"/>
                <w:lang w:val="en"/>
              </w:rPr>
              <w:t>3</w:t>
            </w:r>
            <w:r>
              <w:rPr>
                <w:rFonts w:hint="eastAsia"/>
                <w:b/>
                <w:bCs/>
                <w:kern w:val="0"/>
                <w:szCs w:val="16"/>
              </w:rPr>
              <w:t xml:space="preserve"> 声环境监测结果表          （单位：dB(A)）</w:t>
            </w:r>
          </w:p>
          <w:tbl>
            <w:tblPr>
              <w:tblStyle w:val="41"/>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4215"/>
              <w:gridCol w:w="1065"/>
              <w:gridCol w:w="97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8" w:type="dxa"/>
                  <w:vMerge w:val="restart"/>
                  <w:noWrap w:val="0"/>
                  <w:vAlign w:val="center"/>
                </w:tcPr>
                <w:p>
                  <w:pPr>
                    <w:pStyle w:val="72"/>
                    <w:spacing w:line="240" w:lineRule="auto"/>
                    <w:ind w:firstLine="0" w:firstLineChars="0"/>
                    <w:jc w:val="center"/>
                    <w:rPr>
                      <w:rFonts w:hint="eastAsia"/>
                      <w:b/>
                      <w:bCs/>
                      <w:sz w:val="21"/>
                      <w:szCs w:val="21"/>
                    </w:rPr>
                  </w:pPr>
                  <w:r>
                    <w:rPr>
                      <w:rFonts w:hint="eastAsia"/>
                      <w:b/>
                      <w:bCs/>
                      <w:color w:val="000000"/>
                      <w:sz w:val="21"/>
                      <w:szCs w:val="21"/>
                      <w:lang w:bidi="ar"/>
                    </w:rPr>
                    <w:t>监测因子</w:t>
                  </w:r>
                </w:p>
              </w:tc>
              <w:tc>
                <w:tcPr>
                  <w:tcW w:w="4215" w:type="dxa"/>
                  <w:vMerge w:val="restart"/>
                  <w:noWrap w:val="0"/>
                  <w:vAlign w:val="center"/>
                </w:tcPr>
                <w:p>
                  <w:pPr>
                    <w:pStyle w:val="72"/>
                    <w:spacing w:line="240" w:lineRule="auto"/>
                    <w:ind w:firstLine="0" w:firstLineChars="0"/>
                    <w:jc w:val="center"/>
                    <w:rPr>
                      <w:rFonts w:hint="eastAsia"/>
                      <w:b/>
                      <w:bCs/>
                      <w:sz w:val="21"/>
                      <w:szCs w:val="21"/>
                    </w:rPr>
                  </w:pPr>
                  <w:r>
                    <w:rPr>
                      <w:rFonts w:hint="eastAsia"/>
                      <w:b/>
                      <w:bCs/>
                      <w:sz w:val="21"/>
                      <w:szCs w:val="21"/>
                    </w:rPr>
                    <w:t>检测点编号及位置</w:t>
                  </w:r>
                </w:p>
              </w:tc>
              <w:tc>
                <w:tcPr>
                  <w:tcW w:w="2043" w:type="dxa"/>
                  <w:gridSpan w:val="2"/>
                  <w:noWrap w:val="0"/>
                  <w:vAlign w:val="center"/>
                </w:tcPr>
                <w:p>
                  <w:pPr>
                    <w:pStyle w:val="72"/>
                    <w:spacing w:line="240" w:lineRule="auto"/>
                    <w:ind w:firstLine="0" w:firstLineChars="0"/>
                    <w:jc w:val="center"/>
                    <w:rPr>
                      <w:rFonts w:hint="eastAsia"/>
                      <w:b/>
                      <w:bCs/>
                      <w:sz w:val="21"/>
                      <w:szCs w:val="21"/>
                    </w:rPr>
                  </w:pPr>
                  <w:r>
                    <w:rPr>
                      <w:rFonts w:hint="eastAsia"/>
                      <w:b/>
                      <w:bCs/>
                      <w:sz w:val="21"/>
                      <w:szCs w:val="21"/>
                    </w:rPr>
                    <w:t>检测结果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8" w:type="dxa"/>
                  <w:vMerge w:val="continue"/>
                  <w:noWrap w:val="0"/>
                  <w:vAlign w:val="center"/>
                </w:tcPr>
                <w:p>
                  <w:pPr>
                    <w:pStyle w:val="72"/>
                    <w:spacing w:line="240" w:lineRule="auto"/>
                    <w:ind w:firstLine="0" w:firstLineChars="0"/>
                    <w:jc w:val="center"/>
                    <w:rPr>
                      <w:rFonts w:hint="eastAsia"/>
                      <w:b/>
                      <w:bCs/>
                      <w:sz w:val="21"/>
                      <w:szCs w:val="21"/>
                    </w:rPr>
                  </w:pPr>
                </w:p>
              </w:tc>
              <w:tc>
                <w:tcPr>
                  <w:tcW w:w="4215" w:type="dxa"/>
                  <w:vMerge w:val="continue"/>
                  <w:noWrap w:val="0"/>
                  <w:vAlign w:val="center"/>
                </w:tcPr>
                <w:p>
                  <w:pPr>
                    <w:pStyle w:val="72"/>
                    <w:spacing w:line="240" w:lineRule="auto"/>
                    <w:ind w:firstLine="420"/>
                    <w:jc w:val="center"/>
                    <w:rPr>
                      <w:rFonts w:hint="eastAsia"/>
                      <w:b/>
                      <w:bCs/>
                      <w:sz w:val="21"/>
                      <w:szCs w:val="21"/>
                    </w:rPr>
                  </w:pPr>
                </w:p>
              </w:tc>
              <w:tc>
                <w:tcPr>
                  <w:tcW w:w="1065" w:type="dxa"/>
                  <w:noWrap w:val="0"/>
                  <w:vAlign w:val="center"/>
                </w:tcPr>
                <w:p>
                  <w:pPr>
                    <w:pStyle w:val="72"/>
                    <w:spacing w:line="240" w:lineRule="auto"/>
                    <w:ind w:firstLine="0" w:firstLineChars="0"/>
                    <w:jc w:val="center"/>
                    <w:rPr>
                      <w:rFonts w:hint="eastAsia"/>
                      <w:b/>
                      <w:bCs/>
                      <w:sz w:val="21"/>
                      <w:szCs w:val="21"/>
                    </w:rPr>
                  </w:pPr>
                  <w:r>
                    <w:rPr>
                      <w:rFonts w:hint="eastAsia"/>
                      <w:b/>
                      <w:bCs/>
                      <w:sz w:val="21"/>
                      <w:szCs w:val="21"/>
                    </w:rPr>
                    <w:t>昼间</w:t>
                  </w:r>
                </w:p>
              </w:tc>
              <w:tc>
                <w:tcPr>
                  <w:tcW w:w="978" w:type="dxa"/>
                  <w:noWrap w:val="0"/>
                  <w:vAlign w:val="center"/>
                </w:tcPr>
                <w:p>
                  <w:pPr>
                    <w:pStyle w:val="72"/>
                    <w:spacing w:line="240" w:lineRule="auto"/>
                    <w:ind w:firstLine="0" w:firstLineChars="0"/>
                    <w:jc w:val="center"/>
                    <w:rPr>
                      <w:rFonts w:hint="eastAsia"/>
                      <w:b/>
                      <w:bCs/>
                      <w:sz w:val="21"/>
                      <w:szCs w:val="21"/>
                    </w:rPr>
                  </w:pPr>
                  <w:r>
                    <w:rPr>
                      <w:rFonts w:hint="eastAsia"/>
                      <w:b/>
                      <w:bCs/>
                      <w:sz w:val="21"/>
                      <w:szCs w:val="21"/>
                    </w:rPr>
                    <w:t>夜间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8" w:type="dxa"/>
                  <w:vMerge w:val="restart"/>
                  <w:noWrap w:val="0"/>
                  <w:vAlign w:val="center"/>
                </w:tcPr>
                <w:p>
                  <w:pPr>
                    <w:pStyle w:val="72"/>
                    <w:spacing w:line="240" w:lineRule="auto"/>
                    <w:ind w:firstLine="0" w:firstLineChars="0"/>
                    <w:jc w:val="center"/>
                    <w:rPr>
                      <w:rFonts w:hint="eastAsia"/>
                      <w:sz w:val="21"/>
                      <w:szCs w:val="21"/>
                    </w:rPr>
                  </w:pPr>
                  <w:r>
                    <w:rPr>
                      <w:rFonts w:hint="eastAsia"/>
                      <w:color w:val="000000"/>
                      <w:sz w:val="21"/>
                      <w:szCs w:val="21"/>
                      <w:lang w:bidi="ar"/>
                    </w:rPr>
                    <w:t>Leq</w:t>
                  </w:r>
                </w:p>
              </w:tc>
              <w:tc>
                <w:tcPr>
                  <w:tcW w:w="4215" w:type="dxa"/>
                  <w:noWrap w:val="0"/>
                  <w:vAlign w:val="center"/>
                </w:tcPr>
                <w:p>
                  <w:pPr>
                    <w:pStyle w:val="37"/>
                    <w:widowControl w:val="0"/>
                    <w:autoSpaceDE w:val="0"/>
                    <w:autoSpaceDN w:val="0"/>
                    <w:adjustRightInd w:val="0"/>
                    <w:spacing w:before="0" w:beforeAutospacing="0" w:after="0" w:afterAutospacing="0"/>
                    <w:jc w:val="center"/>
                    <w:rPr>
                      <w:rFonts w:hint="eastAsia"/>
                      <w:sz w:val="21"/>
                      <w:szCs w:val="21"/>
                    </w:rPr>
                  </w:pPr>
                  <w:r>
                    <w:rPr>
                      <w:rFonts w:hint="eastAsia" w:ascii="Times New Roman" w:hAnsi="Times New Roman"/>
                      <w:color w:val="000000"/>
                      <w:sz w:val="21"/>
                      <w:szCs w:val="21"/>
                      <w:lang w:bidi="ar"/>
                    </w:rPr>
                    <w:t>1#项目所在地北侧最近居民处</w:t>
                  </w:r>
                </w:p>
              </w:tc>
              <w:tc>
                <w:tcPr>
                  <w:tcW w:w="1065" w:type="dxa"/>
                  <w:noWrap w:val="0"/>
                  <w:vAlign w:val="center"/>
                </w:tcPr>
                <w:p>
                  <w:pPr>
                    <w:pStyle w:val="72"/>
                    <w:spacing w:line="240" w:lineRule="auto"/>
                    <w:ind w:firstLine="0" w:firstLineChars="0"/>
                    <w:jc w:val="center"/>
                    <w:rPr>
                      <w:sz w:val="21"/>
                      <w:szCs w:val="21"/>
                    </w:rPr>
                  </w:pPr>
                  <w:r>
                    <w:rPr>
                      <w:rFonts w:hint="eastAsia"/>
                      <w:sz w:val="21"/>
                      <w:szCs w:val="21"/>
                    </w:rPr>
                    <w:t>53</w:t>
                  </w:r>
                </w:p>
              </w:tc>
              <w:tc>
                <w:tcPr>
                  <w:tcW w:w="978" w:type="dxa"/>
                  <w:noWrap w:val="0"/>
                  <w:vAlign w:val="center"/>
                </w:tcPr>
                <w:p>
                  <w:pPr>
                    <w:pStyle w:val="72"/>
                    <w:spacing w:line="240" w:lineRule="auto"/>
                    <w:ind w:firstLine="0" w:firstLineChars="0"/>
                    <w:jc w:val="center"/>
                    <w:rPr>
                      <w:sz w:val="21"/>
                      <w:szCs w:val="21"/>
                    </w:rPr>
                  </w:pPr>
                  <w:r>
                    <w:rPr>
                      <w:rFonts w:hint="eastAsia"/>
                      <w:sz w:val="21"/>
                      <w:szCs w:val="21"/>
                    </w:rPr>
                    <w:t>42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8" w:type="dxa"/>
                  <w:vMerge w:val="continue"/>
                  <w:noWrap w:val="0"/>
                  <w:vAlign w:val="center"/>
                </w:tcPr>
                <w:p>
                  <w:pPr>
                    <w:pStyle w:val="72"/>
                    <w:spacing w:line="240" w:lineRule="auto"/>
                    <w:ind w:firstLine="0" w:firstLineChars="0"/>
                    <w:jc w:val="center"/>
                    <w:rPr>
                      <w:rFonts w:hint="eastAsia"/>
                      <w:sz w:val="21"/>
                      <w:szCs w:val="21"/>
                    </w:rPr>
                  </w:pPr>
                </w:p>
              </w:tc>
              <w:tc>
                <w:tcPr>
                  <w:tcW w:w="4215" w:type="dxa"/>
                  <w:noWrap w:val="0"/>
                  <w:vAlign w:val="center"/>
                </w:tcPr>
                <w:p>
                  <w:pPr>
                    <w:pStyle w:val="37"/>
                    <w:widowControl w:val="0"/>
                    <w:autoSpaceDE w:val="0"/>
                    <w:autoSpaceDN w:val="0"/>
                    <w:adjustRightInd w:val="0"/>
                    <w:spacing w:before="0" w:beforeAutospacing="0" w:after="0" w:afterAutospacing="0"/>
                    <w:jc w:val="center"/>
                    <w:rPr>
                      <w:rFonts w:hint="eastAsia"/>
                      <w:sz w:val="21"/>
                      <w:szCs w:val="21"/>
                    </w:rPr>
                  </w:pPr>
                  <w:r>
                    <w:rPr>
                      <w:rFonts w:hint="eastAsia" w:ascii="Times New Roman" w:hAnsi="Times New Roman"/>
                      <w:color w:val="000000"/>
                      <w:sz w:val="21"/>
                      <w:szCs w:val="21"/>
                      <w:lang w:bidi="ar"/>
                    </w:rPr>
                    <w:t>2#项目所在地东侧最近居民处</w:t>
                  </w:r>
                </w:p>
              </w:tc>
              <w:tc>
                <w:tcPr>
                  <w:tcW w:w="1065" w:type="dxa"/>
                  <w:noWrap w:val="0"/>
                  <w:vAlign w:val="center"/>
                </w:tcPr>
                <w:p>
                  <w:pPr>
                    <w:pStyle w:val="72"/>
                    <w:spacing w:line="240" w:lineRule="auto"/>
                    <w:ind w:firstLine="0" w:firstLineChars="0"/>
                    <w:jc w:val="center"/>
                    <w:rPr>
                      <w:sz w:val="21"/>
                      <w:szCs w:val="21"/>
                    </w:rPr>
                  </w:pPr>
                  <w:r>
                    <w:rPr>
                      <w:rFonts w:hint="eastAsia"/>
                      <w:sz w:val="21"/>
                      <w:szCs w:val="21"/>
                    </w:rPr>
                    <w:t>52</w:t>
                  </w:r>
                </w:p>
              </w:tc>
              <w:tc>
                <w:tcPr>
                  <w:tcW w:w="978" w:type="dxa"/>
                  <w:noWrap w:val="0"/>
                  <w:vAlign w:val="center"/>
                </w:tcPr>
                <w:p>
                  <w:pPr>
                    <w:pStyle w:val="72"/>
                    <w:spacing w:line="240" w:lineRule="auto"/>
                    <w:ind w:firstLine="0" w:firstLineChars="0"/>
                    <w:jc w:val="center"/>
                    <w:rPr>
                      <w:sz w:val="21"/>
                      <w:szCs w:val="21"/>
                    </w:rPr>
                  </w:pPr>
                  <w:r>
                    <w:rPr>
                      <w:rFonts w:hint="eastAsia"/>
                      <w:sz w:val="21"/>
                      <w:szCs w:val="21"/>
                    </w:rPr>
                    <w:t>45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8" w:type="dxa"/>
                  <w:vMerge w:val="continue"/>
                  <w:noWrap w:val="0"/>
                  <w:vAlign w:val="center"/>
                </w:tcPr>
                <w:p>
                  <w:pPr>
                    <w:pStyle w:val="72"/>
                    <w:spacing w:line="240" w:lineRule="auto"/>
                    <w:ind w:firstLine="0" w:firstLineChars="0"/>
                    <w:jc w:val="center"/>
                    <w:rPr>
                      <w:rFonts w:hint="eastAsia"/>
                      <w:sz w:val="21"/>
                      <w:szCs w:val="21"/>
                    </w:rPr>
                  </w:pPr>
                </w:p>
              </w:tc>
              <w:tc>
                <w:tcPr>
                  <w:tcW w:w="4215" w:type="dxa"/>
                  <w:noWrap w:val="0"/>
                  <w:vAlign w:val="center"/>
                </w:tcPr>
                <w:p>
                  <w:pPr>
                    <w:pStyle w:val="37"/>
                    <w:widowControl w:val="0"/>
                    <w:autoSpaceDE w:val="0"/>
                    <w:autoSpaceDN w:val="0"/>
                    <w:adjustRightInd w:val="0"/>
                    <w:spacing w:before="0" w:beforeAutospacing="0" w:after="0" w:afterAutospacing="0"/>
                    <w:jc w:val="center"/>
                    <w:rPr>
                      <w:rFonts w:hint="eastAsia"/>
                      <w:sz w:val="21"/>
                      <w:szCs w:val="21"/>
                    </w:rPr>
                  </w:pPr>
                  <w:r>
                    <w:rPr>
                      <w:rFonts w:hint="eastAsia" w:ascii="Times New Roman" w:hAnsi="Times New Roman"/>
                      <w:color w:val="000000"/>
                      <w:sz w:val="21"/>
                      <w:szCs w:val="21"/>
                      <w:lang w:bidi="ar"/>
                    </w:rPr>
                    <w:t>3#项目所在地南侧最近居民处</w:t>
                  </w:r>
                </w:p>
              </w:tc>
              <w:tc>
                <w:tcPr>
                  <w:tcW w:w="1065" w:type="dxa"/>
                  <w:noWrap w:val="0"/>
                  <w:vAlign w:val="center"/>
                </w:tcPr>
                <w:p>
                  <w:pPr>
                    <w:pStyle w:val="72"/>
                    <w:spacing w:line="240" w:lineRule="auto"/>
                    <w:ind w:firstLine="0" w:firstLineChars="0"/>
                    <w:jc w:val="center"/>
                    <w:rPr>
                      <w:sz w:val="21"/>
                      <w:szCs w:val="21"/>
                    </w:rPr>
                  </w:pPr>
                  <w:r>
                    <w:rPr>
                      <w:rFonts w:hint="eastAsia"/>
                      <w:sz w:val="21"/>
                      <w:szCs w:val="21"/>
                    </w:rPr>
                    <w:t>52</w:t>
                  </w:r>
                </w:p>
              </w:tc>
              <w:tc>
                <w:tcPr>
                  <w:tcW w:w="978" w:type="dxa"/>
                  <w:noWrap w:val="0"/>
                  <w:vAlign w:val="center"/>
                </w:tcPr>
                <w:p>
                  <w:pPr>
                    <w:pStyle w:val="72"/>
                    <w:spacing w:line="240" w:lineRule="auto"/>
                    <w:ind w:firstLine="0" w:firstLineChars="0"/>
                    <w:jc w:val="center"/>
                    <w:rPr>
                      <w:sz w:val="21"/>
                      <w:szCs w:val="21"/>
                    </w:rPr>
                  </w:pPr>
                  <w:r>
                    <w:rPr>
                      <w:rFonts w:hint="eastAsia"/>
                      <w:sz w:val="21"/>
                      <w:szCs w:val="21"/>
                    </w:rPr>
                    <w:t>44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8" w:type="dxa"/>
                  <w:vMerge w:val="continue"/>
                  <w:noWrap w:val="0"/>
                  <w:vAlign w:val="center"/>
                </w:tcPr>
                <w:p>
                  <w:pPr>
                    <w:pStyle w:val="72"/>
                    <w:spacing w:line="240" w:lineRule="auto"/>
                    <w:ind w:firstLine="0" w:firstLineChars="0"/>
                    <w:jc w:val="center"/>
                    <w:rPr>
                      <w:rFonts w:hint="eastAsia"/>
                      <w:sz w:val="21"/>
                      <w:szCs w:val="21"/>
                    </w:rPr>
                  </w:pPr>
                </w:p>
              </w:tc>
              <w:tc>
                <w:tcPr>
                  <w:tcW w:w="4215" w:type="dxa"/>
                  <w:noWrap w:val="0"/>
                  <w:vAlign w:val="center"/>
                </w:tcPr>
                <w:p>
                  <w:pPr>
                    <w:pStyle w:val="37"/>
                    <w:widowControl w:val="0"/>
                    <w:autoSpaceDE w:val="0"/>
                    <w:autoSpaceDN w:val="0"/>
                    <w:adjustRightInd w:val="0"/>
                    <w:spacing w:before="0" w:beforeAutospacing="0" w:after="0" w:afterAutospacing="0"/>
                    <w:jc w:val="center"/>
                    <w:rPr>
                      <w:rFonts w:hint="eastAsia"/>
                      <w:sz w:val="21"/>
                      <w:szCs w:val="21"/>
                    </w:rPr>
                  </w:pPr>
                  <w:r>
                    <w:rPr>
                      <w:rFonts w:hint="eastAsia" w:ascii="Times New Roman" w:hAnsi="Times New Roman"/>
                      <w:color w:val="000000"/>
                      <w:sz w:val="21"/>
                      <w:szCs w:val="21"/>
                      <w:lang w:bidi="ar"/>
                    </w:rPr>
                    <w:t>4#项目所在地西侧最近居民处</w:t>
                  </w:r>
                </w:p>
              </w:tc>
              <w:tc>
                <w:tcPr>
                  <w:tcW w:w="1065" w:type="dxa"/>
                  <w:noWrap w:val="0"/>
                  <w:vAlign w:val="center"/>
                </w:tcPr>
                <w:p>
                  <w:pPr>
                    <w:pStyle w:val="72"/>
                    <w:spacing w:line="240" w:lineRule="auto"/>
                    <w:ind w:firstLine="0" w:firstLineChars="0"/>
                    <w:jc w:val="center"/>
                    <w:rPr>
                      <w:sz w:val="21"/>
                      <w:szCs w:val="21"/>
                    </w:rPr>
                  </w:pPr>
                  <w:r>
                    <w:rPr>
                      <w:rFonts w:hint="eastAsia"/>
                      <w:sz w:val="21"/>
                      <w:szCs w:val="21"/>
                    </w:rPr>
                    <w:t>53</w:t>
                  </w:r>
                </w:p>
              </w:tc>
              <w:tc>
                <w:tcPr>
                  <w:tcW w:w="978" w:type="dxa"/>
                  <w:noWrap w:val="0"/>
                  <w:vAlign w:val="center"/>
                </w:tcPr>
                <w:p>
                  <w:pPr>
                    <w:pStyle w:val="72"/>
                    <w:spacing w:line="240" w:lineRule="auto"/>
                    <w:ind w:firstLine="0" w:firstLineChars="0"/>
                    <w:jc w:val="center"/>
                    <w:rPr>
                      <w:sz w:val="21"/>
                      <w:szCs w:val="21"/>
                    </w:rPr>
                  </w:pPr>
                  <w:r>
                    <w:rPr>
                      <w:rFonts w:hint="eastAsia"/>
                      <w:sz w:val="21"/>
                      <w:szCs w:val="21"/>
                    </w:rPr>
                    <w:t>44</w:t>
                  </w:r>
                </w:p>
              </w:tc>
            </w:tr>
          </w:tbl>
          <w:p>
            <w:pPr>
              <w:pStyle w:val="72"/>
              <w:ind w:firstLine="480"/>
            </w:pPr>
            <w:r>
              <w:rPr>
                <w:rFonts w:hint="eastAsia"/>
              </w:rPr>
              <w:t>根据监测结果可知，项目四周最近居民处声环境昼夜间监测值均满足《声环境质量标准》（GB3096-2008）规定的2类标准要求，区域声学环境质量现状总体较好。</w:t>
            </w:r>
          </w:p>
          <w:p>
            <w:pPr>
              <w:adjustRightInd w:val="0"/>
              <w:spacing w:line="360" w:lineRule="auto"/>
              <w:ind w:firstLine="482" w:firstLineChars="200"/>
              <w:rPr>
                <w:rFonts w:ascii="Times New Roman" w:hAnsi="Times New Roman" w:eastAsia="宋体"/>
                <w:b/>
                <w:color w:val="000000"/>
                <w:sz w:val="24"/>
              </w:rPr>
            </w:pPr>
            <w:r>
              <w:rPr>
                <w:rFonts w:ascii="Times New Roman" w:hAnsi="Times New Roman" w:eastAsia="宋体"/>
                <w:b/>
                <w:color w:val="000000"/>
                <w:sz w:val="24"/>
              </w:rPr>
              <w:t>4、地下水、土壤环境</w:t>
            </w:r>
            <w:r>
              <w:rPr>
                <w:rFonts w:ascii="Times New Roman" w:hAnsi="Times New Roman" w:eastAsia="宋体"/>
                <w:b/>
                <w:bCs/>
                <w:color w:val="000000"/>
                <w:sz w:val="24"/>
              </w:rPr>
              <w:t>质量现状</w:t>
            </w:r>
          </w:p>
          <w:p>
            <w:pPr>
              <w:adjustRightInd w:val="0"/>
              <w:spacing w:line="360" w:lineRule="auto"/>
              <w:ind w:firstLine="480" w:firstLineChars="200"/>
              <w:rPr>
                <w:rFonts w:hint="eastAsia" w:ascii="Times New Roman" w:hAnsi="Times New Roman" w:eastAsia="宋体"/>
                <w:color w:val="000000"/>
                <w:sz w:val="24"/>
              </w:rPr>
            </w:pPr>
            <w:r>
              <w:rPr>
                <w:rFonts w:hint="eastAsia" w:ascii="Times New Roman" w:hAnsi="Times New Roman" w:eastAsia="宋体"/>
                <w:color w:val="000000"/>
                <w:sz w:val="24"/>
              </w:rPr>
              <w:t>根据《建设项目环境影响报告表编制技术指南（污染影响类）（试行）》（2021年4月1日实施）：地下水、土壤原则上不开展环境质量现状调查。建设项目存在土壤、地下水环境污染途径的，应结合污染源、保护目标分布情况开展现状调查以留作背景值。</w:t>
            </w:r>
          </w:p>
          <w:p>
            <w:pPr>
              <w:adjustRightInd w:val="0"/>
              <w:spacing w:line="360" w:lineRule="auto"/>
              <w:ind w:firstLine="480" w:firstLineChars="200"/>
              <w:rPr>
                <w:rFonts w:hint="eastAsia" w:ascii="Times New Roman" w:hAnsi="Times New Roman" w:eastAsia="宋体"/>
                <w:color w:val="000000"/>
                <w:sz w:val="24"/>
              </w:rPr>
            </w:pPr>
            <w:r>
              <w:rPr>
                <w:rFonts w:hint="eastAsia" w:ascii="Times New Roman" w:hAnsi="Times New Roman" w:eastAsia="宋体"/>
                <w:color w:val="000000"/>
                <w:sz w:val="24"/>
              </w:rPr>
              <w:t>本项目为精神病医院扩建床位项目，隔油池、化粪池、污水处理站、事故池、医疗废物暂存间均采取了重点防渗措施，不存在地下水、土壤环境污染途径，故本项目可不开展地下水、土壤环境质量现状调查。</w:t>
            </w:r>
          </w:p>
          <w:p>
            <w:pPr>
              <w:adjustRightInd w:val="0"/>
              <w:spacing w:line="360" w:lineRule="auto"/>
              <w:ind w:firstLine="482" w:firstLineChars="200"/>
              <w:rPr>
                <w:rFonts w:ascii="Times New Roman" w:hAnsi="Times New Roman" w:eastAsia="宋体"/>
                <w:b/>
                <w:color w:val="000000"/>
                <w:sz w:val="24"/>
              </w:rPr>
            </w:pPr>
            <w:r>
              <w:rPr>
                <w:rFonts w:ascii="Times New Roman" w:hAnsi="Times New Roman" w:eastAsia="宋体"/>
                <w:b/>
                <w:color w:val="000000"/>
                <w:sz w:val="24"/>
              </w:rPr>
              <w:t>5、生态环境</w:t>
            </w:r>
            <w:r>
              <w:rPr>
                <w:rFonts w:ascii="Times New Roman" w:hAnsi="Times New Roman" w:eastAsia="宋体"/>
                <w:b/>
                <w:bCs/>
                <w:color w:val="000000"/>
                <w:sz w:val="24"/>
              </w:rPr>
              <w:t>质量现状</w:t>
            </w:r>
          </w:p>
          <w:p>
            <w:pPr>
              <w:adjustRightInd w:val="0"/>
              <w:spacing w:line="360" w:lineRule="auto"/>
              <w:ind w:firstLine="480" w:firstLineChars="200"/>
              <w:rPr>
                <w:rFonts w:hint="eastAsia" w:ascii="Times New Roman" w:hAnsi="Times New Roman" w:eastAsia="宋体"/>
                <w:color w:val="000000"/>
                <w:sz w:val="24"/>
              </w:rPr>
            </w:pPr>
            <w:r>
              <w:rPr>
                <w:rFonts w:hint="eastAsia" w:ascii="Times New Roman" w:hAnsi="Times New Roman" w:eastAsia="宋体"/>
                <w:color w:val="000000"/>
                <w:sz w:val="24"/>
              </w:rPr>
              <w:t>根据《建设项目环境影响报告表编制技术指南（污染影响类）（试行）》（2021年4月1日实施）：产业园区外建设项目新增用地且用地范围内含有生态环境保护目标时，应进行生态现状调查。</w:t>
            </w:r>
          </w:p>
          <w:p>
            <w:pPr>
              <w:adjustRightInd w:val="0"/>
              <w:spacing w:line="360" w:lineRule="auto"/>
              <w:ind w:firstLine="480" w:firstLineChars="200"/>
              <w:rPr>
                <w:rFonts w:ascii="Times New Roman" w:hAnsi="Times New Roman" w:eastAsia="宋体"/>
                <w:color w:val="000000"/>
                <w:sz w:val="24"/>
              </w:rPr>
            </w:pPr>
            <w:r>
              <w:rPr>
                <w:rFonts w:hint="eastAsia" w:ascii="Times New Roman" w:hAnsi="Times New Roman" w:eastAsia="宋体"/>
                <w:color w:val="000000"/>
                <w:sz w:val="24"/>
              </w:rPr>
              <w:t>本项目位于乐山市水口镇徐月村街道上，周边主要为居民住户与农田耕地，人类耕作活动、交通频繁，无大型哺乳动物存在，主要为白头鸭、家燕等常见鸟类。同时，经现场调查，项目周边未发现国家、市、县级自然保护区及野生动物保护区、森林公园、风景名胜区、重点文物及名胜古迹、生态敏感与珍稀野生动植物栖息地等环境保护敏感目标。因此，本项目可不进行生态环境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0" w:type="dxa"/>
            <w:noWrap w:val="0"/>
            <w:vAlign w:val="center"/>
          </w:tcPr>
          <w:p>
            <w:pPr>
              <w:adjustRightInd w:val="0"/>
              <w:snapToGrid w:val="0"/>
              <w:jc w:val="center"/>
              <w:rPr>
                <w:rFonts w:ascii="Times New Roman" w:hAnsi="Times New Roman" w:eastAsia="宋体"/>
                <w:color w:val="000000"/>
                <w:kern w:val="0"/>
                <w:szCs w:val="21"/>
              </w:rPr>
            </w:pPr>
            <w:r>
              <w:rPr>
                <w:rFonts w:ascii="Times New Roman" w:hAnsi="Times New Roman" w:eastAsia="宋体"/>
                <w:color w:val="000000"/>
                <w:kern w:val="0"/>
                <w:szCs w:val="21"/>
              </w:rPr>
              <w:t>环境</w:t>
            </w:r>
          </w:p>
          <w:p>
            <w:pPr>
              <w:adjustRightInd w:val="0"/>
              <w:snapToGrid w:val="0"/>
              <w:jc w:val="center"/>
              <w:rPr>
                <w:rFonts w:ascii="Times New Roman" w:hAnsi="Times New Roman" w:eastAsia="宋体"/>
                <w:color w:val="000000"/>
                <w:kern w:val="0"/>
                <w:szCs w:val="21"/>
              </w:rPr>
            </w:pPr>
            <w:r>
              <w:rPr>
                <w:rFonts w:ascii="Times New Roman" w:hAnsi="Times New Roman" w:eastAsia="宋体"/>
                <w:color w:val="000000"/>
                <w:kern w:val="0"/>
                <w:szCs w:val="21"/>
              </w:rPr>
              <w:t>保护</w:t>
            </w:r>
          </w:p>
          <w:p>
            <w:pPr>
              <w:adjustRightInd w:val="0"/>
              <w:snapToGrid w:val="0"/>
              <w:jc w:val="center"/>
              <w:rPr>
                <w:rFonts w:ascii="Times New Roman" w:hAnsi="Times New Roman" w:eastAsia="宋体"/>
                <w:color w:val="000000"/>
                <w:kern w:val="0"/>
                <w:szCs w:val="21"/>
              </w:rPr>
            </w:pPr>
            <w:r>
              <w:rPr>
                <w:rFonts w:ascii="Times New Roman" w:hAnsi="Times New Roman" w:eastAsia="宋体"/>
                <w:color w:val="000000"/>
                <w:kern w:val="0"/>
                <w:szCs w:val="21"/>
              </w:rPr>
              <w:t>目标</w:t>
            </w:r>
          </w:p>
        </w:tc>
        <w:tc>
          <w:tcPr>
            <w:tcW w:w="8350" w:type="dxa"/>
            <w:noWrap w:val="0"/>
            <w:vAlign w:val="center"/>
          </w:tcPr>
          <w:p>
            <w:pPr>
              <w:pStyle w:val="185"/>
              <w:ind w:firstLine="482"/>
              <w:rPr>
                <w:rFonts w:ascii="Times New Roman" w:hAnsi="Times New Roman" w:eastAsia="宋体"/>
                <w:color w:val="000000"/>
              </w:rPr>
            </w:pPr>
            <w:r>
              <w:rPr>
                <w:rFonts w:ascii="Times New Roman" w:hAnsi="Times New Roman" w:eastAsia="宋体"/>
                <w:b/>
                <w:color w:val="000000"/>
              </w:rPr>
              <w:t>一、外环境关系</w:t>
            </w:r>
          </w:p>
          <w:p>
            <w:pPr>
              <w:pStyle w:val="185"/>
              <w:ind w:firstLine="480"/>
              <w:rPr>
                <w:rFonts w:hint="eastAsia" w:ascii="Times New Roman" w:hAnsi="Times New Roman" w:eastAsia="宋体"/>
                <w:color w:val="000000"/>
              </w:rPr>
            </w:pPr>
            <w:r>
              <w:rPr>
                <w:rFonts w:hint="eastAsia" w:ascii="Times New Roman" w:hAnsi="Times New Roman" w:eastAsia="宋体"/>
                <w:color w:val="000000"/>
              </w:rPr>
              <w:t>本项目位于乐山市市中区水口镇徐月村7组456号，项目周边主要为徐月村居民，根据现场踏勘，其外环境关系主要如下：</w:t>
            </w:r>
          </w:p>
          <w:p>
            <w:pPr>
              <w:pStyle w:val="185"/>
              <w:ind w:firstLine="480"/>
              <w:rPr>
                <w:rFonts w:hint="eastAsia" w:ascii="Times New Roman" w:hAnsi="Times New Roman" w:eastAsia="宋体"/>
                <w:color w:val="000000"/>
                <w:lang w:eastAsia="zh-CN"/>
              </w:rPr>
            </w:pPr>
            <w:r>
              <w:rPr>
                <w:rFonts w:hint="eastAsia" w:ascii="Times New Roman" w:hAnsi="Times New Roman" w:eastAsia="宋体"/>
                <w:color w:val="000000"/>
              </w:rPr>
              <w:t>厂区东、南面均临场镇道路，交通方便</w:t>
            </w:r>
            <w:r>
              <w:rPr>
                <w:rFonts w:hint="eastAsia" w:ascii="Times New Roman" w:hAnsi="Times New Roman" w:eastAsia="宋体"/>
                <w:color w:val="000000"/>
                <w:lang w:eastAsia="zh-CN"/>
              </w:rPr>
              <w:t>；</w:t>
            </w:r>
          </w:p>
          <w:p>
            <w:pPr>
              <w:pStyle w:val="185"/>
              <w:ind w:firstLine="480"/>
              <w:rPr>
                <w:rFonts w:hint="eastAsia" w:ascii="Times New Roman" w:hAnsi="Times New Roman" w:eastAsia="宋体"/>
                <w:color w:val="000000"/>
              </w:rPr>
            </w:pPr>
            <w:r>
              <w:rPr>
                <w:rFonts w:hint="eastAsia" w:ascii="Times New Roman" w:hAnsi="Times New Roman" w:eastAsia="宋体"/>
                <w:color w:val="000000"/>
              </w:rPr>
              <w:t>项目南面徐月村住户与本项目有道路阻隔，项目南面60m处为临江河，自西向东流入大渡河，最终汇入青衣江；</w:t>
            </w:r>
          </w:p>
          <w:p>
            <w:pPr>
              <w:pStyle w:val="185"/>
              <w:ind w:firstLine="480"/>
              <w:rPr>
                <w:rFonts w:hint="eastAsia" w:ascii="Times New Roman" w:hAnsi="Times New Roman" w:eastAsia="宋体"/>
                <w:color w:val="000000"/>
              </w:rPr>
            </w:pPr>
            <w:r>
              <w:rPr>
                <w:rFonts w:hint="eastAsia" w:ascii="Times New Roman" w:hAnsi="Times New Roman" w:eastAsia="宋体"/>
                <w:color w:val="000000"/>
              </w:rPr>
              <w:t>项目西面与徐月村住户紧邻；</w:t>
            </w:r>
          </w:p>
          <w:p>
            <w:pPr>
              <w:pStyle w:val="185"/>
              <w:ind w:firstLine="480"/>
              <w:rPr>
                <w:rFonts w:hint="eastAsia" w:ascii="Times New Roman" w:hAnsi="Times New Roman" w:eastAsia="宋体"/>
                <w:color w:val="000000"/>
              </w:rPr>
            </w:pPr>
            <w:r>
              <w:rPr>
                <w:rFonts w:hint="eastAsia" w:ascii="Times New Roman" w:hAnsi="Times New Roman" w:eastAsia="宋体"/>
                <w:color w:val="000000"/>
              </w:rPr>
              <w:t>项目东面徐月村住户与本项目有场镇道路阻隔；</w:t>
            </w:r>
          </w:p>
          <w:p>
            <w:pPr>
              <w:pStyle w:val="185"/>
              <w:ind w:firstLine="480"/>
              <w:rPr>
                <w:rFonts w:hint="eastAsia" w:ascii="Times New Roman" w:hAnsi="Times New Roman" w:eastAsia="宋体"/>
                <w:color w:val="000000"/>
              </w:rPr>
            </w:pPr>
            <w:r>
              <w:rPr>
                <w:rFonts w:hint="eastAsia" w:ascii="Times New Roman" w:hAnsi="Times New Roman" w:eastAsia="宋体"/>
                <w:color w:val="000000"/>
              </w:rPr>
              <w:t>项目北面为居民菜地和零散住户。</w:t>
            </w:r>
          </w:p>
          <w:p>
            <w:pPr>
              <w:pStyle w:val="185"/>
              <w:spacing w:line="240" w:lineRule="auto"/>
              <w:ind w:left="0" w:leftChars="0" w:firstLine="0" w:firstLineChars="0"/>
              <w:jc w:val="center"/>
              <w:rPr>
                <w:rFonts w:hint="eastAsia" w:ascii="Times New Roman" w:hAnsi="Times New Roman" w:eastAsia="宋体"/>
                <w:color w:val="000000"/>
              </w:rPr>
            </w:pPr>
            <w:r>
              <w:drawing>
                <wp:inline distT="0" distB="0" distL="114300" distR="114300">
                  <wp:extent cx="5039995" cy="3298190"/>
                  <wp:effectExtent l="0" t="0" r="8255" b="16510"/>
                  <wp:docPr id="163" name="图片 34" descr="附图3  项目外环境关系图（50m）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4" descr="附图3  项目外环境关系图（50m）_00"/>
                          <pic:cNvPicPr>
                            <a:picLocks noChangeAspect="1"/>
                          </pic:cNvPicPr>
                        </pic:nvPicPr>
                        <pic:blipFill>
                          <a:blip r:embed="rId39"/>
                          <a:srcRect t="9209" r="16856" b="13814"/>
                          <a:stretch>
                            <a:fillRect/>
                          </a:stretch>
                        </pic:blipFill>
                        <pic:spPr>
                          <a:xfrm>
                            <a:off x="0" y="0"/>
                            <a:ext cx="5039995" cy="3298190"/>
                          </a:xfrm>
                          <a:prstGeom prst="rect">
                            <a:avLst/>
                          </a:prstGeom>
                          <a:noFill/>
                          <a:ln>
                            <a:noFill/>
                          </a:ln>
                        </pic:spPr>
                      </pic:pic>
                    </a:graphicData>
                  </a:graphic>
                </wp:inline>
              </w:drawing>
            </w:r>
          </w:p>
          <w:p>
            <w:pPr>
              <w:pStyle w:val="185"/>
              <w:spacing w:line="240" w:lineRule="auto"/>
              <w:ind w:firstLine="480"/>
              <w:jc w:val="center"/>
              <w:rPr>
                <w:rFonts w:hint="eastAsia" w:ascii="Times New Roman" w:hAnsi="Times New Roman" w:eastAsia="宋体"/>
                <w:b/>
                <w:bCs/>
                <w:color w:val="000000"/>
                <w:sz w:val="21"/>
                <w:szCs w:val="21"/>
              </w:rPr>
            </w:pPr>
            <w:r>
              <w:rPr>
                <w:rFonts w:hint="eastAsia" w:ascii="Times New Roman" w:hAnsi="Times New Roman" w:eastAsia="宋体"/>
                <w:b/>
                <w:bCs/>
                <w:color w:val="000000"/>
                <w:sz w:val="21"/>
                <w:szCs w:val="21"/>
              </w:rPr>
              <w:t>图3-2  项目外环境关系图（50m）</w:t>
            </w:r>
          </w:p>
          <w:p>
            <w:pPr>
              <w:pStyle w:val="185"/>
              <w:spacing w:line="240" w:lineRule="auto"/>
              <w:ind w:left="0" w:leftChars="0" w:firstLine="0" w:firstLineChars="0"/>
              <w:jc w:val="center"/>
              <w:rPr>
                <w:rFonts w:hint="eastAsia" w:ascii="Times New Roman" w:hAnsi="Times New Roman" w:eastAsia="宋体"/>
                <w:color w:val="000000"/>
                <w:lang w:eastAsia="zh-CN"/>
              </w:rPr>
            </w:pPr>
            <w:r>
              <w:rPr>
                <w:rFonts w:hint="eastAsia" w:ascii="Times New Roman" w:hAnsi="Times New Roman" w:eastAsia="宋体"/>
                <w:color w:val="000000"/>
                <w:lang w:eastAsia="zh-CN"/>
              </w:rPr>
              <w:drawing>
                <wp:inline distT="0" distB="0" distL="114300" distR="114300">
                  <wp:extent cx="5184140" cy="4305935"/>
                  <wp:effectExtent l="0" t="0" r="16510" b="18415"/>
                  <wp:docPr id="168" name="图片 35" descr="附图4 外环境关系（500m）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5" descr="附图4 外环境关系（500m）_00"/>
                          <pic:cNvPicPr>
                            <a:picLocks noChangeAspect="1"/>
                          </pic:cNvPicPr>
                        </pic:nvPicPr>
                        <pic:blipFill>
                          <a:blip r:embed="rId40"/>
                          <a:srcRect l="3235" t="3583" r="21672" b="8157"/>
                          <a:stretch>
                            <a:fillRect/>
                          </a:stretch>
                        </pic:blipFill>
                        <pic:spPr>
                          <a:xfrm>
                            <a:off x="0" y="0"/>
                            <a:ext cx="5184140" cy="4305935"/>
                          </a:xfrm>
                          <a:prstGeom prst="rect">
                            <a:avLst/>
                          </a:prstGeom>
                          <a:noFill/>
                          <a:ln>
                            <a:noFill/>
                          </a:ln>
                        </pic:spPr>
                      </pic:pic>
                    </a:graphicData>
                  </a:graphic>
                </wp:inline>
              </w:drawing>
            </w:r>
          </w:p>
          <w:p>
            <w:pPr>
              <w:pStyle w:val="185"/>
              <w:spacing w:line="240" w:lineRule="auto"/>
              <w:ind w:firstLine="480"/>
              <w:jc w:val="center"/>
              <w:rPr>
                <w:rFonts w:hint="eastAsia" w:ascii="Times New Roman" w:hAnsi="Times New Roman" w:eastAsia="宋体"/>
                <w:b/>
                <w:bCs/>
                <w:color w:val="000000"/>
                <w:sz w:val="21"/>
                <w:szCs w:val="21"/>
              </w:rPr>
            </w:pPr>
            <w:r>
              <w:rPr>
                <w:rFonts w:hint="eastAsia" w:ascii="Times New Roman" w:hAnsi="Times New Roman" w:eastAsia="宋体"/>
                <w:b/>
                <w:bCs/>
                <w:color w:val="000000"/>
                <w:sz w:val="21"/>
                <w:szCs w:val="21"/>
              </w:rPr>
              <w:t>图3-3  项目外环境关系图（</w:t>
            </w:r>
            <w:r>
              <w:rPr>
                <w:rFonts w:hint="eastAsia" w:ascii="Times New Roman" w:hAnsi="Times New Roman" w:eastAsia="宋体"/>
                <w:b/>
                <w:bCs/>
                <w:color w:val="000000"/>
                <w:sz w:val="21"/>
                <w:szCs w:val="21"/>
                <w:lang w:val="en-US" w:eastAsia="zh-CN"/>
              </w:rPr>
              <w:t>5</w:t>
            </w:r>
            <w:r>
              <w:rPr>
                <w:rFonts w:hint="eastAsia" w:ascii="Times New Roman" w:hAnsi="Times New Roman" w:eastAsia="宋体"/>
                <w:b/>
                <w:bCs/>
                <w:color w:val="000000"/>
                <w:sz w:val="21"/>
                <w:szCs w:val="21"/>
              </w:rPr>
              <w:t>00m）</w:t>
            </w:r>
          </w:p>
          <w:p>
            <w:pPr>
              <w:pStyle w:val="185"/>
              <w:ind w:firstLine="480"/>
              <w:jc w:val="both"/>
              <w:rPr>
                <w:rFonts w:hint="eastAsia" w:ascii="Times New Roman" w:hAnsi="Times New Roman" w:eastAsia="宋体"/>
                <w:color w:val="000000"/>
              </w:rPr>
            </w:pPr>
            <w:r>
              <w:rPr>
                <w:rFonts w:hint="eastAsia" w:ascii="Times New Roman" w:hAnsi="Times New Roman" w:eastAsia="宋体"/>
                <w:color w:val="000000"/>
              </w:rPr>
              <w:t>项目用地区域内生态以城镇生态环境为主要特征。由于人为活动频繁，自然生态环境受人类活动干扰很大，区内无重点文物保护单位，无名胜古迹和珍稀野生动植物等重大环境敏感点；周边无对医院大气、水、声等环境要素产生影响的工矿企业，无重大环境制约因素，建设条件较好；同时，本项目的建设方便了群众就医，产生的污染物均能得到合理处置，项目建设与周边环境相容。</w:t>
            </w:r>
          </w:p>
          <w:p>
            <w:pPr>
              <w:pStyle w:val="185"/>
              <w:ind w:firstLine="480"/>
              <w:jc w:val="both"/>
              <w:rPr>
                <w:rFonts w:hint="eastAsia" w:ascii="Times New Roman" w:hAnsi="Times New Roman" w:eastAsia="宋体"/>
                <w:color w:val="000000"/>
              </w:rPr>
            </w:pPr>
            <w:r>
              <w:rPr>
                <w:rFonts w:hint="eastAsia" w:ascii="Times New Roman" w:hAnsi="Times New Roman" w:eastAsia="宋体"/>
                <w:b/>
                <w:bCs/>
                <w:color w:val="000000"/>
              </w:rPr>
              <w:t>2、环境保护目标</w:t>
            </w:r>
          </w:p>
          <w:p>
            <w:pPr>
              <w:pStyle w:val="185"/>
              <w:ind w:firstLine="480"/>
              <w:jc w:val="both"/>
              <w:rPr>
                <w:rFonts w:hint="eastAsia" w:ascii="Times New Roman" w:hAnsi="Times New Roman" w:eastAsia="宋体"/>
                <w:color w:val="000000"/>
              </w:rPr>
            </w:pPr>
            <w:r>
              <w:rPr>
                <w:rFonts w:hint="eastAsia" w:ascii="Times New Roman" w:hAnsi="Times New Roman" w:eastAsia="宋体"/>
                <w:color w:val="000000"/>
              </w:rPr>
              <w:t>根据项目外环境关系以及《建设项目环境影响报告表编制技术指南（污染类）》，确定本项目环境保护目标为：</w:t>
            </w:r>
          </w:p>
          <w:p>
            <w:pPr>
              <w:pStyle w:val="185"/>
              <w:ind w:firstLine="480"/>
              <w:jc w:val="both"/>
              <w:rPr>
                <w:rFonts w:hint="eastAsia" w:ascii="Times New Roman" w:hAnsi="Times New Roman" w:eastAsia="宋体"/>
                <w:color w:val="000000"/>
              </w:rPr>
            </w:pPr>
            <w:r>
              <w:rPr>
                <w:rFonts w:hint="eastAsia" w:ascii="Times New Roman" w:hAnsi="Times New Roman" w:eastAsia="宋体"/>
                <w:color w:val="000000"/>
              </w:rPr>
              <w:t>环境空气：项目大气环境保护目标为项目场界外500m范围内大气环境，项目所在区域环境空气质量为《环境空气质量标准》（GB3095-2012）及其修改单（生态环境部2018年第29号）中二级标准区域，保护目标区域大气环境质量现状不因项目建设而发生变化；</w:t>
            </w:r>
          </w:p>
          <w:p>
            <w:pPr>
              <w:pStyle w:val="185"/>
              <w:ind w:firstLine="480"/>
              <w:rPr>
                <w:rFonts w:hint="eastAsia" w:ascii="Times New Roman" w:hAnsi="Times New Roman" w:eastAsia="宋体"/>
                <w:color w:val="000000"/>
              </w:rPr>
            </w:pPr>
            <w:r>
              <w:rPr>
                <w:rFonts w:hint="eastAsia" w:ascii="Times New Roman" w:hAnsi="Times New Roman" w:eastAsia="宋体"/>
                <w:color w:val="000000"/>
              </w:rPr>
              <w:t>声环境：本项目声学环境保护目标为以项目场界外50m范围内的噪声敏感区，确保项目实施后不产生噪声扰民现象，其质量执行《声环境质量标准》（GB3096-2008）规定的2类标准要求；</w:t>
            </w:r>
          </w:p>
          <w:p>
            <w:pPr>
              <w:pStyle w:val="185"/>
              <w:ind w:firstLine="480"/>
              <w:rPr>
                <w:rFonts w:hint="eastAsia" w:ascii="Times New Roman" w:hAnsi="Times New Roman" w:eastAsia="宋体"/>
                <w:color w:val="000000"/>
              </w:rPr>
            </w:pPr>
            <w:r>
              <w:rPr>
                <w:rFonts w:hint="eastAsia" w:ascii="Times New Roman" w:hAnsi="Times New Roman" w:eastAsia="宋体"/>
                <w:color w:val="000000"/>
              </w:rPr>
              <w:t>地表水环境：本项目受纳水体为临江河，目标水质为《地表水环境质量标准》（GB3838-2002）中Ⅲ类水域标准，保护目标水体功能和环境质量不因本项目建设而发生变化。</w:t>
            </w:r>
          </w:p>
          <w:p>
            <w:pPr>
              <w:pStyle w:val="185"/>
              <w:ind w:firstLine="480"/>
              <w:rPr>
                <w:rFonts w:hint="eastAsia" w:ascii="Times New Roman" w:hAnsi="Times New Roman" w:eastAsia="宋体"/>
                <w:color w:val="000000"/>
              </w:rPr>
            </w:pPr>
            <w:r>
              <w:rPr>
                <w:rFonts w:hint="eastAsia" w:ascii="Times New Roman" w:hAnsi="Times New Roman" w:eastAsia="宋体"/>
                <w:color w:val="000000"/>
              </w:rPr>
              <w:t>地下水环境：根据调查，项目厂界外500m范围内不存在地下水集中式饮用水水源和热水、矿泉水、温泉等特殊地下水资源。</w:t>
            </w:r>
          </w:p>
          <w:p>
            <w:pPr>
              <w:pStyle w:val="185"/>
              <w:ind w:firstLine="480"/>
              <w:rPr>
                <w:rFonts w:hint="eastAsia" w:ascii="Times New Roman" w:hAnsi="Times New Roman" w:eastAsia="宋体"/>
                <w:color w:val="000000"/>
              </w:rPr>
            </w:pPr>
            <w:r>
              <w:rPr>
                <w:rFonts w:hint="eastAsia" w:ascii="Times New Roman" w:hAnsi="Times New Roman" w:eastAsia="宋体"/>
                <w:color w:val="000000"/>
              </w:rPr>
              <w:t>生态环境：本项目位于市中区水口镇徐月村7组456号，用地范围内不存在生态环境保护目标。</w:t>
            </w:r>
          </w:p>
          <w:p>
            <w:pPr>
              <w:pStyle w:val="185"/>
              <w:ind w:firstLine="480"/>
              <w:rPr>
                <w:rFonts w:ascii="Times New Roman" w:hAnsi="Times New Roman" w:eastAsia="宋体"/>
                <w:color w:val="000000"/>
              </w:rPr>
            </w:pPr>
            <w:r>
              <w:rPr>
                <w:rFonts w:hint="eastAsia" w:ascii="Times New Roman" w:hAnsi="Times New Roman" w:eastAsia="宋体"/>
                <w:color w:val="000000"/>
              </w:rPr>
              <w:t>本项目环境保护目标见下表3-4、表3-5</w:t>
            </w:r>
            <w:r>
              <w:rPr>
                <w:rFonts w:hint="eastAsia" w:ascii="Times New Roman" w:hAnsi="Times New Roman" w:eastAsia="宋体"/>
                <w:color w:val="000000"/>
                <w:lang w:eastAsia="zh-CN"/>
              </w:rPr>
              <w:t>、表</w:t>
            </w:r>
            <w:r>
              <w:rPr>
                <w:rFonts w:hint="eastAsia" w:ascii="Times New Roman" w:hAnsi="Times New Roman" w:eastAsia="宋体"/>
                <w:color w:val="000000"/>
                <w:lang w:val="en-US" w:eastAsia="zh-CN"/>
              </w:rPr>
              <w:t>3-6</w:t>
            </w:r>
            <w:r>
              <w:rPr>
                <w:rFonts w:hint="eastAsia" w:ascii="Times New Roman" w:hAnsi="Times New Roman" w:eastAsia="宋体"/>
                <w:color w:val="000000"/>
              </w:rPr>
              <w:t>：</w:t>
            </w:r>
          </w:p>
          <w:p>
            <w:pPr>
              <w:jc w:val="center"/>
              <w:rPr>
                <w:rFonts w:hint="eastAsia"/>
                <w:b/>
              </w:rPr>
            </w:pPr>
            <w:r>
              <w:rPr>
                <w:b/>
              </w:rPr>
              <w:t>表3-</w:t>
            </w:r>
            <w:r>
              <w:rPr>
                <w:rFonts w:hint="eastAsia"/>
                <w:b/>
              </w:rPr>
              <w:t>4  评价范围内主要环境</w:t>
            </w:r>
            <w:r>
              <w:rPr>
                <w:b/>
              </w:rPr>
              <w:t>保护</w:t>
            </w:r>
            <w:r>
              <w:rPr>
                <w:rFonts w:hint="eastAsia"/>
                <w:b/>
              </w:rPr>
              <w:t>目标（环境空气、风险）</w:t>
            </w:r>
          </w:p>
          <w:tbl>
            <w:tblPr>
              <w:tblStyle w:val="41"/>
              <w:tblW w:w="827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7"/>
              <w:gridCol w:w="780"/>
              <w:gridCol w:w="750"/>
              <w:gridCol w:w="735"/>
              <w:gridCol w:w="720"/>
              <w:gridCol w:w="1035"/>
              <w:gridCol w:w="1200"/>
              <w:gridCol w:w="765"/>
              <w:gridCol w:w="855"/>
              <w:gridCol w:w="88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9" w:hRule="atLeast"/>
                <w:jc w:val="center"/>
              </w:trPr>
              <w:tc>
                <w:tcPr>
                  <w:tcW w:w="547" w:type="dxa"/>
                  <w:vMerge w:val="restart"/>
                  <w:noWrap w:val="0"/>
                  <w:vAlign w:val="center"/>
                </w:tcPr>
                <w:p>
                  <w:pPr>
                    <w:pStyle w:val="165"/>
                    <w:bidi w:val="0"/>
                    <w:rPr>
                      <w:rFonts w:hint="eastAsia"/>
                      <w:b/>
                      <w:bCs/>
                    </w:rPr>
                  </w:pPr>
                  <w:r>
                    <w:rPr>
                      <w:rFonts w:hint="eastAsia"/>
                      <w:b/>
                      <w:bCs/>
                    </w:rPr>
                    <w:t>序号</w:t>
                  </w:r>
                </w:p>
              </w:tc>
              <w:tc>
                <w:tcPr>
                  <w:tcW w:w="780" w:type="dxa"/>
                  <w:vMerge w:val="restart"/>
                  <w:noWrap w:val="0"/>
                  <w:vAlign w:val="center"/>
                </w:tcPr>
                <w:p>
                  <w:pPr>
                    <w:pStyle w:val="165"/>
                    <w:bidi w:val="0"/>
                    <w:rPr>
                      <w:rFonts w:hint="eastAsia"/>
                      <w:b/>
                      <w:bCs/>
                    </w:rPr>
                  </w:pPr>
                  <w:r>
                    <w:rPr>
                      <w:rFonts w:hint="eastAsia"/>
                      <w:b/>
                      <w:bCs/>
                    </w:rPr>
                    <w:t>范围</w:t>
                  </w:r>
                </w:p>
              </w:tc>
              <w:tc>
                <w:tcPr>
                  <w:tcW w:w="750" w:type="dxa"/>
                  <w:vMerge w:val="restart"/>
                  <w:noWrap w:val="0"/>
                  <w:vAlign w:val="center"/>
                </w:tcPr>
                <w:p>
                  <w:pPr>
                    <w:pStyle w:val="165"/>
                    <w:bidi w:val="0"/>
                    <w:rPr>
                      <w:rFonts w:hint="eastAsia"/>
                      <w:b/>
                      <w:bCs/>
                    </w:rPr>
                  </w:pPr>
                  <w:r>
                    <w:rPr>
                      <w:rFonts w:hint="eastAsia"/>
                      <w:b/>
                      <w:bCs/>
                    </w:rPr>
                    <w:t>保护目标</w:t>
                  </w:r>
                </w:p>
              </w:tc>
              <w:tc>
                <w:tcPr>
                  <w:tcW w:w="1455" w:type="dxa"/>
                  <w:gridSpan w:val="2"/>
                  <w:noWrap w:val="0"/>
                  <w:vAlign w:val="center"/>
                </w:tcPr>
                <w:p>
                  <w:pPr>
                    <w:pStyle w:val="165"/>
                    <w:bidi w:val="0"/>
                    <w:rPr>
                      <w:rFonts w:hint="eastAsia"/>
                      <w:b/>
                      <w:bCs/>
                    </w:rPr>
                  </w:pPr>
                  <w:r>
                    <w:rPr>
                      <w:rFonts w:hint="eastAsia"/>
                      <w:b/>
                      <w:bCs/>
                    </w:rPr>
                    <w:t>坐标</w:t>
                  </w:r>
                </w:p>
              </w:tc>
              <w:tc>
                <w:tcPr>
                  <w:tcW w:w="1035" w:type="dxa"/>
                  <w:vMerge w:val="restart"/>
                  <w:noWrap w:val="0"/>
                  <w:vAlign w:val="center"/>
                </w:tcPr>
                <w:p>
                  <w:pPr>
                    <w:pStyle w:val="165"/>
                    <w:bidi w:val="0"/>
                    <w:rPr>
                      <w:rFonts w:hint="eastAsia"/>
                      <w:b/>
                      <w:bCs/>
                    </w:rPr>
                  </w:pPr>
                  <w:r>
                    <w:rPr>
                      <w:rFonts w:hint="eastAsia"/>
                      <w:b/>
                      <w:bCs/>
                    </w:rPr>
                    <w:t>保护对象</w:t>
                  </w:r>
                </w:p>
              </w:tc>
              <w:tc>
                <w:tcPr>
                  <w:tcW w:w="1200" w:type="dxa"/>
                  <w:vMerge w:val="restart"/>
                  <w:noWrap w:val="0"/>
                  <w:vAlign w:val="center"/>
                </w:tcPr>
                <w:p>
                  <w:pPr>
                    <w:pStyle w:val="165"/>
                    <w:bidi w:val="0"/>
                    <w:rPr>
                      <w:rFonts w:hint="eastAsia"/>
                      <w:b/>
                      <w:bCs/>
                    </w:rPr>
                  </w:pPr>
                  <w:r>
                    <w:rPr>
                      <w:rFonts w:hint="eastAsia"/>
                      <w:b/>
                      <w:bCs/>
                    </w:rPr>
                    <w:t>保护内容</w:t>
                  </w:r>
                </w:p>
              </w:tc>
              <w:tc>
                <w:tcPr>
                  <w:tcW w:w="765" w:type="dxa"/>
                  <w:vMerge w:val="restart"/>
                  <w:noWrap w:val="0"/>
                  <w:vAlign w:val="center"/>
                </w:tcPr>
                <w:p>
                  <w:pPr>
                    <w:pStyle w:val="165"/>
                    <w:bidi w:val="0"/>
                    <w:rPr>
                      <w:rFonts w:hint="eastAsia"/>
                      <w:b/>
                      <w:bCs/>
                    </w:rPr>
                  </w:pPr>
                  <w:r>
                    <w:rPr>
                      <w:rFonts w:hint="eastAsia"/>
                      <w:b/>
                      <w:bCs/>
                    </w:rPr>
                    <w:t>环境功能区</w:t>
                  </w:r>
                </w:p>
              </w:tc>
              <w:tc>
                <w:tcPr>
                  <w:tcW w:w="855" w:type="dxa"/>
                  <w:vMerge w:val="restart"/>
                  <w:noWrap w:val="0"/>
                  <w:vAlign w:val="center"/>
                </w:tcPr>
                <w:p>
                  <w:pPr>
                    <w:pStyle w:val="165"/>
                    <w:bidi w:val="0"/>
                    <w:rPr>
                      <w:rFonts w:hint="eastAsia"/>
                      <w:b/>
                      <w:bCs/>
                    </w:rPr>
                  </w:pPr>
                  <w:r>
                    <w:rPr>
                      <w:rFonts w:hint="eastAsia"/>
                      <w:b/>
                      <w:bCs/>
                    </w:rPr>
                    <w:t>相对厂址方位</w:t>
                  </w:r>
                </w:p>
              </w:tc>
              <w:tc>
                <w:tcPr>
                  <w:tcW w:w="885" w:type="dxa"/>
                  <w:vMerge w:val="restart"/>
                  <w:noWrap w:val="0"/>
                  <w:vAlign w:val="center"/>
                </w:tcPr>
                <w:p>
                  <w:pPr>
                    <w:pStyle w:val="165"/>
                    <w:bidi w:val="0"/>
                    <w:rPr>
                      <w:rFonts w:hint="eastAsia"/>
                      <w:b/>
                      <w:bCs/>
                    </w:rPr>
                  </w:pPr>
                  <w:r>
                    <w:rPr>
                      <w:b/>
                      <w:bCs/>
                    </w:rPr>
                    <w:t>相对场界距离（m）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7" w:type="dxa"/>
                  <w:vMerge w:val="continue"/>
                  <w:noWrap w:val="0"/>
                  <w:vAlign w:val="center"/>
                </w:tcPr>
                <w:p>
                  <w:pPr>
                    <w:pStyle w:val="165"/>
                    <w:bidi w:val="0"/>
                    <w:rPr>
                      <w:rFonts w:hint="eastAsia"/>
                    </w:rPr>
                  </w:pPr>
                </w:p>
              </w:tc>
              <w:tc>
                <w:tcPr>
                  <w:tcW w:w="780" w:type="dxa"/>
                  <w:vMerge w:val="continue"/>
                  <w:noWrap w:val="0"/>
                  <w:vAlign w:val="center"/>
                </w:tcPr>
                <w:p>
                  <w:pPr>
                    <w:pStyle w:val="165"/>
                    <w:bidi w:val="0"/>
                    <w:rPr>
                      <w:rFonts w:hint="eastAsia"/>
                    </w:rPr>
                  </w:pPr>
                </w:p>
              </w:tc>
              <w:tc>
                <w:tcPr>
                  <w:tcW w:w="750" w:type="dxa"/>
                  <w:vMerge w:val="continue"/>
                  <w:noWrap w:val="0"/>
                  <w:vAlign w:val="center"/>
                </w:tcPr>
                <w:p>
                  <w:pPr>
                    <w:pStyle w:val="165"/>
                    <w:bidi w:val="0"/>
                    <w:rPr>
                      <w:rFonts w:hint="eastAsia"/>
                    </w:rPr>
                  </w:pPr>
                </w:p>
              </w:tc>
              <w:tc>
                <w:tcPr>
                  <w:tcW w:w="735" w:type="dxa"/>
                  <w:noWrap w:val="0"/>
                  <w:vAlign w:val="center"/>
                </w:tcPr>
                <w:p>
                  <w:pPr>
                    <w:pStyle w:val="165"/>
                    <w:bidi w:val="0"/>
                    <w:rPr>
                      <w:rFonts w:hint="eastAsia"/>
                      <w:b/>
                      <w:bCs/>
                    </w:rPr>
                  </w:pPr>
                  <w:r>
                    <w:rPr>
                      <w:rFonts w:hint="eastAsia"/>
                      <w:b/>
                      <w:bCs/>
                    </w:rPr>
                    <w:t>x</w:t>
                  </w:r>
                </w:p>
              </w:tc>
              <w:tc>
                <w:tcPr>
                  <w:tcW w:w="720" w:type="dxa"/>
                  <w:noWrap w:val="0"/>
                  <w:vAlign w:val="center"/>
                </w:tcPr>
                <w:p>
                  <w:pPr>
                    <w:pStyle w:val="165"/>
                    <w:bidi w:val="0"/>
                    <w:rPr>
                      <w:rFonts w:hint="eastAsia"/>
                      <w:b/>
                      <w:bCs/>
                    </w:rPr>
                  </w:pPr>
                  <w:r>
                    <w:rPr>
                      <w:rFonts w:hint="eastAsia"/>
                      <w:b/>
                      <w:bCs/>
                    </w:rPr>
                    <w:t>y</w:t>
                  </w:r>
                </w:p>
              </w:tc>
              <w:tc>
                <w:tcPr>
                  <w:tcW w:w="1035" w:type="dxa"/>
                  <w:vMerge w:val="continue"/>
                  <w:noWrap w:val="0"/>
                  <w:vAlign w:val="center"/>
                </w:tcPr>
                <w:p>
                  <w:pPr>
                    <w:pStyle w:val="165"/>
                    <w:bidi w:val="0"/>
                    <w:rPr>
                      <w:rFonts w:hint="eastAsia"/>
                    </w:rPr>
                  </w:pPr>
                </w:p>
              </w:tc>
              <w:tc>
                <w:tcPr>
                  <w:tcW w:w="1200" w:type="dxa"/>
                  <w:vMerge w:val="continue"/>
                  <w:noWrap w:val="0"/>
                  <w:vAlign w:val="center"/>
                </w:tcPr>
                <w:p>
                  <w:pPr>
                    <w:pStyle w:val="165"/>
                    <w:bidi w:val="0"/>
                    <w:rPr>
                      <w:rFonts w:hint="eastAsia"/>
                    </w:rPr>
                  </w:pPr>
                </w:p>
              </w:tc>
              <w:tc>
                <w:tcPr>
                  <w:tcW w:w="765" w:type="dxa"/>
                  <w:vMerge w:val="continue"/>
                  <w:noWrap w:val="0"/>
                  <w:vAlign w:val="center"/>
                </w:tcPr>
                <w:p>
                  <w:pPr>
                    <w:pStyle w:val="165"/>
                    <w:bidi w:val="0"/>
                    <w:rPr>
                      <w:rFonts w:hint="eastAsia"/>
                    </w:rPr>
                  </w:pPr>
                </w:p>
              </w:tc>
              <w:tc>
                <w:tcPr>
                  <w:tcW w:w="855" w:type="dxa"/>
                  <w:vMerge w:val="continue"/>
                  <w:noWrap w:val="0"/>
                  <w:vAlign w:val="center"/>
                </w:tcPr>
                <w:p>
                  <w:pPr>
                    <w:pStyle w:val="165"/>
                    <w:bidi w:val="0"/>
                    <w:rPr>
                      <w:rFonts w:hint="eastAsia"/>
                    </w:rPr>
                  </w:pPr>
                </w:p>
              </w:tc>
              <w:tc>
                <w:tcPr>
                  <w:tcW w:w="885" w:type="dxa"/>
                  <w:vMerge w:val="continue"/>
                  <w:noWrap w:val="0"/>
                  <w:vAlign w:val="center"/>
                </w:tcPr>
                <w:p>
                  <w:pPr>
                    <w:pStyle w:val="165"/>
                    <w:bidi w:val="0"/>
                    <w:rPr>
                      <w:rFonts w:hint="eastAsi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547" w:type="dxa"/>
                  <w:noWrap w:val="0"/>
                  <w:vAlign w:val="center"/>
                </w:tcPr>
                <w:p>
                  <w:pPr>
                    <w:pStyle w:val="165"/>
                    <w:bidi w:val="0"/>
                    <w:rPr>
                      <w:rFonts w:hint="eastAsia"/>
                    </w:rPr>
                  </w:pPr>
                  <w:r>
                    <w:rPr>
                      <w:rFonts w:hint="eastAsia"/>
                    </w:rPr>
                    <w:t>1</w:t>
                  </w:r>
                </w:p>
              </w:tc>
              <w:tc>
                <w:tcPr>
                  <w:tcW w:w="780" w:type="dxa"/>
                  <w:vMerge w:val="restart"/>
                  <w:noWrap w:val="0"/>
                  <w:vAlign w:val="center"/>
                </w:tcPr>
                <w:p>
                  <w:pPr>
                    <w:pStyle w:val="165"/>
                    <w:bidi w:val="0"/>
                  </w:pPr>
                  <w:r>
                    <w:rPr>
                      <w:rFonts w:hint="eastAsia"/>
                    </w:rPr>
                    <w:t>厂界外0～50m范围内敏感点</w:t>
                  </w:r>
                </w:p>
              </w:tc>
              <w:tc>
                <w:tcPr>
                  <w:tcW w:w="750" w:type="dxa"/>
                  <w:vMerge w:val="restart"/>
                  <w:noWrap w:val="0"/>
                  <w:vAlign w:val="center"/>
                </w:tcPr>
                <w:p>
                  <w:pPr>
                    <w:pStyle w:val="165"/>
                    <w:bidi w:val="0"/>
                    <w:rPr>
                      <w:rFonts w:hint="eastAsia"/>
                    </w:rPr>
                  </w:pPr>
                  <w:r>
                    <w:rPr>
                      <w:rFonts w:hint="eastAsia"/>
                    </w:rPr>
                    <w:t>周边居民</w:t>
                  </w:r>
                </w:p>
              </w:tc>
              <w:tc>
                <w:tcPr>
                  <w:tcW w:w="735" w:type="dxa"/>
                  <w:noWrap w:val="0"/>
                  <w:vAlign w:val="center"/>
                </w:tcPr>
                <w:p>
                  <w:pPr>
                    <w:pStyle w:val="165"/>
                    <w:bidi w:val="0"/>
                  </w:pPr>
                  <w:r>
                    <w:rPr>
                      <w:rFonts w:hint="eastAsia"/>
                    </w:rPr>
                    <w:t>+29</w:t>
                  </w:r>
                </w:p>
              </w:tc>
              <w:tc>
                <w:tcPr>
                  <w:tcW w:w="720" w:type="dxa"/>
                  <w:noWrap w:val="0"/>
                  <w:vAlign w:val="center"/>
                </w:tcPr>
                <w:p>
                  <w:pPr>
                    <w:pStyle w:val="165"/>
                    <w:bidi w:val="0"/>
                    <w:rPr>
                      <w:rFonts w:hint="eastAsia"/>
                    </w:rPr>
                  </w:pPr>
                  <w:r>
                    <w:rPr>
                      <w:rFonts w:hint="eastAsia"/>
                    </w:rPr>
                    <w:t>0</w:t>
                  </w:r>
                </w:p>
              </w:tc>
              <w:tc>
                <w:tcPr>
                  <w:tcW w:w="1035" w:type="dxa"/>
                  <w:noWrap w:val="0"/>
                  <w:vAlign w:val="center"/>
                </w:tcPr>
                <w:p>
                  <w:pPr>
                    <w:pStyle w:val="165"/>
                    <w:bidi w:val="0"/>
                  </w:pPr>
                  <w:r>
                    <w:rPr>
                      <w:rFonts w:hint="eastAsia"/>
                    </w:rPr>
                    <w:t>居民</w:t>
                  </w:r>
                </w:p>
              </w:tc>
              <w:tc>
                <w:tcPr>
                  <w:tcW w:w="1200" w:type="dxa"/>
                  <w:noWrap w:val="0"/>
                  <w:vAlign w:val="center"/>
                </w:tcPr>
                <w:p>
                  <w:pPr>
                    <w:pStyle w:val="165"/>
                    <w:bidi w:val="0"/>
                    <w:rPr>
                      <w:rFonts w:hint="eastAsia"/>
                    </w:rPr>
                  </w:pPr>
                  <w:r>
                    <w:rPr>
                      <w:rFonts w:hint="eastAsia"/>
                    </w:rPr>
                    <w:t>约8户（约24人）</w:t>
                  </w:r>
                </w:p>
              </w:tc>
              <w:tc>
                <w:tcPr>
                  <w:tcW w:w="765" w:type="dxa"/>
                  <w:vMerge w:val="restart"/>
                  <w:noWrap w:val="0"/>
                  <w:vAlign w:val="center"/>
                </w:tcPr>
                <w:p>
                  <w:pPr>
                    <w:pStyle w:val="165"/>
                    <w:bidi w:val="0"/>
                    <w:rPr>
                      <w:rFonts w:hint="eastAsia"/>
                    </w:rPr>
                  </w:pPr>
                  <w:r>
                    <w:rPr>
                      <w:rFonts w:hint="eastAsia"/>
                    </w:rPr>
                    <w:t>环境空气二类区</w:t>
                  </w:r>
                </w:p>
              </w:tc>
              <w:tc>
                <w:tcPr>
                  <w:tcW w:w="855" w:type="dxa"/>
                  <w:noWrap w:val="0"/>
                  <w:vAlign w:val="center"/>
                </w:tcPr>
                <w:p>
                  <w:pPr>
                    <w:pStyle w:val="165"/>
                    <w:bidi w:val="0"/>
                    <w:rPr>
                      <w:rFonts w:hint="eastAsia"/>
                    </w:rPr>
                  </w:pPr>
                  <w:r>
                    <w:rPr>
                      <w:rFonts w:hint="eastAsia"/>
                    </w:rPr>
                    <w:t>东面</w:t>
                  </w:r>
                </w:p>
              </w:tc>
              <w:tc>
                <w:tcPr>
                  <w:tcW w:w="885" w:type="dxa"/>
                  <w:noWrap w:val="0"/>
                  <w:vAlign w:val="center"/>
                </w:tcPr>
                <w:p>
                  <w:pPr>
                    <w:pStyle w:val="165"/>
                    <w:bidi w:val="0"/>
                  </w:pPr>
                  <w:r>
                    <w:rPr>
                      <w:rFonts w:hint="eastAsia"/>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547" w:type="dxa"/>
                  <w:noWrap w:val="0"/>
                  <w:vAlign w:val="center"/>
                </w:tcPr>
                <w:p>
                  <w:pPr>
                    <w:pStyle w:val="165"/>
                    <w:bidi w:val="0"/>
                    <w:rPr>
                      <w:rFonts w:hint="eastAsia"/>
                    </w:rPr>
                  </w:pPr>
                  <w:r>
                    <w:rPr>
                      <w:rFonts w:hint="eastAsia"/>
                    </w:rPr>
                    <w:t>2</w:t>
                  </w:r>
                </w:p>
              </w:tc>
              <w:tc>
                <w:tcPr>
                  <w:tcW w:w="780" w:type="dxa"/>
                  <w:vMerge w:val="continue"/>
                  <w:noWrap w:val="0"/>
                  <w:vAlign w:val="center"/>
                </w:tcPr>
                <w:p>
                  <w:pPr>
                    <w:pStyle w:val="165"/>
                    <w:bidi w:val="0"/>
                    <w:rPr>
                      <w:rFonts w:hint="eastAsia"/>
                    </w:rPr>
                  </w:pPr>
                </w:p>
              </w:tc>
              <w:tc>
                <w:tcPr>
                  <w:tcW w:w="750" w:type="dxa"/>
                  <w:vMerge w:val="continue"/>
                  <w:noWrap w:val="0"/>
                  <w:vAlign w:val="center"/>
                </w:tcPr>
                <w:p>
                  <w:pPr>
                    <w:pStyle w:val="165"/>
                    <w:bidi w:val="0"/>
                    <w:rPr>
                      <w:rFonts w:hint="eastAsia"/>
                    </w:rPr>
                  </w:pPr>
                </w:p>
              </w:tc>
              <w:tc>
                <w:tcPr>
                  <w:tcW w:w="735" w:type="dxa"/>
                  <w:noWrap w:val="0"/>
                  <w:vAlign w:val="center"/>
                </w:tcPr>
                <w:p>
                  <w:pPr>
                    <w:pStyle w:val="165"/>
                    <w:bidi w:val="0"/>
                  </w:pPr>
                  <w:r>
                    <w:rPr>
                      <w:rFonts w:hint="eastAsia"/>
                    </w:rPr>
                    <w:t>-24</w:t>
                  </w:r>
                </w:p>
              </w:tc>
              <w:tc>
                <w:tcPr>
                  <w:tcW w:w="720" w:type="dxa"/>
                  <w:noWrap w:val="0"/>
                  <w:vAlign w:val="center"/>
                </w:tcPr>
                <w:p>
                  <w:pPr>
                    <w:pStyle w:val="165"/>
                    <w:bidi w:val="0"/>
                    <w:rPr>
                      <w:rFonts w:hint="eastAsia"/>
                    </w:rPr>
                  </w:pPr>
                  <w:r>
                    <w:rPr>
                      <w:rFonts w:hint="eastAsia"/>
                    </w:rPr>
                    <w:t>0</w:t>
                  </w:r>
                </w:p>
              </w:tc>
              <w:tc>
                <w:tcPr>
                  <w:tcW w:w="1035" w:type="dxa"/>
                  <w:noWrap w:val="0"/>
                  <w:vAlign w:val="center"/>
                </w:tcPr>
                <w:p>
                  <w:pPr>
                    <w:pStyle w:val="165"/>
                    <w:bidi w:val="0"/>
                    <w:rPr>
                      <w:rFonts w:hint="eastAsia"/>
                    </w:rPr>
                  </w:pPr>
                  <w:r>
                    <w:rPr>
                      <w:rFonts w:hint="eastAsia"/>
                    </w:rPr>
                    <w:t>居民</w:t>
                  </w:r>
                </w:p>
              </w:tc>
              <w:tc>
                <w:tcPr>
                  <w:tcW w:w="1200" w:type="dxa"/>
                  <w:noWrap w:val="0"/>
                  <w:vAlign w:val="center"/>
                </w:tcPr>
                <w:p>
                  <w:pPr>
                    <w:pStyle w:val="165"/>
                    <w:bidi w:val="0"/>
                  </w:pPr>
                  <w:r>
                    <w:rPr>
                      <w:rFonts w:hint="eastAsia"/>
                    </w:rPr>
                    <w:t>约12户（约36人）</w:t>
                  </w:r>
                </w:p>
              </w:tc>
              <w:tc>
                <w:tcPr>
                  <w:tcW w:w="765" w:type="dxa"/>
                  <w:vMerge w:val="continue"/>
                  <w:noWrap w:val="0"/>
                  <w:vAlign w:val="center"/>
                </w:tcPr>
                <w:p>
                  <w:pPr>
                    <w:pStyle w:val="165"/>
                    <w:bidi w:val="0"/>
                    <w:rPr>
                      <w:rFonts w:hint="eastAsia"/>
                    </w:rPr>
                  </w:pPr>
                </w:p>
              </w:tc>
              <w:tc>
                <w:tcPr>
                  <w:tcW w:w="855" w:type="dxa"/>
                  <w:noWrap w:val="0"/>
                  <w:vAlign w:val="center"/>
                </w:tcPr>
                <w:p>
                  <w:pPr>
                    <w:pStyle w:val="165"/>
                    <w:bidi w:val="0"/>
                    <w:rPr>
                      <w:rFonts w:hint="eastAsia"/>
                    </w:rPr>
                  </w:pPr>
                  <w:r>
                    <w:rPr>
                      <w:rFonts w:hint="eastAsia"/>
                    </w:rPr>
                    <w:t>西面</w:t>
                  </w:r>
                </w:p>
              </w:tc>
              <w:tc>
                <w:tcPr>
                  <w:tcW w:w="885" w:type="dxa"/>
                  <w:noWrap w:val="0"/>
                  <w:vAlign w:val="center"/>
                </w:tcPr>
                <w:p>
                  <w:pPr>
                    <w:pStyle w:val="165"/>
                    <w:bidi w:val="0"/>
                  </w:pPr>
                  <w:r>
                    <w:rPr>
                      <w:rFonts w:hint="eastAsia"/>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547" w:type="dxa"/>
                  <w:noWrap w:val="0"/>
                  <w:vAlign w:val="center"/>
                </w:tcPr>
                <w:p>
                  <w:pPr>
                    <w:pStyle w:val="165"/>
                    <w:bidi w:val="0"/>
                    <w:rPr>
                      <w:rFonts w:hint="eastAsia"/>
                    </w:rPr>
                  </w:pPr>
                  <w:r>
                    <w:rPr>
                      <w:rFonts w:hint="eastAsia"/>
                    </w:rPr>
                    <w:t>3</w:t>
                  </w:r>
                </w:p>
              </w:tc>
              <w:tc>
                <w:tcPr>
                  <w:tcW w:w="780" w:type="dxa"/>
                  <w:vMerge w:val="continue"/>
                  <w:noWrap w:val="0"/>
                  <w:vAlign w:val="center"/>
                </w:tcPr>
                <w:p>
                  <w:pPr>
                    <w:pStyle w:val="165"/>
                    <w:bidi w:val="0"/>
                    <w:rPr>
                      <w:rFonts w:hint="eastAsia"/>
                    </w:rPr>
                  </w:pPr>
                </w:p>
              </w:tc>
              <w:tc>
                <w:tcPr>
                  <w:tcW w:w="750" w:type="dxa"/>
                  <w:vMerge w:val="continue"/>
                  <w:noWrap w:val="0"/>
                  <w:vAlign w:val="center"/>
                </w:tcPr>
                <w:p>
                  <w:pPr>
                    <w:pStyle w:val="165"/>
                    <w:bidi w:val="0"/>
                    <w:rPr>
                      <w:rFonts w:hint="eastAsia"/>
                    </w:rPr>
                  </w:pPr>
                </w:p>
              </w:tc>
              <w:tc>
                <w:tcPr>
                  <w:tcW w:w="735" w:type="dxa"/>
                  <w:noWrap w:val="0"/>
                  <w:vAlign w:val="center"/>
                </w:tcPr>
                <w:p>
                  <w:pPr>
                    <w:pStyle w:val="165"/>
                    <w:bidi w:val="0"/>
                  </w:pPr>
                  <w:r>
                    <w:rPr>
                      <w:rFonts w:hint="eastAsia"/>
                    </w:rPr>
                    <w:t>+14</w:t>
                  </w:r>
                </w:p>
              </w:tc>
              <w:tc>
                <w:tcPr>
                  <w:tcW w:w="720" w:type="dxa"/>
                  <w:noWrap w:val="0"/>
                  <w:vAlign w:val="center"/>
                </w:tcPr>
                <w:p>
                  <w:pPr>
                    <w:pStyle w:val="165"/>
                    <w:bidi w:val="0"/>
                  </w:pPr>
                  <w:r>
                    <w:rPr>
                      <w:rFonts w:hint="eastAsia"/>
                    </w:rPr>
                    <w:t>-23</w:t>
                  </w:r>
                </w:p>
              </w:tc>
              <w:tc>
                <w:tcPr>
                  <w:tcW w:w="1035" w:type="dxa"/>
                  <w:noWrap w:val="0"/>
                  <w:vAlign w:val="center"/>
                </w:tcPr>
                <w:p>
                  <w:pPr>
                    <w:pStyle w:val="165"/>
                    <w:bidi w:val="0"/>
                    <w:rPr>
                      <w:rFonts w:hint="eastAsia"/>
                    </w:rPr>
                  </w:pPr>
                  <w:r>
                    <w:rPr>
                      <w:rFonts w:hint="eastAsia"/>
                    </w:rPr>
                    <w:t>居民</w:t>
                  </w:r>
                </w:p>
              </w:tc>
              <w:tc>
                <w:tcPr>
                  <w:tcW w:w="1200" w:type="dxa"/>
                  <w:noWrap w:val="0"/>
                  <w:vAlign w:val="center"/>
                </w:tcPr>
                <w:p>
                  <w:pPr>
                    <w:pStyle w:val="165"/>
                    <w:bidi w:val="0"/>
                  </w:pPr>
                  <w:r>
                    <w:rPr>
                      <w:rFonts w:hint="eastAsia"/>
                    </w:rPr>
                    <w:t>约1户（约3人）</w:t>
                  </w:r>
                </w:p>
              </w:tc>
              <w:tc>
                <w:tcPr>
                  <w:tcW w:w="765" w:type="dxa"/>
                  <w:vMerge w:val="continue"/>
                  <w:noWrap w:val="0"/>
                  <w:vAlign w:val="center"/>
                </w:tcPr>
                <w:p>
                  <w:pPr>
                    <w:pStyle w:val="165"/>
                    <w:bidi w:val="0"/>
                    <w:rPr>
                      <w:rFonts w:hint="eastAsia"/>
                    </w:rPr>
                  </w:pPr>
                </w:p>
              </w:tc>
              <w:tc>
                <w:tcPr>
                  <w:tcW w:w="855" w:type="dxa"/>
                  <w:noWrap w:val="0"/>
                  <w:vAlign w:val="center"/>
                </w:tcPr>
                <w:p>
                  <w:pPr>
                    <w:pStyle w:val="165"/>
                    <w:bidi w:val="0"/>
                    <w:rPr>
                      <w:rFonts w:hint="eastAsia"/>
                    </w:rPr>
                  </w:pPr>
                  <w:r>
                    <w:rPr>
                      <w:rFonts w:hint="eastAsia"/>
                    </w:rPr>
                    <w:t>东南面</w:t>
                  </w:r>
                </w:p>
              </w:tc>
              <w:tc>
                <w:tcPr>
                  <w:tcW w:w="885" w:type="dxa"/>
                  <w:noWrap w:val="0"/>
                  <w:vAlign w:val="center"/>
                </w:tcPr>
                <w:p>
                  <w:pPr>
                    <w:pStyle w:val="165"/>
                    <w:bidi w:val="0"/>
                    <w:rPr>
                      <w:rFonts w:hint="eastAsia"/>
                    </w:rPr>
                  </w:pPr>
                  <w:r>
                    <w:rPr>
                      <w:rFonts w:hint="eastAsia"/>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547" w:type="dxa"/>
                  <w:noWrap w:val="0"/>
                  <w:vAlign w:val="center"/>
                </w:tcPr>
                <w:p>
                  <w:pPr>
                    <w:pStyle w:val="165"/>
                    <w:bidi w:val="0"/>
                    <w:rPr>
                      <w:rFonts w:hint="eastAsia"/>
                    </w:rPr>
                  </w:pPr>
                  <w:r>
                    <w:rPr>
                      <w:rFonts w:hint="eastAsia"/>
                    </w:rPr>
                    <w:t>4</w:t>
                  </w:r>
                </w:p>
              </w:tc>
              <w:tc>
                <w:tcPr>
                  <w:tcW w:w="780" w:type="dxa"/>
                  <w:vMerge w:val="continue"/>
                  <w:noWrap w:val="0"/>
                  <w:vAlign w:val="center"/>
                </w:tcPr>
                <w:p>
                  <w:pPr>
                    <w:pStyle w:val="165"/>
                    <w:bidi w:val="0"/>
                    <w:rPr>
                      <w:rFonts w:hint="eastAsia"/>
                    </w:rPr>
                  </w:pPr>
                </w:p>
              </w:tc>
              <w:tc>
                <w:tcPr>
                  <w:tcW w:w="750" w:type="dxa"/>
                  <w:vMerge w:val="continue"/>
                  <w:noWrap w:val="0"/>
                  <w:vAlign w:val="center"/>
                </w:tcPr>
                <w:p>
                  <w:pPr>
                    <w:pStyle w:val="165"/>
                    <w:bidi w:val="0"/>
                    <w:rPr>
                      <w:rFonts w:hint="eastAsia"/>
                    </w:rPr>
                  </w:pPr>
                </w:p>
              </w:tc>
              <w:tc>
                <w:tcPr>
                  <w:tcW w:w="735" w:type="dxa"/>
                  <w:noWrap w:val="0"/>
                  <w:vAlign w:val="center"/>
                </w:tcPr>
                <w:p>
                  <w:pPr>
                    <w:pStyle w:val="165"/>
                    <w:bidi w:val="0"/>
                    <w:rPr>
                      <w:rFonts w:hint="eastAsia"/>
                    </w:rPr>
                  </w:pPr>
                  <w:r>
                    <w:rPr>
                      <w:rFonts w:hint="eastAsia"/>
                    </w:rPr>
                    <w:t>0</w:t>
                  </w:r>
                </w:p>
              </w:tc>
              <w:tc>
                <w:tcPr>
                  <w:tcW w:w="720" w:type="dxa"/>
                  <w:noWrap w:val="0"/>
                  <w:vAlign w:val="center"/>
                </w:tcPr>
                <w:p>
                  <w:pPr>
                    <w:pStyle w:val="165"/>
                    <w:bidi w:val="0"/>
                  </w:pPr>
                  <w:r>
                    <w:rPr>
                      <w:rFonts w:hint="eastAsia"/>
                    </w:rPr>
                    <w:t>+40</w:t>
                  </w:r>
                </w:p>
              </w:tc>
              <w:tc>
                <w:tcPr>
                  <w:tcW w:w="1035" w:type="dxa"/>
                  <w:noWrap w:val="0"/>
                  <w:vAlign w:val="center"/>
                </w:tcPr>
                <w:p>
                  <w:pPr>
                    <w:pStyle w:val="165"/>
                    <w:bidi w:val="0"/>
                    <w:rPr>
                      <w:rFonts w:hint="eastAsia"/>
                    </w:rPr>
                  </w:pPr>
                  <w:r>
                    <w:rPr>
                      <w:rFonts w:hint="eastAsia"/>
                    </w:rPr>
                    <w:t>居民</w:t>
                  </w:r>
                </w:p>
              </w:tc>
              <w:tc>
                <w:tcPr>
                  <w:tcW w:w="1200" w:type="dxa"/>
                  <w:noWrap w:val="0"/>
                  <w:vAlign w:val="center"/>
                </w:tcPr>
                <w:p>
                  <w:pPr>
                    <w:pStyle w:val="165"/>
                    <w:bidi w:val="0"/>
                    <w:rPr>
                      <w:rFonts w:hint="eastAsia"/>
                    </w:rPr>
                  </w:pPr>
                  <w:r>
                    <w:rPr>
                      <w:rFonts w:hint="eastAsia"/>
                    </w:rPr>
                    <w:t>约2户（约6人）</w:t>
                  </w:r>
                </w:p>
              </w:tc>
              <w:tc>
                <w:tcPr>
                  <w:tcW w:w="765" w:type="dxa"/>
                  <w:vMerge w:val="continue"/>
                  <w:noWrap w:val="0"/>
                  <w:vAlign w:val="center"/>
                </w:tcPr>
                <w:p>
                  <w:pPr>
                    <w:pStyle w:val="165"/>
                    <w:bidi w:val="0"/>
                    <w:rPr>
                      <w:rFonts w:hint="eastAsia"/>
                    </w:rPr>
                  </w:pPr>
                </w:p>
              </w:tc>
              <w:tc>
                <w:tcPr>
                  <w:tcW w:w="855" w:type="dxa"/>
                  <w:noWrap w:val="0"/>
                  <w:vAlign w:val="center"/>
                </w:tcPr>
                <w:p>
                  <w:pPr>
                    <w:pStyle w:val="165"/>
                    <w:bidi w:val="0"/>
                    <w:rPr>
                      <w:rFonts w:hint="eastAsia"/>
                    </w:rPr>
                  </w:pPr>
                  <w:r>
                    <w:rPr>
                      <w:rFonts w:hint="eastAsia"/>
                    </w:rPr>
                    <w:t>北面</w:t>
                  </w:r>
                </w:p>
              </w:tc>
              <w:tc>
                <w:tcPr>
                  <w:tcW w:w="885" w:type="dxa"/>
                  <w:noWrap w:val="0"/>
                  <w:vAlign w:val="center"/>
                </w:tcPr>
                <w:p>
                  <w:pPr>
                    <w:pStyle w:val="165"/>
                    <w:bidi w:val="0"/>
                    <w:rPr>
                      <w:rFonts w:hint="eastAsia"/>
                    </w:rPr>
                  </w:pPr>
                  <w:r>
                    <w:rPr>
                      <w:rFonts w:hint="eastAsia"/>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547" w:type="dxa"/>
                  <w:noWrap w:val="0"/>
                  <w:vAlign w:val="center"/>
                </w:tcPr>
                <w:p>
                  <w:pPr>
                    <w:pStyle w:val="165"/>
                    <w:bidi w:val="0"/>
                    <w:rPr>
                      <w:rFonts w:hint="eastAsia"/>
                    </w:rPr>
                  </w:pPr>
                  <w:r>
                    <w:rPr>
                      <w:rFonts w:hint="eastAsia"/>
                    </w:rPr>
                    <w:t>5</w:t>
                  </w:r>
                </w:p>
              </w:tc>
              <w:tc>
                <w:tcPr>
                  <w:tcW w:w="780" w:type="dxa"/>
                  <w:vMerge w:val="restart"/>
                  <w:noWrap w:val="0"/>
                  <w:vAlign w:val="center"/>
                </w:tcPr>
                <w:p>
                  <w:pPr>
                    <w:pStyle w:val="165"/>
                    <w:bidi w:val="0"/>
                  </w:pPr>
                  <w:r>
                    <w:rPr>
                      <w:rFonts w:hint="eastAsia"/>
                    </w:rPr>
                    <w:t>厂界外50～500m范围内敏感点</w:t>
                  </w:r>
                </w:p>
              </w:tc>
              <w:tc>
                <w:tcPr>
                  <w:tcW w:w="750" w:type="dxa"/>
                  <w:vMerge w:val="restart"/>
                  <w:noWrap w:val="0"/>
                  <w:vAlign w:val="center"/>
                </w:tcPr>
                <w:p>
                  <w:pPr>
                    <w:pStyle w:val="165"/>
                    <w:bidi w:val="0"/>
                    <w:rPr>
                      <w:rFonts w:hint="eastAsia"/>
                    </w:rPr>
                  </w:pPr>
                  <w:r>
                    <w:rPr>
                      <w:rFonts w:hint="eastAsia"/>
                    </w:rPr>
                    <w:t>周边村镇</w:t>
                  </w:r>
                </w:p>
              </w:tc>
              <w:tc>
                <w:tcPr>
                  <w:tcW w:w="735" w:type="dxa"/>
                  <w:noWrap w:val="0"/>
                  <w:vAlign w:val="center"/>
                </w:tcPr>
                <w:p>
                  <w:pPr>
                    <w:pStyle w:val="165"/>
                    <w:bidi w:val="0"/>
                  </w:pPr>
                  <w:r>
                    <w:rPr>
                      <w:rFonts w:hint="eastAsia"/>
                    </w:rPr>
                    <w:t>-50</w:t>
                  </w:r>
                </w:p>
              </w:tc>
              <w:tc>
                <w:tcPr>
                  <w:tcW w:w="720" w:type="dxa"/>
                  <w:noWrap w:val="0"/>
                  <w:vAlign w:val="center"/>
                </w:tcPr>
                <w:p>
                  <w:pPr>
                    <w:pStyle w:val="165"/>
                    <w:bidi w:val="0"/>
                    <w:rPr>
                      <w:rFonts w:hint="eastAsia"/>
                    </w:rPr>
                  </w:pPr>
                  <w:r>
                    <w:rPr>
                      <w:rFonts w:hint="eastAsia"/>
                    </w:rPr>
                    <w:t>0</w:t>
                  </w:r>
                </w:p>
              </w:tc>
              <w:tc>
                <w:tcPr>
                  <w:tcW w:w="1035" w:type="dxa"/>
                  <w:noWrap w:val="0"/>
                  <w:vAlign w:val="center"/>
                </w:tcPr>
                <w:p>
                  <w:pPr>
                    <w:pStyle w:val="165"/>
                    <w:bidi w:val="0"/>
                    <w:rPr>
                      <w:rFonts w:hint="eastAsia"/>
                    </w:rPr>
                  </w:pPr>
                  <w:r>
                    <w:rPr>
                      <w:rFonts w:hint="eastAsia"/>
                    </w:rPr>
                    <w:t>徐月村</w:t>
                  </w:r>
                </w:p>
              </w:tc>
              <w:tc>
                <w:tcPr>
                  <w:tcW w:w="1200" w:type="dxa"/>
                  <w:noWrap w:val="0"/>
                  <w:vAlign w:val="center"/>
                </w:tcPr>
                <w:p>
                  <w:pPr>
                    <w:pStyle w:val="165"/>
                    <w:bidi w:val="0"/>
                  </w:pPr>
                  <w:r>
                    <w:rPr>
                      <w:rFonts w:hint="eastAsia"/>
                    </w:rPr>
                    <w:t>约500人</w:t>
                  </w:r>
                </w:p>
              </w:tc>
              <w:tc>
                <w:tcPr>
                  <w:tcW w:w="765" w:type="dxa"/>
                  <w:vMerge w:val="restart"/>
                  <w:noWrap w:val="0"/>
                  <w:vAlign w:val="center"/>
                </w:tcPr>
                <w:p>
                  <w:pPr>
                    <w:pStyle w:val="165"/>
                    <w:bidi w:val="0"/>
                    <w:rPr>
                      <w:rFonts w:hint="eastAsia"/>
                    </w:rPr>
                  </w:pPr>
                  <w:r>
                    <w:rPr>
                      <w:rFonts w:hint="eastAsia"/>
                    </w:rPr>
                    <w:t>环境空气二类区</w:t>
                  </w:r>
                </w:p>
              </w:tc>
              <w:tc>
                <w:tcPr>
                  <w:tcW w:w="855" w:type="dxa"/>
                  <w:noWrap w:val="0"/>
                  <w:vAlign w:val="center"/>
                </w:tcPr>
                <w:p>
                  <w:pPr>
                    <w:pStyle w:val="165"/>
                    <w:bidi w:val="0"/>
                    <w:rPr>
                      <w:rFonts w:hint="eastAsia"/>
                    </w:rPr>
                  </w:pPr>
                  <w:r>
                    <w:rPr>
                      <w:rFonts w:hint="eastAsia"/>
                    </w:rPr>
                    <w:t>西面</w:t>
                  </w:r>
                </w:p>
              </w:tc>
              <w:tc>
                <w:tcPr>
                  <w:tcW w:w="885" w:type="dxa"/>
                  <w:noWrap w:val="0"/>
                  <w:vAlign w:val="center"/>
                </w:tcPr>
                <w:p>
                  <w:pPr>
                    <w:pStyle w:val="165"/>
                    <w:bidi w:val="0"/>
                  </w:pPr>
                  <w:r>
                    <w:rPr>
                      <w:rFonts w:hint="eastAsia"/>
                    </w:rPr>
                    <w:t>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7" w:type="dxa"/>
                  <w:noWrap w:val="0"/>
                  <w:vAlign w:val="center"/>
                </w:tcPr>
                <w:p>
                  <w:pPr>
                    <w:pStyle w:val="165"/>
                    <w:bidi w:val="0"/>
                    <w:rPr>
                      <w:rFonts w:hint="eastAsia"/>
                    </w:rPr>
                  </w:pPr>
                  <w:r>
                    <w:rPr>
                      <w:rFonts w:hint="eastAsia"/>
                    </w:rPr>
                    <w:t>6</w:t>
                  </w:r>
                </w:p>
              </w:tc>
              <w:tc>
                <w:tcPr>
                  <w:tcW w:w="780" w:type="dxa"/>
                  <w:vMerge w:val="continue"/>
                  <w:noWrap w:val="0"/>
                  <w:vAlign w:val="center"/>
                </w:tcPr>
                <w:p>
                  <w:pPr>
                    <w:pStyle w:val="165"/>
                    <w:bidi w:val="0"/>
                    <w:rPr>
                      <w:rFonts w:hint="eastAsia"/>
                    </w:rPr>
                  </w:pPr>
                </w:p>
              </w:tc>
              <w:tc>
                <w:tcPr>
                  <w:tcW w:w="750" w:type="dxa"/>
                  <w:vMerge w:val="continue"/>
                  <w:noWrap w:val="0"/>
                  <w:vAlign w:val="center"/>
                </w:tcPr>
                <w:p>
                  <w:pPr>
                    <w:pStyle w:val="165"/>
                    <w:bidi w:val="0"/>
                    <w:rPr>
                      <w:rFonts w:hint="eastAsia"/>
                    </w:rPr>
                  </w:pPr>
                </w:p>
              </w:tc>
              <w:tc>
                <w:tcPr>
                  <w:tcW w:w="735" w:type="dxa"/>
                  <w:noWrap w:val="0"/>
                  <w:vAlign w:val="center"/>
                </w:tcPr>
                <w:p>
                  <w:pPr>
                    <w:pStyle w:val="165"/>
                    <w:bidi w:val="0"/>
                    <w:rPr>
                      <w:rFonts w:hint="eastAsia"/>
                    </w:rPr>
                  </w:pPr>
                  <w:r>
                    <w:rPr>
                      <w:rFonts w:hint="eastAsia"/>
                    </w:rPr>
                    <w:t>0</w:t>
                  </w:r>
                </w:p>
              </w:tc>
              <w:tc>
                <w:tcPr>
                  <w:tcW w:w="720" w:type="dxa"/>
                  <w:noWrap w:val="0"/>
                  <w:vAlign w:val="center"/>
                </w:tcPr>
                <w:p>
                  <w:pPr>
                    <w:pStyle w:val="165"/>
                    <w:bidi w:val="0"/>
                  </w:pPr>
                  <w:r>
                    <w:rPr>
                      <w:rFonts w:hint="eastAsia"/>
                    </w:rPr>
                    <w:t>-62</w:t>
                  </w:r>
                </w:p>
              </w:tc>
              <w:tc>
                <w:tcPr>
                  <w:tcW w:w="1035" w:type="dxa"/>
                  <w:noWrap w:val="0"/>
                  <w:vAlign w:val="center"/>
                </w:tcPr>
                <w:p>
                  <w:pPr>
                    <w:pStyle w:val="165"/>
                    <w:bidi w:val="0"/>
                    <w:rPr>
                      <w:rFonts w:hint="eastAsia"/>
                    </w:rPr>
                  </w:pPr>
                  <w:r>
                    <w:rPr>
                      <w:rFonts w:hint="eastAsia"/>
                    </w:rPr>
                    <w:t>徐月村</w:t>
                  </w:r>
                </w:p>
              </w:tc>
              <w:tc>
                <w:tcPr>
                  <w:tcW w:w="1200" w:type="dxa"/>
                  <w:noWrap w:val="0"/>
                  <w:vAlign w:val="center"/>
                </w:tcPr>
                <w:p>
                  <w:pPr>
                    <w:pStyle w:val="165"/>
                    <w:bidi w:val="0"/>
                  </w:pPr>
                  <w:r>
                    <w:rPr>
                      <w:rFonts w:hint="eastAsia"/>
                    </w:rPr>
                    <w:t>约45人</w:t>
                  </w:r>
                </w:p>
              </w:tc>
              <w:tc>
                <w:tcPr>
                  <w:tcW w:w="765" w:type="dxa"/>
                  <w:vMerge w:val="continue"/>
                  <w:noWrap w:val="0"/>
                  <w:vAlign w:val="center"/>
                </w:tcPr>
                <w:p>
                  <w:pPr>
                    <w:pStyle w:val="165"/>
                    <w:bidi w:val="0"/>
                    <w:rPr>
                      <w:rFonts w:hint="eastAsia"/>
                    </w:rPr>
                  </w:pPr>
                </w:p>
              </w:tc>
              <w:tc>
                <w:tcPr>
                  <w:tcW w:w="855" w:type="dxa"/>
                  <w:noWrap w:val="0"/>
                  <w:vAlign w:val="center"/>
                </w:tcPr>
                <w:p>
                  <w:pPr>
                    <w:pStyle w:val="165"/>
                    <w:bidi w:val="0"/>
                    <w:rPr>
                      <w:rFonts w:hint="eastAsia"/>
                    </w:rPr>
                  </w:pPr>
                  <w:r>
                    <w:rPr>
                      <w:rFonts w:hint="eastAsia"/>
                    </w:rPr>
                    <w:t>南面</w:t>
                  </w:r>
                </w:p>
              </w:tc>
              <w:tc>
                <w:tcPr>
                  <w:tcW w:w="885" w:type="dxa"/>
                  <w:noWrap w:val="0"/>
                  <w:vAlign w:val="center"/>
                </w:tcPr>
                <w:p>
                  <w:pPr>
                    <w:pStyle w:val="165"/>
                    <w:bidi w:val="0"/>
                  </w:pPr>
                  <w:r>
                    <w:rPr>
                      <w:rFonts w:hint="eastAsia"/>
                    </w:rPr>
                    <w:t>62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7" w:type="dxa"/>
                  <w:noWrap w:val="0"/>
                  <w:vAlign w:val="center"/>
                </w:tcPr>
                <w:p>
                  <w:pPr>
                    <w:pStyle w:val="165"/>
                    <w:bidi w:val="0"/>
                    <w:rPr>
                      <w:rFonts w:hint="eastAsia"/>
                    </w:rPr>
                  </w:pPr>
                  <w:r>
                    <w:rPr>
                      <w:rFonts w:hint="eastAsia"/>
                    </w:rPr>
                    <w:t>7</w:t>
                  </w:r>
                </w:p>
              </w:tc>
              <w:tc>
                <w:tcPr>
                  <w:tcW w:w="780" w:type="dxa"/>
                  <w:vMerge w:val="continue"/>
                  <w:noWrap w:val="0"/>
                  <w:vAlign w:val="center"/>
                </w:tcPr>
                <w:p>
                  <w:pPr>
                    <w:pStyle w:val="165"/>
                    <w:bidi w:val="0"/>
                    <w:rPr>
                      <w:rFonts w:hint="eastAsia"/>
                    </w:rPr>
                  </w:pPr>
                </w:p>
              </w:tc>
              <w:tc>
                <w:tcPr>
                  <w:tcW w:w="750" w:type="dxa"/>
                  <w:vMerge w:val="continue"/>
                  <w:noWrap w:val="0"/>
                  <w:vAlign w:val="center"/>
                </w:tcPr>
                <w:p>
                  <w:pPr>
                    <w:pStyle w:val="165"/>
                    <w:bidi w:val="0"/>
                    <w:rPr>
                      <w:rFonts w:hint="eastAsia"/>
                    </w:rPr>
                  </w:pPr>
                </w:p>
              </w:tc>
              <w:tc>
                <w:tcPr>
                  <w:tcW w:w="735" w:type="dxa"/>
                  <w:noWrap w:val="0"/>
                  <w:vAlign w:val="center"/>
                </w:tcPr>
                <w:p>
                  <w:pPr>
                    <w:pStyle w:val="165"/>
                    <w:bidi w:val="0"/>
                  </w:pPr>
                  <w:r>
                    <w:rPr>
                      <w:rFonts w:hint="eastAsia"/>
                    </w:rPr>
                    <w:t>+50</w:t>
                  </w:r>
                </w:p>
              </w:tc>
              <w:tc>
                <w:tcPr>
                  <w:tcW w:w="720" w:type="dxa"/>
                  <w:noWrap w:val="0"/>
                  <w:vAlign w:val="center"/>
                </w:tcPr>
                <w:p>
                  <w:pPr>
                    <w:pStyle w:val="165"/>
                    <w:bidi w:val="0"/>
                  </w:pPr>
                  <w:r>
                    <w:rPr>
                      <w:rFonts w:hint="eastAsia"/>
                    </w:rPr>
                    <w:t>0</w:t>
                  </w:r>
                </w:p>
              </w:tc>
              <w:tc>
                <w:tcPr>
                  <w:tcW w:w="1035" w:type="dxa"/>
                  <w:noWrap w:val="0"/>
                  <w:vAlign w:val="center"/>
                </w:tcPr>
                <w:p>
                  <w:pPr>
                    <w:pStyle w:val="165"/>
                    <w:bidi w:val="0"/>
                  </w:pPr>
                  <w:r>
                    <w:rPr>
                      <w:rFonts w:hint="eastAsia"/>
                    </w:rPr>
                    <w:t>徐月村</w:t>
                  </w:r>
                </w:p>
              </w:tc>
              <w:tc>
                <w:tcPr>
                  <w:tcW w:w="1200" w:type="dxa"/>
                  <w:noWrap w:val="0"/>
                  <w:vAlign w:val="center"/>
                </w:tcPr>
                <w:p>
                  <w:pPr>
                    <w:pStyle w:val="165"/>
                    <w:bidi w:val="0"/>
                  </w:pPr>
                  <w:r>
                    <w:rPr>
                      <w:rFonts w:hint="eastAsia"/>
                    </w:rPr>
                    <w:t>约500人</w:t>
                  </w:r>
                </w:p>
              </w:tc>
              <w:tc>
                <w:tcPr>
                  <w:tcW w:w="765" w:type="dxa"/>
                  <w:vMerge w:val="continue"/>
                  <w:noWrap w:val="0"/>
                  <w:vAlign w:val="center"/>
                </w:tcPr>
                <w:p>
                  <w:pPr>
                    <w:pStyle w:val="165"/>
                    <w:bidi w:val="0"/>
                    <w:rPr>
                      <w:rFonts w:hint="eastAsia"/>
                    </w:rPr>
                  </w:pPr>
                </w:p>
              </w:tc>
              <w:tc>
                <w:tcPr>
                  <w:tcW w:w="855" w:type="dxa"/>
                  <w:noWrap w:val="0"/>
                  <w:vAlign w:val="center"/>
                </w:tcPr>
                <w:p>
                  <w:pPr>
                    <w:pStyle w:val="165"/>
                    <w:bidi w:val="0"/>
                    <w:rPr>
                      <w:rFonts w:hint="eastAsia"/>
                    </w:rPr>
                  </w:pPr>
                  <w:r>
                    <w:rPr>
                      <w:rFonts w:hint="eastAsia"/>
                    </w:rPr>
                    <w:t>东面</w:t>
                  </w:r>
                </w:p>
              </w:tc>
              <w:tc>
                <w:tcPr>
                  <w:tcW w:w="885" w:type="dxa"/>
                  <w:noWrap w:val="0"/>
                  <w:vAlign w:val="center"/>
                </w:tcPr>
                <w:p>
                  <w:pPr>
                    <w:pStyle w:val="165"/>
                    <w:bidi w:val="0"/>
                  </w:pPr>
                  <w:r>
                    <w:rPr>
                      <w:rFonts w:hint="eastAsia"/>
                    </w:rPr>
                    <w:t>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7" w:type="dxa"/>
                  <w:noWrap w:val="0"/>
                  <w:vAlign w:val="center"/>
                </w:tcPr>
                <w:p>
                  <w:pPr>
                    <w:pStyle w:val="165"/>
                    <w:bidi w:val="0"/>
                    <w:rPr>
                      <w:rFonts w:hint="eastAsia"/>
                    </w:rPr>
                  </w:pPr>
                  <w:r>
                    <w:rPr>
                      <w:rFonts w:hint="eastAsia"/>
                    </w:rPr>
                    <w:t>8</w:t>
                  </w:r>
                </w:p>
              </w:tc>
              <w:tc>
                <w:tcPr>
                  <w:tcW w:w="780" w:type="dxa"/>
                  <w:vMerge w:val="continue"/>
                  <w:noWrap w:val="0"/>
                  <w:vAlign w:val="center"/>
                </w:tcPr>
                <w:p>
                  <w:pPr>
                    <w:pStyle w:val="165"/>
                    <w:bidi w:val="0"/>
                    <w:rPr>
                      <w:rFonts w:hint="eastAsia"/>
                    </w:rPr>
                  </w:pPr>
                </w:p>
              </w:tc>
              <w:tc>
                <w:tcPr>
                  <w:tcW w:w="750" w:type="dxa"/>
                  <w:vMerge w:val="continue"/>
                  <w:noWrap w:val="0"/>
                  <w:vAlign w:val="center"/>
                </w:tcPr>
                <w:p>
                  <w:pPr>
                    <w:pStyle w:val="165"/>
                    <w:bidi w:val="0"/>
                    <w:rPr>
                      <w:rFonts w:hint="eastAsia"/>
                    </w:rPr>
                  </w:pPr>
                </w:p>
              </w:tc>
              <w:tc>
                <w:tcPr>
                  <w:tcW w:w="735" w:type="dxa"/>
                  <w:noWrap w:val="0"/>
                  <w:vAlign w:val="center"/>
                </w:tcPr>
                <w:p>
                  <w:pPr>
                    <w:pStyle w:val="165"/>
                    <w:bidi w:val="0"/>
                  </w:pPr>
                  <w:r>
                    <w:rPr>
                      <w:rFonts w:hint="eastAsia"/>
                    </w:rPr>
                    <w:t>0</w:t>
                  </w:r>
                </w:p>
              </w:tc>
              <w:tc>
                <w:tcPr>
                  <w:tcW w:w="720" w:type="dxa"/>
                  <w:noWrap w:val="0"/>
                  <w:vAlign w:val="center"/>
                </w:tcPr>
                <w:p>
                  <w:pPr>
                    <w:pStyle w:val="165"/>
                    <w:bidi w:val="0"/>
                  </w:pPr>
                  <w:r>
                    <w:rPr>
                      <w:rFonts w:hint="eastAsia"/>
                    </w:rPr>
                    <w:t>+50</w:t>
                  </w:r>
                </w:p>
              </w:tc>
              <w:tc>
                <w:tcPr>
                  <w:tcW w:w="1035" w:type="dxa"/>
                  <w:noWrap w:val="0"/>
                  <w:vAlign w:val="center"/>
                </w:tcPr>
                <w:p>
                  <w:pPr>
                    <w:pStyle w:val="165"/>
                    <w:bidi w:val="0"/>
                    <w:rPr>
                      <w:rFonts w:hint="eastAsia"/>
                    </w:rPr>
                  </w:pPr>
                  <w:r>
                    <w:rPr>
                      <w:rFonts w:hint="eastAsia"/>
                    </w:rPr>
                    <w:t>散户</w:t>
                  </w:r>
                </w:p>
              </w:tc>
              <w:tc>
                <w:tcPr>
                  <w:tcW w:w="1200" w:type="dxa"/>
                  <w:noWrap w:val="0"/>
                  <w:vAlign w:val="center"/>
                </w:tcPr>
                <w:p>
                  <w:pPr>
                    <w:pStyle w:val="165"/>
                    <w:bidi w:val="0"/>
                  </w:pPr>
                  <w:r>
                    <w:rPr>
                      <w:rFonts w:hint="eastAsia"/>
                    </w:rPr>
                    <w:t>约10人</w:t>
                  </w:r>
                </w:p>
              </w:tc>
              <w:tc>
                <w:tcPr>
                  <w:tcW w:w="765" w:type="dxa"/>
                  <w:vMerge w:val="continue"/>
                  <w:noWrap w:val="0"/>
                  <w:vAlign w:val="center"/>
                </w:tcPr>
                <w:p>
                  <w:pPr>
                    <w:pStyle w:val="165"/>
                    <w:bidi w:val="0"/>
                    <w:rPr>
                      <w:rFonts w:hint="eastAsia"/>
                    </w:rPr>
                  </w:pPr>
                </w:p>
              </w:tc>
              <w:tc>
                <w:tcPr>
                  <w:tcW w:w="855" w:type="dxa"/>
                  <w:noWrap w:val="0"/>
                  <w:vAlign w:val="center"/>
                </w:tcPr>
                <w:p>
                  <w:pPr>
                    <w:pStyle w:val="165"/>
                    <w:bidi w:val="0"/>
                    <w:rPr>
                      <w:rFonts w:hint="eastAsia"/>
                    </w:rPr>
                  </w:pPr>
                  <w:r>
                    <w:rPr>
                      <w:rFonts w:hint="eastAsia"/>
                    </w:rPr>
                    <w:t>北面</w:t>
                  </w:r>
                </w:p>
              </w:tc>
              <w:tc>
                <w:tcPr>
                  <w:tcW w:w="885" w:type="dxa"/>
                  <w:noWrap w:val="0"/>
                  <w:vAlign w:val="center"/>
                </w:tcPr>
                <w:p>
                  <w:pPr>
                    <w:pStyle w:val="165"/>
                    <w:bidi w:val="0"/>
                  </w:pPr>
                  <w:r>
                    <w:rPr>
                      <w:rFonts w:hint="eastAsia"/>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7" w:type="dxa"/>
                  <w:noWrap w:val="0"/>
                  <w:vAlign w:val="center"/>
                </w:tcPr>
                <w:p>
                  <w:pPr>
                    <w:pStyle w:val="165"/>
                    <w:bidi w:val="0"/>
                    <w:rPr>
                      <w:rFonts w:hint="eastAsia"/>
                    </w:rPr>
                  </w:pPr>
                  <w:r>
                    <w:rPr>
                      <w:rFonts w:hint="eastAsia"/>
                    </w:rPr>
                    <w:t>9</w:t>
                  </w:r>
                </w:p>
              </w:tc>
              <w:tc>
                <w:tcPr>
                  <w:tcW w:w="780" w:type="dxa"/>
                  <w:vMerge w:val="continue"/>
                  <w:noWrap w:val="0"/>
                  <w:vAlign w:val="center"/>
                </w:tcPr>
                <w:p>
                  <w:pPr>
                    <w:pStyle w:val="165"/>
                    <w:bidi w:val="0"/>
                    <w:rPr>
                      <w:rFonts w:hint="eastAsia"/>
                    </w:rPr>
                  </w:pPr>
                </w:p>
              </w:tc>
              <w:tc>
                <w:tcPr>
                  <w:tcW w:w="750" w:type="dxa"/>
                  <w:vMerge w:val="continue"/>
                  <w:noWrap w:val="0"/>
                  <w:vAlign w:val="center"/>
                </w:tcPr>
                <w:p>
                  <w:pPr>
                    <w:pStyle w:val="165"/>
                    <w:bidi w:val="0"/>
                    <w:rPr>
                      <w:rFonts w:hint="eastAsia"/>
                    </w:rPr>
                  </w:pPr>
                </w:p>
              </w:tc>
              <w:tc>
                <w:tcPr>
                  <w:tcW w:w="735" w:type="dxa"/>
                  <w:noWrap w:val="0"/>
                  <w:vAlign w:val="center"/>
                </w:tcPr>
                <w:p>
                  <w:pPr>
                    <w:pStyle w:val="165"/>
                    <w:bidi w:val="0"/>
                  </w:pPr>
                  <w:r>
                    <w:rPr>
                      <w:rFonts w:hint="eastAsia"/>
                    </w:rPr>
                    <w:t>0</w:t>
                  </w:r>
                </w:p>
              </w:tc>
              <w:tc>
                <w:tcPr>
                  <w:tcW w:w="720" w:type="dxa"/>
                  <w:noWrap w:val="0"/>
                  <w:vAlign w:val="center"/>
                </w:tcPr>
                <w:p>
                  <w:pPr>
                    <w:pStyle w:val="165"/>
                    <w:bidi w:val="0"/>
                    <w:rPr>
                      <w:rFonts w:hint="eastAsia"/>
                    </w:rPr>
                  </w:pPr>
                  <w:r>
                    <w:rPr>
                      <w:rFonts w:hint="eastAsia"/>
                    </w:rPr>
                    <w:t>+170</w:t>
                  </w:r>
                </w:p>
              </w:tc>
              <w:tc>
                <w:tcPr>
                  <w:tcW w:w="1035" w:type="dxa"/>
                  <w:noWrap w:val="0"/>
                  <w:vAlign w:val="center"/>
                </w:tcPr>
                <w:p>
                  <w:pPr>
                    <w:pStyle w:val="165"/>
                    <w:bidi w:val="0"/>
                    <w:rPr>
                      <w:rFonts w:hint="eastAsia"/>
                    </w:rPr>
                  </w:pPr>
                  <w:r>
                    <w:rPr>
                      <w:rFonts w:hint="eastAsia"/>
                    </w:rPr>
                    <w:t>散户</w:t>
                  </w:r>
                </w:p>
              </w:tc>
              <w:tc>
                <w:tcPr>
                  <w:tcW w:w="1200" w:type="dxa"/>
                  <w:noWrap w:val="0"/>
                  <w:vAlign w:val="center"/>
                </w:tcPr>
                <w:p>
                  <w:pPr>
                    <w:pStyle w:val="165"/>
                    <w:bidi w:val="0"/>
                  </w:pPr>
                  <w:r>
                    <w:rPr>
                      <w:rFonts w:hint="eastAsia"/>
                    </w:rPr>
                    <w:t>约21人</w:t>
                  </w:r>
                </w:p>
              </w:tc>
              <w:tc>
                <w:tcPr>
                  <w:tcW w:w="765" w:type="dxa"/>
                  <w:vMerge w:val="continue"/>
                  <w:noWrap w:val="0"/>
                  <w:vAlign w:val="center"/>
                </w:tcPr>
                <w:p>
                  <w:pPr>
                    <w:pStyle w:val="165"/>
                    <w:bidi w:val="0"/>
                    <w:rPr>
                      <w:rFonts w:hint="eastAsia"/>
                    </w:rPr>
                  </w:pPr>
                </w:p>
              </w:tc>
              <w:tc>
                <w:tcPr>
                  <w:tcW w:w="855" w:type="dxa"/>
                  <w:noWrap w:val="0"/>
                  <w:vAlign w:val="center"/>
                </w:tcPr>
                <w:p>
                  <w:pPr>
                    <w:pStyle w:val="165"/>
                    <w:bidi w:val="0"/>
                    <w:rPr>
                      <w:rFonts w:hint="eastAsia"/>
                    </w:rPr>
                  </w:pPr>
                  <w:r>
                    <w:rPr>
                      <w:rFonts w:hint="eastAsia"/>
                    </w:rPr>
                    <w:t>北面</w:t>
                  </w:r>
                </w:p>
              </w:tc>
              <w:tc>
                <w:tcPr>
                  <w:tcW w:w="885" w:type="dxa"/>
                  <w:noWrap w:val="0"/>
                  <w:vAlign w:val="center"/>
                </w:tcPr>
                <w:p>
                  <w:pPr>
                    <w:pStyle w:val="165"/>
                    <w:bidi w:val="0"/>
                  </w:pPr>
                  <w:r>
                    <w:rPr>
                      <w:rFonts w:hint="eastAsia"/>
                    </w:rPr>
                    <w:t>137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7" w:type="dxa"/>
                  <w:noWrap w:val="0"/>
                  <w:vAlign w:val="center"/>
                </w:tcPr>
                <w:p>
                  <w:pPr>
                    <w:pStyle w:val="165"/>
                    <w:bidi w:val="0"/>
                  </w:pPr>
                  <w:r>
                    <w:rPr>
                      <w:rFonts w:hint="eastAsia"/>
                    </w:rPr>
                    <w:t>10</w:t>
                  </w:r>
                </w:p>
              </w:tc>
              <w:tc>
                <w:tcPr>
                  <w:tcW w:w="780" w:type="dxa"/>
                  <w:vMerge w:val="continue"/>
                  <w:noWrap w:val="0"/>
                  <w:vAlign w:val="center"/>
                </w:tcPr>
                <w:p>
                  <w:pPr>
                    <w:pStyle w:val="165"/>
                    <w:bidi w:val="0"/>
                    <w:rPr>
                      <w:rFonts w:hint="eastAsia"/>
                    </w:rPr>
                  </w:pPr>
                </w:p>
              </w:tc>
              <w:tc>
                <w:tcPr>
                  <w:tcW w:w="750" w:type="dxa"/>
                  <w:vMerge w:val="continue"/>
                  <w:noWrap w:val="0"/>
                  <w:vAlign w:val="center"/>
                </w:tcPr>
                <w:p>
                  <w:pPr>
                    <w:pStyle w:val="165"/>
                    <w:bidi w:val="0"/>
                    <w:rPr>
                      <w:rFonts w:hint="eastAsia"/>
                    </w:rPr>
                  </w:pPr>
                </w:p>
              </w:tc>
              <w:tc>
                <w:tcPr>
                  <w:tcW w:w="735" w:type="dxa"/>
                  <w:noWrap w:val="0"/>
                  <w:vAlign w:val="center"/>
                </w:tcPr>
                <w:p>
                  <w:pPr>
                    <w:pStyle w:val="165"/>
                    <w:bidi w:val="0"/>
                    <w:rPr>
                      <w:rFonts w:hint="eastAsia"/>
                    </w:rPr>
                  </w:pPr>
                  <w:r>
                    <w:rPr>
                      <w:rFonts w:hint="eastAsia"/>
                    </w:rPr>
                    <w:t>+34</w:t>
                  </w:r>
                </w:p>
              </w:tc>
              <w:tc>
                <w:tcPr>
                  <w:tcW w:w="720" w:type="dxa"/>
                  <w:noWrap w:val="0"/>
                  <w:vAlign w:val="center"/>
                </w:tcPr>
                <w:p>
                  <w:pPr>
                    <w:pStyle w:val="165"/>
                    <w:bidi w:val="0"/>
                  </w:pPr>
                  <w:r>
                    <w:rPr>
                      <w:rFonts w:hint="eastAsia"/>
                    </w:rPr>
                    <w:t>+300</w:t>
                  </w:r>
                </w:p>
              </w:tc>
              <w:tc>
                <w:tcPr>
                  <w:tcW w:w="1035" w:type="dxa"/>
                  <w:noWrap w:val="0"/>
                  <w:vAlign w:val="center"/>
                </w:tcPr>
                <w:p>
                  <w:pPr>
                    <w:pStyle w:val="165"/>
                    <w:bidi w:val="0"/>
                    <w:rPr>
                      <w:rFonts w:hint="eastAsia"/>
                    </w:rPr>
                  </w:pPr>
                  <w:r>
                    <w:rPr>
                      <w:rFonts w:hint="eastAsia"/>
                    </w:rPr>
                    <w:t>徐月村</w:t>
                  </w:r>
                </w:p>
              </w:tc>
              <w:tc>
                <w:tcPr>
                  <w:tcW w:w="1200" w:type="dxa"/>
                  <w:noWrap w:val="0"/>
                  <w:vAlign w:val="center"/>
                </w:tcPr>
                <w:p>
                  <w:pPr>
                    <w:pStyle w:val="165"/>
                    <w:bidi w:val="0"/>
                  </w:pPr>
                  <w:r>
                    <w:rPr>
                      <w:rFonts w:hint="eastAsia"/>
                    </w:rPr>
                    <w:t>约80人</w:t>
                  </w:r>
                </w:p>
              </w:tc>
              <w:tc>
                <w:tcPr>
                  <w:tcW w:w="765" w:type="dxa"/>
                  <w:vMerge w:val="continue"/>
                  <w:noWrap w:val="0"/>
                  <w:vAlign w:val="center"/>
                </w:tcPr>
                <w:p>
                  <w:pPr>
                    <w:pStyle w:val="165"/>
                    <w:bidi w:val="0"/>
                    <w:rPr>
                      <w:rFonts w:hint="eastAsia"/>
                    </w:rPr>
                  </w:pPr>
                </w:p>
              </w:tc>
              <w:tc>
                <w:tcPr>
                  <w:tcW w:w="855" w:type="dxa"/>
                  <w:noWrap w:val="0"/>
                  <w:vAlign w:val="center"/>
                </w:tcPr>
                <w:p>
                  <w:pPr>
                    <w:pStyle w:val="165"/>
                    <w:bidi w:val="0"/>
                    <w:rPr>
                      <w:rFonts w:hint="eastAsia"/>
                    </w:rPr>
                  </w:pPr>
                  <w:r>
                    <w:rPr>
                      <w:rFonts w:hint="eastAsia"/>
                    </w:rPr>
                    <w:t>东北面</w:t>
                  </w:r>
                </w:p>
              </w:tc>
              <w:tc>
                <w:tcPr>
                  <w:tcW w:w="885" w:type="dxa"/>
                  <w:noWrap w:val="0"/>
                  <w:vAlign w:val="center"/>
                </w:tcPr>
                <w:p>
                  <w:pPr>
                    <w:pStyle w:val="165"/>
                    <w:bidi w:val="0"/>
                  </w:pPr>
                  <w:r>
                    <w:rPr>
                      <w:rFonts w:hint="eastAsia"/>
                    </w:rPr>
                    <w:t>330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7" w:type="dxa"/>
                  <w:noWrap w:val="0"/>
                  <w:vAlign w:val="center"/>
                </w:tcPr>
                <w:p>
                  <w:pPr>
                    <w:pStyle w:val="165"/>
                    <w:bidi w:val="0"/>
                  </w:pPr>
                  <w:r>
                    <w:rPr>
                      <w:rFonts w:hint="eastAsia"/>
                    </w:rPr>
                    <w:t>11</w:t>
                  </w:r>
                </w:p>
              </w:tc>
              <w:tc>
                <w:tcPr>
                  <w:tcW w:w="780" w:type="dxa"/>
                  <w:vMerge w:val="continue"/>
                  <w:noWrap w:val="0"/>
                  <w:vAlign w:val="center"/>
                </w:tcPr>
                <w:p>
                  <w:pPr>
                    <w:pStyle w:val="165"/>
                    <w:bidi w:val="0"/>
                    <w:rPr>
                      <w:rFonts w:hint="eastAsia"/>
                    </w:rPr>
                  </w:pPr>
                </w:p>
              </w:tc>
              <w:tc>
                <w:tcPr>
                  <w:tcW w:w="750" w:type="dxa"/>
                  <w:vMerge w:val="continue"/>
                  <w:noWrap w:val="0"/>
                  <w:vAlign w:val="center"/>
                </w:tcPr>
                <w:p>
                  <w:pPr>
                    <w:pStyle w:val="165"/>
                    <w:bidi w:val="0"/>
                    <w:rPr>
                      <w:rFonts w:hint="eastAsia"/>
                    </w:rPr>
                  </w:pPr>
                </w:p>
              </w:tc>
              <w:tc>
                <w:tcPr>
                  <w:tcW w:w="735" w:type="dxa"/>
                  <w:noWrap w:val="0"/>
                  <w:vAlign w:val="center"/>
                </w:tcPr>
                <w:p>
                  <w:pPr>
                    <w:pStyle w:val="165"/>
                    <w:bidi w:val="0"/>
                  </w:pPr>
                  <w:r>
                    <w:rPr>
                      <w:rFonts w:hint="eastAsia"/>
                    </w:rPr>
                    <w:t>-100</w:t>
                  </w:r>
                </w:p>
              </w:tc>
              <w:tc>
                <w:tcPr>
                  <w:tcW w:w="720" w:type="dxa"/>
                  <w:noWrap w:val="0"/>
                  <w:vAlign w:val="center"/>
                </w:tcPr>
                <w:p>
                  <w:pPr>
                    <w:pStyle w:val="165"/>
                    <w:bidi w:val="0"/>
                  </w:pPr>
                  <w:r>
                    <w:rPr>
                      <w:rFonts w:hint="eastAsia"/>
                    </w:rPr>
                    <w:t>+330</w:t>
                  </w:r>
                </w:p>
              </w:tc>
              <w:tc>
                <w:tcPr>
                  <w:tcW w:w="1035" w:type="dxa"/>
                  <w:noWrap w:val="0"/>
                  <w:vAlign w:val="center"/>
                </w:tcPr>
                <w:p>
                  <w:pPr>
                    <w:pStyle w:val="165"/>
                    <w:bidi w:val="0"/>
                    <w:rPr>
                      <w:rFonts w:hint="eastAsia"/>
                    </w:rPr>
                  </w:pPr>
                  <w:r>
                    <w:rPr>
                      <w:rFonts w:hint="eastAsia"/>
                    </w:rPr>
                    <w:t>雷坝村</w:t>
                  </w:r>
                </w:p>
              </w:tc>
              <w:tc>
                <w:tcPr>
                  <w:tcW w:w="1200" w:type="dxa"/>
                  <w:noWrap w:val="0"/>
                  <w:vAlign w:val="center"/>
                </w:tcPr>
                <w:p>
                  <w:pPr>
                    <w:pStyle w:val="165"/>
                    <w:bidi w:val="0"/>
                  </w:pPr>
                  <w:r>
                    <w:rPr>
                      <w:rFonts w:hint="eastAsia"/>
                    </w:rPr>
                    <w:t>约100人</w:t>
                  </w:r>
                </w:p>
              </w:tc>
              <w:tc>
                <w:tcPr>
                  <w:tcW w:w="765" w:type="dxa"/>
                  <w:vMerge w:val="continue"/>
                  <w:noWrap w:val="0"/>
                  <w:vAlign w:val="center"/>
                </w:tcPr>
                <w:p>
                  <w:pPr>
                    <w:pStyle w:val="165"/>
                    <w:bidi w:val="0"/>
                    <w:rPr>
                      <w:rFonts w:hint="eastAsia"/>
                    </w:rPr>
                  </w:pPr>
                </w:p>
              </w:tc>
              <w:tc>
                <w:tcPr>
                  <w:tcW w:w="855" w:type="dxa"/>
                  <w:noWrap w:val="0"/>
                  <w:vAlign w:val="center"/>
                </w:tcPr>
                <w:p>
                  <w:pPr>
                    <w:pStyle w:val="165"/>
                    <w:bidi w:val="0"/>
                    <w:rPr>
                      <w:rFonts w:hint="eastAsia"/>
                    </w:rPr>
                  </w:pPr>
                  <w:r>
                    <w:rPr>
                      <w:rFonts w:hint="eastAsia"/>
                    </w:rPr>
                    <w:t>西北面</w:t>
                  </w:r>
                </w:p>
              </w:tc>
              <w:tc>
                <w:tcPr>
                  <w:tcW w:w="885" w:type="dxa"/>
                  <w:noWrap w:val="0"/>
                  <w:vAlign w:val="center"/>
                </w:tcPr>
                <w:p>
                  <w:pPr>
                    <w:pStyle w:val="165"/>
                    <w:bidi w:val="0"/>
                    <w:rPr>
                      <w:rFonts w:hint="eastAsia"/>
                    </w:rPr>
                  </w:pPr>
                  <w:r>
                    <w:rPr>
                      <w:rFonts w:hint="eastAsia"/>
                    </w:rPr>
                    <w:t>370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7" w:type="dxa"/>
                  <w:noWrap w:val="0"/>
                  <w:vAlign w:val="center"/>
                </w:tcPr>
                <w:p>
                  <w:pPr>
                    <w:pStyle w:val="165"/>
                    <w:bidi w:val="0"/>
                  </w:pPr>
                  <w:r>
                    <w:rPr>
                      <w:rFonts w:hint="eastAsia"/>
                    </w:rPr>
                    <w:t>12</w:t>
                  </w:r>
                </w:p>
              </w:tc>
              <w:tc>
                <w:tcPr>
                  <w:tcW w:w="780" w:type="dxa"/>
                  <w:vMerge w:val="continue"/>
                  <w:noWrap w:val="0"/>
                  <w:vAlign w:val="center"/>
                </w:tcPr>
                <w:p>
                  <w:pPr>
                    <w:pStyle w:val="165"/>
                    <w:bidi w:val="0"/>
                    <w:rPr>
                      <w:rFonts w:hint="eastAsia"/>
                    </w:rPr>
                  </w:pPr>
                </w:p>
              </w:tc>
              <w:tc>
                <w:tcPr>
                  <w:tcW w:w="750" w:type="dxa"/>
                  <w:vMerge w:val="continue"/>
                  <w:noWrap w:val="0"/>
                  <w:vAlign w:val="center"/>
                </w:tcPr>
                <w:p>
                  <w:pPr>
                    <w:pStyle w:val="165"/>
                    <w:bidi w:val="0"/>
                    <w:rPr>
                      <w:rFonts w:hint="eastAsia"/>
                    </w:rPr>
                  </w:pPr>
                </w:p>
              </w:tc>
              <w:tc>
                <w:tcPr>
                  <w:tcW w:w="735" w:type="dxa"/>
                  <w:noWrap w:val="0"/>
                  <w:vAlign w:val="center"/>
                </w:tcPr>
                <w:p>
                  <w:pPr>
                    <w:pStyle w:val="165"/>
                    <w:bidi w:val="0"/>
                  </w:pPr>
                  <w:r>
                    <w:rPr>
                      <w:rFonts w:hint="eastAsia"/>
                    </w:rPr>
                    <w:t>0</w:t>
                  </w:r>
                </w:p>
              </w:tc>
              <w:tc>
                <w:tcPr>
                  <w:tcW w:w="720" w:type="dxa"/>
                  <w:noWrap w:val="0"/>
                  <w:vAlign w:val="center"/>
                </w:tcPr>
                <w:p>
                  <w:pPr>
                    <w:pStyle w:val="165"/>
                    <w:bidi w:val="0"/>
                  </w:pPr>
                  <w:r>
                    <w:rPr>
                      <w:rFonts w:hint="eastAsia"/>
                    </w:rPr>
                    <w:t>-170</w:t>
                  </w:r>
                </w:p>
              </w:tc>
              <w:tc>
                <w:tcPr>
                  <w:tcW w:w="1035" w:type="dxa"/>
                  <w:noWrap w:val="0"/>
                  <w:vAlign w:val="center"/>
                </w:tcPr>
                <w:p>
                  <w:pPr>
                    <w:pStyle w:val="165"/>
                    <w:bidi w:val="0"/>
                    <w:rPr>
                      <w:rFonts w:hint="eastAsia"/>
                    </w:rPr>
                  </w:pPr>
                  <w:r>
                    <w:rPr>
                      <w:rFonts w:hint="eastAsia"/>
                    </w:rPr>
                    <w:t>水口镇</w:t>
                  </w:r>
                </w:p>
              </w:tc>
              <w:tc>
                <w:tcPr>
                  <w:tcW w:w="1200" w:type="dxa"/>
                  <w:noWrap w:val="0"/>
                  <w:vAlign w:val="center"/>
                </w:tcPr>
                <w:p>
                  <w:pPr>
                    <w:pStyle w:val="165"/>
                    <w:bidi w:val="0"/>
                  </w:pPr>
                  <w:r>
                    <w:rPr>
                      <w:rFonts w:hint="eastAsia"/>
                    </w:rPr>
                    <w:t>约</w:t>
                  </w:r>
                  <w:r>
                    <w:rPr>
                      <w:rFonts w:hint="eastAsia"/>
                      <w:lang w:val="en-US" w:eastAsia="zh-CN"/>
                    </w:rPr>
                    <w:t>15</w:t>
                  </w:r>
                  <w:r>
                    <w:rPr>
                      <w:rFonts w:hint="eastAsia"/>
                    </w:rPr>
                    <w:t>00人</w:t>
                  </w:r>
                </w:p>
              </w:tc>
              <w:tc>
                <w:tcPr>
                  <w:tcW w:w="765" w:type="dxa"/>
                  <w:vMerge w:val="continue"/>
                  <w:noWrap w:val="0"/>
                  <w:vAlign w:val="center"/>
                </w:tcPr>
                <w:p>
                  <w:pPr>
                    <w:pStyle w:val="165"/>
                    <w:bidi w:val="0"/>
                    <w:rPr>
                      <w:rFonts w:hint="eastAsia"/>
                    </w:rPr>
                  </w:pPr>
                </w:p>
              </w:tc>
              <w:tc>
                <w:tcPr>
                  <w:tcW w:w="855" w:type="dxa"/>
                  <w:noWrap w:val="0"/>
                  <w:vAlign w:val="center"/>
                </w:tcPr>
                <w:p>
                  <w:pPr>
                    <w:pStyle w:val="165"/>
                    <w:bidi w:val="0"/>
                    <w:rPr>
                      <w:rFonts w:hint="eastAsia"/>
                    </w:rPr>
                  </w:pPr>
                  <w:r>
                    <w:rPr>
                      <w:rFonts w:hint="eastAsia"/>
                    </w:rPr>
                    <w:t>南面</w:t>
                  </w:r>
                </w:p>
              </w:tc>
              <w:tc>
                <w:tcPr>
                  <w:tcW w:w="885" w:type="dxa"/>
                  <w:noWrap w:val="0"/>
                  <w:vAlign w:val="center"/>
                </w:tcPr>
                <w:p>
                  <w:pPr>
                    <w:pStyle w:val="165"/>
                    <w:bidi w:val="0"/>
                  </w:pPr>
                  <w:r>
                    <w:rPr>
                      <w:rFonts w:hint="eastAsia"/>
                    </w:rPr>
                    <w:t>118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547" w:type="dxa"/>
                  <w:noWrap w:val="0"/>
                  <w:vAlign w:val="center"/>
                </w:tcPr>
                <w:p>
                  <w:pPr>
                    <w:pStyle w:val="165"/>
                    <w:bidi w:val="0"/>
                  </w:pPr>
                  <w:r>
                    <w:rPr>
                      <w:rFonts w:hint="eastAsia"/>
                    </w:rPr>
                    <w:t>13</w:t>
                  </w:r>
                </w:p>
              </w:tc>
              <w:tc>
                <w:tcPr>
                  <w:tcW w:w="780" w:type="dxa"/>
                  <w:vMerge w:val="continue"/>
                  <w:noWrap w:val="0"/>
                  <w:vAlign w:val="center"/>
                </w:tcPr>
                <w:p>
                  <w:pPr>
                    <w:pStyle w:val="165"/>
                    <w:bidi w:val="0"/>
                    <w:rPr>
                      <w:rFonts w:hint="eastAsia"/>
                    </w:rPr>
                  </w:pPr>
                </w:p>
              </w:tc>
              <w:tc>
                <w:tcPr>
                  <w:tcW w:w="750" w:type="dxa"/>
                  <w:vMerge w:val="continue"/>
                  <w:noWrap w:val="0"/>
                  <w:vAlign w:val="center"/>
                </w:tcPr>
                <w:p>
                  <w:pPr>
                    <w:pStyle w:val="165"/>
                    <w:bidi w:val="0"/>
                    <w:rPr>
                      <w:rFonts w:hint="eastAsia"/>
                    </w:rPr>
                  </w:pPr>
                </w:p>
              </w:tc>
              <w:tc>
                <w:tcPr>
                  <w:tcW w:w="735" w:type="dxa"/>
                  <w:noWrap w:val="0"/>
                  <w:vAlign w:val="center"/>
                </w:tcPr>
                <w:p>
                  <w:pPr>
                    <w:pStyle w:val="165"/>
                    <w:bidi w:val="0"/>
                  </w:pPr>
                  <w:r>
                    <w:rPr>
                      <w:rFonts w:hint="eastAsia"/>
                    </w:rPr>
                    <w:t>-120</w:t>
                  </w:r>
                </w:p>
              </w:tc>
              <w:tc>
                <w:tcPr>
                  <w:tcW w:w="720" w:type="dxa"/>
                  <w:noWrap w:val="0"/>
                  <w:vAlign w:val="center"/>
                </w:tcPr>
                <w:p>
                  <w:pPr>
                    <w:pStyle w:val="165"/>
                    <w:bidi w:val="0"/>
                  </w:pPr>
                  <w:r>
                    <w:rPr>
                      <w:rFonts w:hint="eastAsia"/>
                    </w:rPr>
                    <w:t>-206</w:t>
                  </w:r>
                </w:p>
              </w:tc>
              <w:tc>
                <w:tcPr>
                  <w:tcW w:w="1035" w:type="dxa"/>
                  <w:noWrap w:val="0"/>
                  <w:vAlign w:val="center"/>
                </w:tcPr>
                <w:p>
                  <w:pPr>
                    <w:pStyle w:val="165"/>
                    <w:bidi w:val="0"/>
                    <w:rPr>
                      <w:rFonts w:hint="eastAsia"/>
                    </w:rPr>
                  </w:pPr>
                  <w:r>
                    <w:rPr>
                      <w:rFonts w:hint="eastAsia"/>
                    </w:rPr>
                    <w:t>水口中学</w:t>
                  </w:r>
                </w:p>
              </w:tc>
              <w:tc>
                <w:tcPr>
                  <w:tcW w:w="1200" w:type="dxa"/>
                  <w:noWrap w:val="0"/>
                  <w:vAlign w:val="center"/>
                </w:tcPr>
                <w:p>
                  <w:pPr>
                    <w:pStyle w:val="165"/>
                    <w:bidi w:val="0"/>
                  </w:pPr>
                  <w:r>
                    <w:rPr>
                      <w:rFonts w:hint="eastAsia"/>
                    </w:rPr>
                    <w:t>约800人</w:t>
                  </w:r>
                </w:p>
              </w:tc>
              <w:tc>
                <w:tcPr>
                  <w:tcW w:w="765" w:type="dxa"/>
                  <w:vMerge w:val="continue"/>
                  <w:noWrap w:val="0"/>
                  <w:vAlign w:val="center"/>
                </w:tcPr>
                <w:p>
                  <w:pPr>
                    <w:pStyle w:val="165"/>
                    <w:bidi w:val="0"/>
                    <w:rPr>
                      <w:rFonts w:hint="eastAsia"/>
                    </w:rPr>
                  </w:pPr>
                </w:p>
              </w:tc>
              <w:tc>
                <w:tcPr>
                  <w:tcW w:w="855" w:type="dxa"/>
                  <w:noWrap w:val="0"/>
                  <w:vAlign w:val="center"/>
                </w:tcPr>
                <w:p>
                  <w:pPr>
                    <w:pStyle w:val="165"/>
                    <w:bidi w:val="0"/>
                    <w:rPr>
                      <w:rFonts w:hint="eastAsia"/>
                    </w:rPr>
                  </w:pPr>
                  <w:r>
                    <w:rPr>
                      <w:rFonts w:hint="eastAsia"/>
                    </w:rPr>
                    <w:t>西南面</w:t>
                  </w:r>
                </w:p>
              </w:tc>
              <w:tc>
                <w:tcPr>
                  <w:tcW w:w="885" w:type="dxa"/>
                  <w:noWrap w:val="0"/>
                  <w:vAlign w:val="center"/>
                </w:tcPr>
                <w:p>
                  <w:pPr>
                    <w:pStyle w:val="165"/>
                    <w:bidi w:val="0"/>
                  </w:pPr>
                  <w:r>
                    <w:rPr>
                      <w:rFonts w:hint="eastAsia"/>
                    </w:rPr>
                    <w:t>255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7" w:type="dxa"/>
                  <w:noWrap w:val="0"/>
                  <w:vAlign w:val="center"/>
                </w:tcPr>
                <w:p>
                  <w:pPr>
                    <w:pStyle w:val="165"/>
                    <w:bidi w:val="0"/>
                  </w:pPr>
                  <w:r>
                    <w:rPr>
                      <w:rFonts w:hint="eastAsia"/>
                    </w:rPr>
                    <w:t>14</w:t>
                  </w:r>
                </w:p>
              </w:tc>
              <w:tc>
                <w:tcPr>
                  <w:tcW w:w="780" w:type="dxa"/>
                  <w:vMerge w:val="continue"/>
                  <w:noWrap w:val="0"/>
                  <w:vAlign w:val="center"/>
                </w:tcPr>
                <w:p>
                  <w:pPr>
                    <w:pStyle w:val="165"/>
                    <w:bidi w:val="0"/>
                    <w:rPr>
                      <w:rFonts w:hint="eastAsia"/>
                    </w:rPr>
                  </w:pPr>
                </w:p>
              </w:tc>
              <w:tc>
                <w:tcPr>
                  <w:tcW w:w="750" w:type="dxa"/>
                  <w:vMerge w:val="continue"/>
                  <w:noWrap w:val="0"/>
                  <w:vAlign w:val="center"/>
                </w:tcPr>
                <w:p>
                  <w:pPr>
                    <w:pStyle w:val="165"/>
                    <w:bidi w:val="0"/>
                    <w:rPr>
                      <w:rFonts w:hint="eastAsia"/>
                    </w:rPr>
                  </w:pPr>
                </w:p>
              </w:tc>
              <w:tc>
                <w:tcPr>
                  <w:tcW w:w="735" w:type="dxa"/>
                  <w:noWrap w:val="0"/>
                  <w:vAlign w:val="center"/>
                </w:tcPr>
                <w:p>
                  <w:pPr>
                    <w:pStyle w:val="165"/>
                    <w:bidi w:val="0"/>
                  </w:pPr>
                  <w:r>
                    <w:rPr>
                      <w:rFonts w:hint="eastAsia"/>
                    </w:rPr>
                    <w:t>-160</w:t>
                  </w:r>
                </w:p>
              </w:tc>
              <w:tc>
                <w:tcPr>
                  <w:tcW w:w="720" w:type="dxa"/>
                  <w:noWrap w:val="0"/>
                  <w:vAlign w:val="center"/>
                </w:tcPr>
                <w:p>
                  <w:pPr>
                    <w:pStyle w:val="165"/>
                    <w:bidi w:val="0"/>
                  </w:pPr>
                  <w:r>
                    <w:rPr>
                      <w:rFonts w:hint="eastAsia"/>
                    </w:rPr>
                    <w:t>-206</w:t>
                  </w:r>
                </w:p>
              </w:tc>
              <w:tc>
                <w:tcPr>
                  <w:tcW w:w="1035" w:type="dxa"/>
                  <w:noWrap w:val="0"/>
                  <w:vAlign w:val="center"/>
                </w:tcPr>
                <w:p>
                  <w:pPr>
                    <w:pStyle w:val="165"/>
                    <w:bidi w:val="0"/>
                    <w:rPr>
                      <w:rFonts w:hint="eastAsia"/>
                    </w:rPr>
                  </w:pPr>
                  <w:r>
                    <w:rPr>
                      <w:rFonts w:hint="eastAsia"/>
                    </w:rPr>
                    <w:t>谢村</w:t>
                  </w:r>
                </w:p>
              </w:tc>
              <w:tc>
                <w:tcPr>
                  <w:tcW w:w="1200" w:type="dxa"/>
                  <w:noWrap w:val="0"/>
                  <w:vAlign w:val="center"/>
                </w:tcPr>
                <w:p>
                  <w:pPr>
                    <w:pStyle w:val="165"/>
                    <w:bidi w:val="0"/>
                  </w:pPr>
                  <w:r>
                    <w:rPr>
                      <w:rFonts w:hint="eastAsia"/>
                    </w:rPr>
                    <w:t>约100人</w:t>
                  </w:r>
                </w:p>
              </w:tc>
              <w:tc>
                <w:tcPr>
                  <w:tcW w:w="765" w:type="dxa"/>
                  <w:vMerge w:val="continue"/>
                  <w:noWrap w:val="0"/>
                  <w:vAlign w:val="center"/>
                </w:tcPr>
                <w:p>
                  <w:pPr>
                    <w:pStyle w:val="165"/>
                    <w:bidi w:val="0"/>
                    <w:rPr>
                      <w:rFonts w:hint="eastAsia"/>
                    </w:rPr>
                  </w:pPr>
                </w:p>
              </w:tc>
              <w:tc>
                <w:tcPr>
                  <w:tcW w:w="855" w:type="dxa"/>
                  <w:noWrap w:val="0"/>
                  <w:vAlign w:val="center"/>
                </w:tcPr>
                <w:p>
                  <w:pPr>
                    <w:pStyle w:val="165"/>
                    <w:bidi w:val="0"/>
                    <w:rPr>
                      <w:rFonts w:hint="eastAsia"/>
                    </w:rPr>
                  </w:pPr>
                  <w:r>
                    <w:rPr>
                      <w:rFonts w:hint="eastAsia"/>
                    </w:rPr>
                    <w:t>西南面</w:t>
                  </w:r>
                </w:p>
              </w:tc>
              <w:tc>
                <w:tcPr>
                  <w:tcW w:w="885" w:type="dxa"/>
                  <w:noWrap w:val="0"/>
                  <w:vAlign w:val="center"/>
                </w:tcPr>
                <w:p>
                  <w:pPr>
                    <w:pStyle w:val="165"/>
                    <w:bidi w:val="0"/>
                  </w:pPr>
                  <w:r>
                    <w:rPr>
                      <w:rFonts w:hint="eastAsia"/>
                    </w:rPr>
                    <w:t>300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8272" w:type="dxa"/>
                  <w:gridSpan w:val="10"/>
                  <w:noWrap w:val="0"/>
                  <w:vAlign w:val="center"/>
                </w:tcPr>
                <w:p>
                  <w:pPr>
                    <w:pStyle w:val="165"/>
                    <w:bidi w:val="0"/>
                    <w:jc w:val="left"/>
                    <w:rPr>
                      <w:rFonts w:hint="eastAsia"/>
                    </w:rPr>
                  </w:pPr>
                  <w:r>
                    <w:rPr>
                      <w:b/>
                      <w:bCs/>
                      <w:sz w:val="18"/>
                      <w:szCs w:val="16"/>
                    </w:rPr>
                    <w:t>备注：环境保护目标坐标区距离项目厂址中心点的最近位置</w:t>
                  </w:r>
                </w:p>
              </w:tc>
            </w:tr>
          </w:tbl>
          <w:p>
            <w:pPr>
              <w:jc w:val="center"/>
              <w:rPr>
                <w:rFonts w:hint="eastAsia"/>
                <w:b/>
              </w:rPr>
            </w:pPr>
            <w:r>
              <w:rPr>
                <w:b/>
              </w:rPr>
              <w:t>表3-</w:t>
            </w:r>
            <w:r>
              <w:rPr>
                <w:rFonts w:hint="eastAsia"/>
                <w:b/>
                <w:lang w:val="en-US" w:eastAsia="zh-CN"/>
              </w:rPr>
              <w:t>5</w:t>
            </w:r>
            <w:r>
              <w:rPr>
                <w:rFonts w:hint="eastAsia"/>
                <w:b/>
              </w:rPr>
              <w:t xml:space="preserve">  评价范围内主要环境</w:t>
            </w:r>
            <w:r>
              <w:rPr>
                <w:b/>
              </w:rPr>
              <w:t>保护</w:t>
            </w:r>
            <w:r>
              <w:rPr>
                <w:rFonts w:hint="eastAsia"/>
                <w:b/>
              </w:rPr>
              <w:t>目标（</w:t>
            </w:r>
            <w:r>
              <w:rPr>
                <w:rFonts w:hint="eastAsia"/>
                <w:b/>
                <w:lang w:eastAsia="zh-CN"/>
              </w:rPr>
              <w:t>噪声</w:t>
            </w:r>
            <w:r>
              <w:rPr>
                <w:rFonts w:hint="eastAsia"/>
                <w:b/>
              </w:rPr>
              <w:t>）</w:t>
            </w:r>
          </w:p>
          <w:tbl>
            <w:tblPr>
              <w:tblStyle w:val="41"/>
              <w:tblW w:w="827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7"/>
              <w:gridCol w:w="780"/>
              <w:gridCol w:w="750"/>
              <w:gridCol w:w="735"/>
              <w:gridCol w:w="720"/>
              <w:gridCol w:w="1035"/>
              <w:gridCol w:w="1200"/>
              <w:gridCol w:w="765"/>
              <w:gridCol w:w="855"/>
              <w:gridCol w:w="88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9" w:hRule="atLeast"/>
                <w:jc w:val="center"/>
              </w:trPr>
              <w:tc>
                <w:tcPr>
                  <w:tcW w:w="547" w:type="dxa"/>
                  <w:vMerge w:val="restart"/>
                  <w:noWrap w:val="0"/>
                  <w:vAlign w:val="center"/>
                </w:tcPr>
                <w:p>
                  <w:pPr>
                    <w:pStyle w:val="165"/>
                    <w:bidi w:val="0"/>
                    <w:rPr>
                      <w:rFonts w:hint="eastAsia"/>
                      <w:b/>
                      <w:bCs/>
                    </w:rPr>
                  </w:pPr>
                  <w:r>
                    <w:rPr>
                      <w:rFonts w:hint="eastAsia"/>
                      <w:b/>
                      <w:bCs/>
                    </w:rPr>
                    <w:t>序号</w:t>
                  </w:r>
                </w:p>
              </w:tc>
              <w:tc>
                <w:tcPr>
                  <w:tcW w:w="780" w:type="dxa"/>
                  <w:vMerge w:val="restart"/>
                  <w:noWrap w:val="0"/>
                  <w:vAlign w:val="center"/>
                </w:tcPr>
                <w:p>
                  <w:pPr>
                    <w:pStyle w:val="165"/>
                    <w:bidi w:val="0"/>
                    <w:rPr>
                      <w:rFonts w:hint="eastAsia"/>
                      <w:b/>
                      <w:bCs/>
                    </w:rPr>
                  </w:pPr>
                  <w:r>
                    <w:rPr>
                      <w:rFonts w:hint="eastAsia"/>
                      <w:b/>
                      <w:bCs/>
                    </w:rPr>
                    <w:t>范围</w:t>
                  </w:r>
                </w:p>
              </w:tc>
              <w:tc>
                <w:tcPr>
                  <w:tcW w:w="750" w:type="dxa"/>
                  <w:vMerge w:val="restart"/>
                  <w:noWrap w:val="0"/>
                  <w:vAlign w:val="center"/>
                </w:tcPr>
                <w:p>
                  <w:pPr>
                    <w:pStyle w:val="165"/>
                    <w:bidi w:val="0"/>
                    <w:rPr>
                      <w:rFonts w:hint="eastAsia"/>
                      <w:b/>
                      <w:bCs/>
                    </w:rPr>
                  </w:pPr>
                  <w:r>
                    <w:rPr>
                      <w:rFonts w:hint="eastAsia"/>
                      <w:b/>
                      <w:bCs/>
                    </w:rPr>
                    <w:t>保护目标</w:t>
                  </w:r>
                </w:p>
              </w:tc>
              <w:tc>
                <w:tcPr>
                  <w:tcW w:w="1455" w:type="dxa"/>
                  <w:gridSpan w:val="2"/>
                  <w:noWrap w:val="0"/>
                  <w:vAlign w:val="center"/>
                </w:tcPr>
                <w:p>
                  <w:pPr>
                    <w:pStyle w:val="165"/>
                    <w:bidi w:val="0"/>
                    <w:rPr>
                      <w:rFonts w:hint="eastAsia"/>
                      <w:b/>
                      <w:bCs/>
                    </w:rPr>
                  </w:pPr>
                  <w:r>
                    <w:rPr>
                      <w:rFonts w:hint="eastAsia"/>
                      <w:b/>
                      <w:bCs/>
                    </w:rPr>
                    <w:t>坐标</w:t>
                  </w:r>
                </w:p>
              </w:tc>
              <w:tc>
                <w:tcPr>
                  <w:tcW w:w="1035" w:type="dxa"/>
                  <w:vMerge w:val="restart"/>
                  <w:noWrap w:val="0"/>
                  <w:vAlign w:val="center"/>
                </w:tcPr>
                <w:p>
                  <w:pPr>
                    <w:pStyle w:val="165"/>
                    <w:bidi w:val="0"/>
                    <w:rPr>
                      <w:rFonts w:hint="eastAsia"/>
                      <w:b/>
                      <w:bCs/>
                    </w:rPr>
                  </w:pPr>
                  <w:r>
                    <w:rPr>
                      <w:rFonts w:hint="eastAsia"/>
                      <w:b/>
                      <w:bCs/>
                    </w:rPr>
                    <w:t>保护对象</w:t>
                  </w:r>
                </w:p>
              </w:tc>
              <w:tc>
                <w:tcPr>
                  <w:tcW w:w="1200" w:type="dxa"/>
                  <w:vMerge w:val="restart"/>
                  <w:noWrap w:val="0"/>
                  <w:vAlign w:val="center"/>
                </w:tcPr>
                <w:p>
                  <w:pPr>
                    <w:pStyle w:val="165"/>
                    <w:bidi w:val="0"/>
                    <w:rPr>
                      <w:rFonts w:hint="eastAsia"/>
                      <w:b/>
                      <w:bCs/>
                    </w:rPr>
                  </w:pPr>
                  <w:r>
                    <w:rPr>
                      <w:rFonts w:hint="eastAsia"/>
                      <w:b/>
                      <w:bCs/>
                    </w:rPr>
                    <w:t>保护内容</w:t>
                  </w:r>
                </w:p>
              </w:tc>
              <w:tc>
                <w:tcPr>
                  <w:tcW w:w="765" w:type="dxa"/>
                  <w:vMerge w:val="restart"/>
                  <w:noWrap w:val="0"/>
                  <w:vAlign w:val="center"/>
                </w:tcPr>
                <w:p>
                  <w:pPr>
                    <w:pStyle w:val="165"/>
                    <w:bidi w:val="0"/>
                    <w:rPr>
                      <w:rFonts w:hint="eastAsia"/>
                      <w:b/>
                      <w:bCs/>
                    </w:rPr>
                  </w:pPr>
                  <w:r>
                    <w:rPr>
                      <w:rFonts w:hint="eastAsia"/>
                      <w:b/>
                      <w:bCs/>
                    </w:rPr>
                    <w:t>环境功能区</w:t>
                  </w:r>
                </w:p>
              </w:tc>
              <w:tc>
                <w:tcPr>
                  <w:tcW w:w="855" w:type="dxa"/>
                  <w:vMerge w:val="restart"/>
                  <w:noWrap w:val="0"/>
                  <w:vAlign w:val="center"/>
                </w:tcPr>
                <w:p>
                  <w:pPr>
                    <w:pStyle w:val="165"/>
                    <w:bidi w:val="0"/>
                    <w:rPr>
                      <w:rFonts w:hint="eastAsia"/>
                      <w:b/>
                      <w:bCs/>
                    </w:rPr>
                  </w:pPr>
                  <w:r>
                    <w:rPr>
                      <w:rFonts w:hint="eastAsia"/>
                      <w:b/>
                      <w:bCs/>
                    </w:rPr>
                    <w:t>相对厂址方位</w:t>
                  </w:r>
                </w:p>
              </w:tc>
              <w:tc>
                <w:tcPr>
                  <w:tcW w:w="885" w:type="dxa"/>
                  <w:vMerge w:val="restart"/>
                  <w:noWrap w:val="0"/>
                  <w:vAlign w:val="center"/>
                </w:tcPr>
                <w:p>
                  <w:pPr>
                    <w:pStyle w:val="165"/>
                    <w:bidi w:val="0"/>
                    <w:rPr>
                      <w:rFonts w:hint="eastAsia"/>
                      <w:b/>
                      <w:bCs/>
                    </w:rPr>
                  </w:pPr>
                  <w:r>
                    <w:rPr>
                      <w:b/>
                      <w:bCs/>
                    </w:rPr>
                    <w:t>相对场界距离（m）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7" w:type="dxa"/>
                  <w:vMerge w:val="continue"/>
                  <w:noWrap w:val="0"/>
                  <w:vAlign w:val="center"/>
                </w:tcPr>
                <w:p>
                  <w:pPr>
                    <w:pStyle w:val="165"/>
                    <w:bidi w:val="0"/>
                    <w:rPr>
                      <w:rFonts w:hint="eastAsia"/>
                    </w:rPr>
                  </w:pPr>
                </w:p>
              </w:tc>
              <w:tc>
                <w:tcPr>
                  <w:tcW w:w="780" w:type="dxa"/>
                  <w:vMerge w:val="continue"/>
                  <w:noWrap w:val="0"/>
                  <w:vAlign w:val="center"/>
                </w:tcPr>
                <w:p>
                  <w:pPr>
                    <w:pStyle w:val="165"/>
                    <w:bidi w:val="0"/>
                    <w:rPr>
                      <w:rFonts w:hint="eastAsia"/>
                    </w:rPr>
                  </w:pPr>
                </w:p>
              </w:tc>
              <w:tc>
                <w:tcPr>
                  <w:tcW w:w="750" w:type="dxa"/>
                  <w:vMerge w:val="continue"/>
                  <w:noWrap w:val="0"/>
                  <w:vAlign w:val="center"/>
                </w:tcPr>
                <w:p>
                  <w:pPr>
                    <w:pStyle w:val="165"/>
                    <w:bidi w:val="0"/>
                    <w:rPr>
                      <w:rFonts w:hint="eastAsia"/>
                    </w:rPr>
                  </w:pPr>
                </w:p>
              </w:tc>
              <w:tc>
                <w:tcPr>
                  <w:tcW w:w="735" w:type="dxa"/>
                  <w:noWrap w:val="0"/>
                  <w:vAlign w:val="center"/>
                </w:tcPr>
                <w:p>
                  <w:pPr>
                    <w:pStyle w:val="165"/>
                    <w:bidi w:val="0"/>
                    <w:rPr>
                      <w:rFonts w:hint="eastAsia"/>
                      <w:b/>
                      <w:bCs/>
                    </w:rPr>
                  </w:pPr>
                  <w:r>
                    <w:rPr>
                      <w:rFonts w:hint="eastAsia"/>
                      <w:b/>
                      <w:bCs/>
                    </w:rPr>
                    <w:t>x</w:t>
                  </w:r>
                </w:p>
              </w:tc>
              <w:tc>
                <w:tcPr>
                  <w:tcW w:w="720" w:type="dxa"/>
                  <w:noWrap w:val="0"/>
                  <w:vAlign w:val="center"/>
                </w:tcPr>
                <w:p>
                  <w:pPr>
                    <w:pStyle w:val="165"/>
                    <w:bidi w:val="0"/>
                    <w:rPr>
                      <w:rFonts w:hint="eastAsia"/>
                      <w:b/>
                      <w:bCs/>
                    </w:rPr>
                  </w:pPr>
                  <w:r>
                    <w:rPr>
                      <w:rFonts w:hint="eastAsia"/>
                      <w:b/>
                      <w:bCs/>
                    </w:rPr>
                    <w:t>y</w:t>
                  </w:r>
                </w:p>
              </w:tc>
              <w:tc>
                <w:tcPr>
                  <w:tcW w:w="1035" w:type="dxa"/>
                  <w:vMerge w:val="continue"/>
                  <w:noWrap w:val="0"/>
                  <w:vAlign w:val="center"/>
                </w:tcPr>
                <w:p>
                  <w:pPr>
                    <w:pStyle w:val="165"/>
                    <w:bidi w:val="0"/>
                    <w:rPr>
                      <w:rFonts w:hint="eastAsia"/>
                    </w:rPr>
                  </w:pPr>
                </w:p>
              </w:tc>
              <w:tc>
                <w:tcPr>
                  <w:tcW w:w="1200" w:type="dxa"/>
                  <w:vMerge w:val="continue"/>
                  <w:noWrap w:val="0"/>
                  <w:vAlign w:val="center"/>
                </w:tcPr>
                <w:p>
                  <w:pPr>
                    <w:pStyle w:val="165"/>
                    <w:bidi w:val="0"/>
                    <w:rPr>
                      <w:rFonts w:hint="eastAsia"/>
                    </w:rPr>
                  </w:pPr>
                </w:p>
              </w:tc>
              <w:tc>
                <w:tcPr>
                  <w:tcW w:w="765" w:type="dxa"/>
                  <w:vMerge w:val="continue"/>
                  <w:noWrap w:val="0"/>
                  <w:vAlign w:val="center"/>
                </w:tcPr>
                <w:p>
                  <w:pPr>
                    <w:pStyle w:val="165"/>
                    <w:bidi w:val="0"/>
                    <w:rPr>
                      <w:rFonts w:hint="eastAsia"/>
                    </w:rPr>
                  </w:pPr>
                </w:p>
              </w:tc>
              <w:tc>
                <w:tcPr>
                  <w:tcW w:w="855" w:type="dxa"/>
                  <w:vMerge w:val="continue"/>
                  <w:noWrap w:val="0"/>
                  <w:vAlign w:val="center"/>
                </w:tcPr>
                <w:p>
                  <w:pPr>
                    <w:pStyle w:val="165"/>
                    <w:bidi w:val="0"/>
                    <w:rPr>
                      <w:rFonts w:hint="eastAsia"/>
                    </w:rPr>
                  </w:pPr>
                </w:p>
              </w:tc>
              <w:tc>
                <w:tcPr>
                  <w:tcW w:w="885" w:type="dxa"/>
                  <w:vMerge w:val="continue"/>
                  <w:noWrap w:val="0"/>
                  <w:vAlign w:val="center"/>
                </w:tcPr>
                <w:p>
                  <w:pPr>
                    <w:pStyle w:val="165"/>
                    <w:bidi w:val="0"/>
                    <w:rPr>
                      <w:rFonts w:hint="eastAsi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547" w:type="dxa"/>
                  <w:noWrap w:val="0"/>
                  <w:vAlign w:val="center"/>
                </w:tcPr>
                <w:p>
                  <w:pPr>
                    <w:pStyle w:val="165"/>
                    <w:bidi w:val="0"/>
                    <w:rPr>
                      <w:rFonts w:hint="eastAsia"/>
                    </w:rPr>
                  </w:pPr>
                  <w:r>
                    <w:rPr>
                      <w:rFonts w:hint="eastAsia"/>
                    </w:rPr>
                    <w:t>1</w:t>
                  </w:r>
                </w:p>
              </w:tc>
              <w:tc>
                <w:tcPr>
                  <w:tcW w:w="780" w:type="dxa"/>
                  <w:vMerge w:val="restart"/>
                  <w:noWrap w:val="0"/>
                  <w:vAlign w:val="center"/>
                </w:tcPr>
                <w:p>
                  <w:pPr>
                    <w:pStyle w:val="165"/>
                    <w:bidi w:val="0"/>
                  </w:pPr>
                  <w:r>
                    <w:rPr>
                      <w:rFonts w:hint="eastAsia"/>
                    </w:rPr>
                    <w:t>厂界外50m范围内</w:t>
                  </w:r>
                  <w:r>
                    <w:rPr>
                      <w:rFonts w:hint="eastAsia"/>
                      <w:lang w:eastAsia="zh-CN"/>
                    </w:rPr>
                    <w:t>噪声</w:t>
                  </w:r>
                  <w:r>
                    <w:rPr>
                      <w:rFonts w:hint="eastAsia"/>
                    </w:rPr>
                    <w:t>敏感点</w:t>
                  </w:r>
                </w:p>
              </w:tc>
              <w:tc>
                <w:tcPr>
                  <w:tcW w:w="750" w:type="dxa"/>
                  <w:vMerge w:val="restart"/>
                  <w:noWrap w:val="0"/>
                  <w:vAlign w:val="center"/>
                </w:tcPr>
                <w:p>
                  <w:pPr>
                    <w:pStyle w:val="165"/>
                    <w:bidi w:val="0"/>
                    <w:rPr>
                      <w:rFonts w:hint="eastAsia"/>
                    </w:rPr>
                  </w:pPr>
                  <w:r>
                    <w:rPr>
                      <w:rFonts w:hint="eastAsia"/>
                    </w:rPr>
                    <w:t>周边居民</w:t>
                  </w:r>
                </w:p>
              </w:tc>
              <w:tc>
                <w:tcPr>
                  <w:tcW w:w="735" w:type="dxa"/>
                  <w:noWrap w:val="0"/>
                  <w:vAlign w:val="center"/>
                </w:tcPr>
                <w:p>
                  <w:pPr>
                    <w:pStyle w:val="165"/>
                    <w:bidi w:val="0"/>
                  </w:pPr>
                  <w:r>
                    <w:rPr>
                      <w:rFonts w:hint="eastAsia"/>
                    </w:rPr>
                    <w:t>+29</w:t>
                  </w:r>
                </w:p>
              </w:tc>
              <w:tc>
                <w:tcPr>
                  <w:tcW w:w="720" w:type="dxa"/>
                  <w:noWrap w:val="0"/>
                  <w:vAlign w:val="center"/>
                </w:tcPr>
                <w:p>
                  <w:pPr>
                    <w:pStyle w:val="165"/>
                    <w:bidi w:val="0"/>
                    <w:rPr>
                      <w:rFonts w:hint="eastAsia"/>
                    </w:rPr>
                  </w:pPr>
                  <w:r>
                    <w:rPr>
                      <w:rFonts w:hint="eastAsia"/>
                    </w:rPr>
                    <w:t>0</w:t>
                  </w:r>
                </w:p>
              </w:tc>
              <w:tc>
                <w:tcPr>
                  <w:tcW w:w="1035" w:type="dxa"/>
                  <w:noWrap w:val="0"/>
                  <w:vAlign w:val="center"/>
                </w:tcPr>
                <w:p>
                  <w:pPr>
                    <w:pStyle w:val="165"/>
                    <w:bidi w:val="0"/>
                  </w:pPr>
                  <w:r>
                    <w:rPr>
                      <w:rFonts w:hint="eastAsia"/>
                    </w:rPr>
                    <w:t>居民</w:t>
                  </w:r>
                </w:p>
              </w:tc>
              <w:tc>
                <w:tcPr>
                  <w:tcW w:w="1200" w:type="dxa"/>
                  <w:noWrap w:val="0"/>
                  <w:vAlign w:val="center"/>
                </w:tcPr>
                <w:p>
                  <w:pPr>
                    <w:pStyle w:val="165"/>
                    <w:bidi w:val="0"/>
                    <w:rPr>
                      <w:rFonts w:hint="eastAsia"/>
                    </w:rPr>
                  </w:pPr>
                  <w:r>
                    <w:rPr>
                      <w:rFonts w:hint="eastAsia"/>
                    </w:rPr>
                    <w:t>约8户（约24人）</w:t>
                  </w:r>
                </w:p>
              </w:tc>
              <w:tc>
                <w:tcPr>
                  <w:tcW w:w="765" w:type="dxa"/>
                  <w:vMerge w:val="restart"/>
                  <w:noWrap w:val="0"/>
                  <w:vAlign w:val="center"/>
                </w:tcPr>
                <w:p>
                  <w:pPr>
                    <w:pStyle w:val="165"/>
                    <w:bidi w:val="0"/>
                    <w:rPr>
                      <w:rFonts w:hint="eastAsia" w:eastAsia="宋体"/>
                      <w:lang w:eastAsia="zh-CN"/>
                    </w:rPr>
                  </w:pPr>
                  <w:r>
                    <w:rPr>
                      <w:rFonts w:hint="eastAsia"/>
                      <w:lang w:eastAsia="zh-CN"/>
                    </w:rPr>
                    <w:t>声环境</w:t>
                  </w:r>
                  <w:r>
                    <w:rPr>
                      <w:rFonts w:hint="eastAsia"/>
                      <w:lang w:val="en-US" w:eastAsia="zh-CN"/>
                    </w:rPr>
                    <w:t>2类</w:t>
                  </w:r>
                  <w:r>
                    <w:rPr>
                      <w:rFonts w:hint="eastAsia"/>
                      <w:lang w:eastAsia="zh-CN"/>
                    </w:rPr>
                    <w:t>功能区</w:t>
                  </w:r>
                </w:p>
              </w:tc>
              <w:tc>
                <w:tcPr>
                  <w:tcW w:w="855" w:type="dxa"/>
                  <w:noWrap w:val="0"/>
                  <w:vAlign w:val="center"/>
                </w:tcPr>
                <w:p>
                  <w:pPr>
                    <w:pStyle w:val="165"/>
                    <w:bidi w:val="0"/>
                    <w:rPr>
                      <w:rFonts w:hint="eastAsia"/>
                    </w:rPr>
                  </w:pPr>
                  <w:r>
                    <w:rPr>
                      <w:rFonts w:hint="eastAsia"/>
                    </w:rPr>
                    <w:t>东面</w:t>
                  </w:r>
                </w:p>
              </w:tc>
              <w:tc>
                <w:tcPr>
                  <w:tcW w:w="885" w:type="dxa"/>
                  <w:noWrap w:val="0"/>
                  <w:vAlign w:val="center"/>
                </w:tcPr>
                <w:p>
                  <w:pPr>
                    <w:pStyle w:val="165"/>
                    <w:bidi w:val="0"/>
                  </w:pPr>
                  <w:r>
                    <w:rPr>
                      <w:rFonts w:hint="eastAsia"/>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547" w:type="dxa"/>
                  <w:noWrap w:val="0"/>
                  <w:vAlign w:val="center"/>
                </w:tcPr>
                <w:p>
                  <w:pPr>
                    <w:pStyle w:val="165"/>
                    <w:bidi w:val="0"/>
                    <w:rPr>
                      <w:rFonts w:hint="eastAsia"/>
                    </w:rPr>
                  </w:pPr>
                  <w:r>
                    <w:rPr>
                      <w:rFonts w:hint="eastAsia"/>
                    </w:rPr>
                    <w:t>2</w:t>
                  </w:r>
                </w:p>
              </w:tc>
              <w:tc>
                <w:tcPr>
                  <w:tcW w:w="780" w:type="dxa"/>
                  <w:vMerge w:val="continue"/>
                  <w:noWrap w:val="0"/>
                  <w:vAlign w:val="center"/>
                </w:tcPr>
                <w:p>
                  <w:pPr>
                    <w:pStyle w:val="165"/>
                    <w:bidi w:val="0"/>
                    <w:rPr>
                      <w:rFonts w:hint="eastAsia"/>
                    </w:rPr>
                  </w:pPr>
                </w:p>
              </w:tc>
              <w:tc>
                <w:tcPr>
                  <w:tcW w:w="750" w:type="dxa"/>
                  <w:vMerge w:val="continue"/>
                  <w:noWrap w:val="0"/>
                  <w:vAlign w:val="center"/>
                </w:tcPr>
                <w:p>
                  <w:pPr>
                    <w:pStyle w:val="165"/>
                    <w:bidi w:val="0"/>
                    <w:rPr>
                      <w:rFonts w:hint="eastAsia"/>
                    </w:rPr>
                  </w:pPr>
                </w:p>
              </w:tc>
              <w:tc>
                <w:tcPr>
                  <w:tcW w:w="735" w:type="dxa"/>
                  <w:noWrap w:val="0"/>
                  <w:vAlign w:val="center"/>
                </w:tcPr>
                <w:p>
                  <w:pPr>
                    <w:pStyle w:val="165"/>
                    <w:bidi w:val="0"/>
                  </w:pPr>
                  <w:r>
                    <w:rPr>
                      <w:rFonts w:hint="eastAsia"/>
                    </w:rPr>
                    <w:t>-24</w:t>
                  </w:r>
                </w:p>
              </w:tc>
              <w:tc>
                <w:tcPr>
                  <w:tcW w:w="720" w:type="dxa"/>
                  <w:noWrap w:val="0"/>
                  <w:vAlign w:val="center"/>
                </w:tcPr>
                <w:p>
                  <w:pPr>
                    <w:pStyle w:val="165"/>
                    <w:bidi w:val="0"/>
                    <w:rPr>
                      <w:rFonts w:hint="eastAsia"/>
                    </w:rPr>
                  </w:pPr>
                  <w:r>
                    <w:rPr>
                      <w:rFonts w:hint="eastAsia"/>
                    </w:rPr>
                    <w:t>0</w:t>
                  </w:r>
                </w:p>
              </w:tc>
              <w:tc>
                <w:tcPr>
                  <w:tcW w:w="1035" w:type="dxa"/>
                  <w:noWrap w:val="0"/>
                  <w:vAlign w:val="center"/>
                </w:tcPr>
                <w:p>
                  <w:pPr>
                    <w:pStyle w:val="165"/>
                    <w:bidi w:val="0"/>
                    <w:rPr>
                      <w:rFonts w:hint="eastAsia"/>
                    </w:rPr>
                  </w:pPr>
                  <w:r>
                    <w:rPr>
                      <w:rFonts w:hint="eastAsia"/>
                    </w:rPr>
                    <w:t>居民</w:t>
                  </w:r>
                </w:p>
              </w:tc>
              <w:tc>
                <w:tcPr>
                  <w:tcW w:w="1200" w:type="dxa"/>
                  <w:noWrap w:val="0"/>
                  <w:vAlign w:val="center"/>
                </w:tcPr>
                <w:p>
                  <w:pPr>
                    <w:pStyle w:val="165"/>
                    <w:bidi w:val="0"/>
                  </w:pPr>
                  <w:r>
                    <w:rPr>
                      <w:rFonts w:hint="eastAsia"/>
                    </w:rPr>
                    <w:t>约12户（约36人）</w:t>
                  </w:r>
                </w:p>
              </w:tc>
              <w:tc>
                <w:tcPr>
                  <w:tcW w:w="765" w:type="dxa"/>
                  <w:vMerge w:val="continue"/>
                  <w:noWrap w:val="0"/>
                  <w:vAlign w:val="center"/>
                </w:tcPr>
                <w:p>
                  <w:pPr>
                    <w:pStyle w:val="165"/>
                    <w:bidi w:val="0"/>
                    <w:rPr>
                      <w:rFonts w:hint="eastAsia"/>
                    </w:rPr>
                  </w:pPr>
                </w:p>
              </w:tc>
              <w:tc>
                <w:tcPr>
                  <w:tcW w:w="855" w:type="dxa"/>
                  <w:noWrap w:val="0"/>
                  <w:vAlign w:val="center"/>
                </w:tcPr>
                <w:p>
                  <w:pPr>
                    <w:pStyle w:val="165"/>
                    <w:bidi w:val="0"/>
                    <w:rPr>
                      <w:rFonts w:hint="eastAsia"/>
                    </w:rPr>
                  </w:pPr>
                  <w:r>
                    <w:rPr>
                      <w:rFonts w:hint="eastAsia"/>
                    </w:rPr>
                    <w:t>西面</w:t>
                  </w:r>
                </w:p>
              </w:tc>
              <w:tc>
                <w:tcPr>
                  <w:tcW w:w="885" w:type="dxa"/>
                  <w:noWrap w:val="0"/>
                  <w:vAlign w:val="center"/>
                </w:tcPr>
                <w:p>
                  <w:pPr>
                    <w:pStyle w:val="165"/>
                    <w:bidi w:val="0"/>
                  </w:pPr>
                  <w:r>
                    <w:rPr>
                      <w:rFonts w:hint="eastAsia"/>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547" w:type="dxa"/>
                  <w:noWrap w:val="0"/>
                  <w:vAlign w:val="center"/>
                </w:tcPr>
                <w:p>
                  <w:pPr>
                    <w:pStyle w:val="165"/>
                    <w:bidi w:val="0"/>
                    <w:rPr>
                      <w:rFonts w:hint="eastAsia"/>
                    </w:rPr>
                  </w:pPr>
                  <w:r>
                    <w:rPr>
                      <w:rFonts w:hint="eastAsia"/>
                    </w:rPr>
                    <w:t>3</w:t>
                  </w:r>
                </w:p>
              </w:tc>
              <w:tc>
                <w:tcPr>
                  <w:tcW w:w="780" w:type="dxa"/>
                  <w:vMerge w:val="continue"/>
                  <w:noWrap w:val="0"/>
                  <w:vAlign w:val="center"/>
                </w:tcPr>
                <w:p>
                  <w:pPr>
                    <w:pStyle w:val="165"/>
                    <w:bidi w:val="0"/>
                    <w:rPr>
                      <w:rFonts w:hint="eastAsia"/>
                    </w:rPr>
                  </w:pPr>
                </w:p>
              </w:tc>
              <w:tc>
                <w:tcPr>
                  <w:tcW w:w="750" w:type="dxa"/>
                  <w:vMerge w:val="continue"/>
                  <w:noWrap w:val="0"/>
                  <w:vAlign w:val="center"/>
                </w:tcPr>
                <w:p>
                  <w:pPr>
                    <w:pStyle w:val="165"/>
                    <w:bidi w:val="0"/>
                    <w:rPr>
                      <w:rFonts w:hint="eastAsia"/>
                    </w:rPr>
                  </w:pPr>
                </w:p>
              </w:tc>
              <w:tc>
                <w:tcPr>
                  <w:tcW w:w="735" w:type="dxa"/>
                  <w:noWrap w:val="0"/>
                  <w:vAlign w:val="center"/>
                </w:tcPr>
                <w:p>
                  <w:pPr>
                    <w:pStyle w:val="165"/>
                    <w:bidi w:val="0"/>
                  </w:pPr>
                  <w:r>
                    <w:rPr>
                      <w:rFonts w:hint="eastAsia"/>
                    </w:rPr>
                    <w:t>+14</w:t>
                  </w:r>
                </w:p>
              </w:tc>
              <w:tc>
                <w:tcPr>
                  <w:tcW w:w="720" w:type="dxa"/>
                  <w:noWrap w:val="0"/>
                  <w:vAlign w:val="center"/>
                </w:tcPr>
                <w:p>
                  <w:pPr>
                    <w:pStyle w:val="165"/>
                    <w:bidi w:val="0"/>
                  </w:pPr>
                  <w:r>
                    <w:rPr>
                      <w:rFonts w:hint="eastAsia"/>
                    </w:rPr>
                    <w:t>-23</w:t>
                  </w:r>
                </w:p>
              </w:tc>
              <w:tc>
                <w:tcPr>
                  <w:tcW w:w="1035" w:type="dxa"/>
                  <w:noWrap w:val="0"/>
                  <w:vAlign w:val="center"/>
                </w:tcPr>
                <w:p>
                  <w:pPr>
                    <w:pStyle w:val="165"/>
                    <w:bidi w:val="0"/>
                    <w:rPr>
                      <w:rFonts w:hint="eastAsia"/>
                    </w:rPr>
                  </w:pPr>
                  <w:r>
                    <w:rPr>
                      <w:rFonts w:hint="eastAsia"/>
                    </w:rPr>
                    <w:t>居民</w:t>
                  </w:r>
                </w:p>
              </w:tc>
              <w:tc>
                <w:tcPr>
                  <w:tcW w:w="1200" w:type="dxa"/>
                  <w:noWrap w:val="0"/>
                  <w:vAlign w:val="center"/>
                </w:tcPr>
                <w:p>
                  <w:pPr>
                    <w:pStyle w:val="165"/>
                    <w:bidi w:val="0"/>
                  </w:pPr>
                  <w:r>
                    <w:rPr>
                      <w:rFonts w:hint="eastAsia"/>
                    </w:rPr>
                    <w:t>约1户（约3人）</w:t>
                  </w:r>
                </w:p>
              </w:tc>
              <w:tc>
                <w:tcPr>
                  <w:tcW w:w="765" w:type="dxa"/>
                  <w:vMerge w:val="continue"/>
                  <w:noWrap w:val="0"/>
                  <w:vAlign w:val="center"/>
                </w:tcPr>
                <w:p>
                  <w:pPr>
                    <w:pStyle w:val="165"/>
                    <w:bidi w:val="0"/>
                    <w:rPr>
                      <w:rFonts w:hint="eastAsia"/>
                    </w:rPr>
                  </w:pPr>
                </w:p>
              </w:tc>
              <w:tc>
                <w:tcPr>
                  <w:tcW w:w="855" w:type="dxa"/>
                  <w:noWrap w:val="0"/>
                  <w:vAlign w:val="center"/>
                </w:tcPr>
                <w:p>
                  <w:pPr>
                    <w:pStyle w:val="165"/>
                    <w:bidi w:val="0"/>
                    <w:rPr>
                      <w:rFonts w:hint="eastAsia"/>
                    </w:rPr>
                  </w:pPr>
                  <w:r>
                    <w:rPr>
                      <w:rFonts w:hint="eastAsia"/>
                    </w:rPr>
                    <w:t>东南面</w:t>
                  </w:r>
                </w:p>
              </w:tc>
              <w:tc>
                <w:tcPr>
                  <w:tcW w:w="885" w:type="dxa"/>
                  <w:noWrap w:val="0"/>
                  <w:vAlign w:val="center"/>
                </w:tcPr>
                <w:p>
                  <w:pPr>
                    <w:pStyle w:val="165"/>
                    <w:bidi w:val="0"/>
                    <w:rPr>
                      <w:rFonts w:hint="eastAsia"/>
                    </w:rPr>
                  </w:pPr>
                  <w:r>
                    <w:rPr>
                      <w:rFonts w:hint="eastAsia"/>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547" w:type="dxa"/>
                  <w:noWrap w:val="0"/>
                  <w:vAlign w:val="center"/>
                </w:tcPr>
                <w:p>
                  <w:pPr>
                    <w:pStyle w:val="165"/>
                    <w:bidi w:val="0"/>
                    <w:rPr>
                      <w:rFonts w:hint="eastAsia"/>
                    </w:rPr>
                  </w:pPr>
                  <w:r>
                    <w:rPr>
                      <w:rFonts w:hint="eastAsia"/>
                    </w:rPr>
                    <w:t>4</w:t>
                  </w:r>
                </w:p>
              </w:tc>
              <w:tc>
                <w:tcPr>
                  <w:tcW w:w="780" w:type="dxa"/>
                  <w:vMerge w:val="continue"/>
                  <w:noWrap w:val="0"/>
                  <w:vAlign w:val="center"/>
                </w:tcPr>
                <w:p>
                  <w:pPr>
                    <w:pStyle w:val="165"/>
                    <w:bidi w:val="0"/>
                    <w:rPr>
                      <w:rFonts w:hint="eastAsia"/>
                    </w:rPr>
                  </w:pPr>
                </w:p>
              </w:tc>
              <w:tc>
                <w:tcPr>
                  <w:tcW w:w="750" w:type="dxa"/>
                  <w:vMerge w:val="continue"/>
                  <w:noWrap w:val="0"/>
                  <w:vAlign w:val="center"/>
                </w:tcPr>
                <w:p>
                  <w:pPr>
                    <w:pStyle w:val="165"/>
                    <w:bidi w:val="0"/>
                    <w:rPr>
                      <w:rFonts w:hint="eastAsia"/>
                    </w:rPr>
                  </w:pPr>
                </w:p>
              </w:tc>
              <w:tc>
                <w:tcPr>
                  <w:tcW w:w="735" w:type="dxa"/>
                  <w:noWrap w:val="0"/>
                  <w:vAlign w:val="center"/>
                </w:tcPr>
                <w:p>
                  <w:pPr>
                    <w:pStyle w:val="165"/>
                    <w:bidi w:val="0"/>
                    <w:rPr>
                      <w:rFonts w:hint="eastAsia"/>
                    </w:rPr>
                  </w:pPr>
                  <w:r>
                    <w:rPr>
                      <w:rFonts w:hint="eastAsia"/>
                    </w:rPr>
                    <w:t>0</w:t>
                  </w:r>
                </w:p>
              </w:tc>
              <w:tc>
                <w:tcPr>
                  <w:tcW w:w="720" w:type="dxa"/>
                  <w:noWrap w:val="0"/>
                  <w:vAlign w:val="center"/>
                </w:tcPr>
                <w:p>
                  <w:pPr>
                    <w:pStyle w:val="165"/>
                    <w:bidi w:val="0"/>
                  </w:pPr>
                  <w:r>
                    <w:rPr>
                      <w:rFonts w:hint="eastAsia"/>
                    </w:rPr>
                    <w:t>+40</w:t>
                  </w:r>
                </w:p>
              </w:tc>
              <w:tc>
                <w:tcPr>
                  <w:tcW w:w="1035" w:type="dxa"/>
                  <w:noWrap w:val="0"/>
                  <w:vAlign w:val="center"/>
                </w:tcPr>
                <w:p>
                  <w:pPr>
                    <w:pStyle w:val="165"/>
                    <w:bidi w:val="0"/>
                    <w:rPr>
                      <w:rFonts w:hint="eastAsia"/>
                    </w:rPr>
                  </w:pPr>
                  <w:r>
                    <w:rPr>
                      <w:rFonts w:hint="eastAsia"/>
                    </w:rPr>
                    <w:t>居民</w:t>
                  </w:r>
                </w:p>
              </w:tc>
              <w:tc>
                <w:tcPr>
                  <w:tcW w:w="1200" w:type="dxa"/>
                  <w:noWrap w:val="0"/>
                  <w:vAlign w:val="center"/>
                </w:tcPr>
                <w:p>
                  <w:pPr>
                    <w:pStyle w:val="165"/>
                    <w:bidi w:val="0"/>
                    <w:rPr>
                      <w:rFonts w:hint="eastAsia"/>
                    </w:rPr>
                  </w:pPr>
                  <w:r>
                    <w:rPr>
                      <w:rFonts w:hint="eastAsia"/>
                    </w:rPr>
                    <w:t>约2户（约6人）</w:t>
                  </w:r>
                </w:p>
              </w:tc>
              <w:tc>
                <w:tcPr>
                  <w:tcW w:w="765" w:type="dxa"/>
                  <w:vMerge w:val="continue"/>
                  <w:noWrap w:val="0"/>
                  <w:vAlign w:val="center"/>
                </w:tcPr>
                <w:p>
                  <w:pPr>
                    <w:pStyle w:val="165"/>
                    <w:bidi w:val="0"/>
                    <w:rPr>
                      <w:rFonts w:hint="eastAsia"/>
                    </w:rPr>
                  </w:pPr>
                </w:p>
              </w:tc>
              <w:tc>
                <w:tcPr>
                  <w:tcW w:w="855" w:type="dxa"/>
                  <w:noWrap w:val="0"/>
                  <w:vAlign w:val="center"/>
                </w:tcPr>
                <w:p>
                  <w:pPr>
                    <w:pStyle w:val="165"/>
                    <w:bidi w:val="0"/>
                    <w:rPr>
                      <w:rFonts w:hint="eastAsia"/>
                    </w:rPr>
                  </w:pPr>
                  <w:r>
                    <w:rPr>
                      <w:rFonts w:hint="eastAsia"/>
                    </w:rPr>
                    <w:t>北面</w:t>
                  </w:r>
                </w:p>
              </w:tc>
              <w:tc>
                <w:tcPr>
                  <w:tcW w:w="885" w:type="dxa"/>
                  <w:noWrap w:val="0"/>
                  <w:vAlign w:val="center"/>
                </w:tcPr>
                <w:p>
                  <w:pPr>
                    <w:pStyle w:val="165"/>
                    <w:bidi w:val="0"/>
                    <w:rPr>
                      <w:rFonts w:hint="eastAsia"/>
                    </w:rPr>
                  </w:pPr>
                  <w:r>
                    <w:rPr>
                      <w:rFonts w:hint="eastAsia"/>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547" w:type="dxa"/>
                  <w:noWrap w:val="0"/>
                  <w:vAlign w:val="center"/>
                </w:tcPr>
                <w:p>
                  <w:pPr>
                    <w:pStyle w:val="165"/>
                    <w:bidi w:val="0"/>
                    <w:rPr>
                      <w:rFonts w:hint="eastAsia" w:eastAsia="宋体"/>
                      <w:lang w:val="en-US" w:eastAsia="zh-CN"/>
                    </w:rPr>
                  </w:pPr>
                  <w:r>
                    <w:rPr>
                      <w:rFonts w:hint="eastAsia"/>
                      <w:lang w:val="en-US" w:eastAsia="zh-CN"/>
                    </w:rPr>
                    <w:t>5</w:t>
                  </w:r>
                </w:p>
              </w:tc>
              <w:tc>
                <w:tcPr>
                  <w:tcW w:w="780" w:type="dxa"/>
                  <w:vMerge w:val="continue"/>
                  <w:noWrap w:val="0"/>
                  <w:vAlign w:val="center"/>
                </w:tcPr>
                <w:p>
                  <w:pPr>
                    <w:pStyle w:val="165"/>
                    <w:bidi w:val="0"/>
                    <w:rPr>
                      <w:rFonts w:hint="eastAsia"/>
                    </w:rPr>
                  </w:pPr>
                </w:p>
              </w:tc>
              <w:tc>
                <w:tcPr>
                  <w:tcW w:w="750" w:type="dxa"/>
                  <w:vMerge w:val="continue"/>
                  <w:noWrap w:val="0"/>
                  <w:vAlign w:val="center"/>
                </w:tcPr>
                <w:p>
                  <w:pPr>
                    <w:pStyle w:val="165"/>
                    <w:bidi w:val="0"/>
                    <w:rPr>
                      <w:rFonts w:hint="eastAsia"/>
                    </w:rPr>
                  </w:pPr>
                </w:p>
              </w:tc>
              <w:tc>
                <w:tcPr>
                  <w:tcW w:w="735" w:type="dxa"/>
                  <w:noWrap w:val="0"/>
                  <w:vAlign w:val="center"/>
                </w:tcPr>
                <w:p>
                  <w:pPr>
                    <w:pStyle w:val="165"/>
                    <w:bidi w:val="0"/>
                    <w:rPr>
                      <w:rFonts w:hint="eastAsia" w:eastAsia="宋体"/>
                      <w:lang w:val="en-US" w:eastAsia="zh-CN"/>
                    </w:rPr>
                  </w:pPr>
                  <w:r>
                    <w:rPr>
                      <w:rFonts w:hint="eastAsia"/>
                      <w:lang w:val="en-US" w:eastAsia="zh-CN"/>
                    </w:rPr>
                    <w:t>0</w:t>
                  </w:r>
                </w:p>
              </w:tc>
              <w:tc>
                <w:tcPr>
                  <w:tcW w:w="720" w:type="dxa"/>
                  <w:noWrap w:val="0"/>
                  <w:vAlign w:val="center"/>
                </w:tcPr>
                <w:p>
                  <w:pPr>
                    <w:pStyle w:val="165"/>
                    <w:bidi w:val="0"/>
                    <w:rPr>
                      <w:rFonts w:hint="default" w:eastAsia="宋体"/>
                      <w:lang w:val="en-US" w:eastAsia="zh-CN"/>
                    </w:rPr>
                  </w:pPr>
                  <w:r>
                    <w:rPr>
                      <w:rFonts w:hint="eastAsia"/>
                      <w:lang w:val="en-US" w:eastAsia="zh-CN"/>
                    </w:rPr>
                    <w:t>-62</w:t>
                  </w:r>
                </w:p>
              </w:tc>
              <w:tc>
                <w:tcPr>
                  <w:tcW w:w="1035" w:type="dxa"/>
                  <w:noWrap w:val="0"/>
                  <w:vAlign w:val="center"/>
                </w:tcPr>
                <w:p>
                  <w:pPr>
                    <w:pStyle w:val="165"/>
                    <w:bidi w:val="0"/>
                    <w:rPr>
                      <w:rFonts w:hint="eastAsia"/>
                    </w:rPr>
                  </w:pPr>
                  <w:r>
                    <w:rPr>
                      <w:rFonts w:hint="eastAsia"/>
                    </w:rPr>
                    <w:t>居民</w:t>
                  </w:r>
                </w:p>
              </w:tc>
              <w:tc>
                <w:tcPr>
                  <w:tcW w:w="1200" w:type="dxa"/>
                  <w:noWrap w:val="0"/>
                  <w:vAlign w:val="center"/>
                </w:tcPr>
                <w:p>
                  <w:pPr>
                    <w:pStyle w:val="165"/>
                    <w:bidi w:val="0"/>
                    <w:rPr>
                      <w:rFonts w:hint="default" w:eastAsia="宋体"/>
                      <w:lang w:val="en-US" w:eastAsia="zh-CN"/>
                    </w:rPr>
                  </w:pPr>
                  <w:r>
                    <w:rPr>
                      <w:rFonts w:hint="eastAsia"/>
                      <w:lang w:eastAsia="zh-CN"/>
                    </w:rPr>
                    <w:t>约</w:t>
                  </w:r>
                  <w:r>
                    <w:rPr>
                      <w:rFonts w:hint="eastAsia"/>
                      <w:lang w:val="en-US" w:eastAsia="zh-CN"/>
                    </w:rPr>
                    <w:t>8户（约24人）</w:t>
                  </w:r>
                </w:p>
              </w:tc>
              <w:tc>
                <w:tcPr>
                  <w:tcW w:w="765" w:type="dxa"/>
                  <w:vMerge w:val="continue"/>
                  <w:noWrap w:val="0"/>
                  <w:vAlign w:val="center"/>
                </w:tcPr>
                <w:p>
                  <w:pPr>
                    <w:pStyle w:val="165"/>
                    <w:bidi w:val="0"/>
                    <w:rPr>
                      <w:rFonts w:hint="eastAsia"/>
                    </w:rPr>
                  </w:pPr>
                </w:p>
              </w:tc>
              <w:tc>
                <w:tcPr>
                  <w:tcW w:w="855" w:type="dxa"/>
                  <w:noWrap w:val="0"/>
                  <w:vAlign w:val="center"/>
                </w:tcPr>
                <w:p>
                  <w:pPr>
                    <w:pStyle w:val="165"/>
                    <w:bidi w:val="0"/>
                    <w:rPr>
                      <w:rFonts w:hint="eastAsia" w:eastAsia="宋体"/>
                      <w:lang w:eastAsia="zh-CN"/>
                    </w:rPr>
                  </w:pPr>
                  <w:r>
                    <w:rPr>
                      <w:rFonts w:hint="eastAsia"/>
                      <w:lang w:eastAsia="zh-CN"/>
                    </w:rPr>
                    <w:t>南面</w:t>
                  </w:r>
                </w:p>
              </w:tc>
              <w:tc>
                <w:tcPr>
                  <w:tcW w:w="885" w:type="dxa"/>
                  <w:noWrap w:val="0"/>
                  <w:vAlign w:val="center"/>
                </w:tcPr>
                <w:p>
                  <w:pPr>
                    <w:pStyle w:val="165"/>
                    <w:bidi w:val="0"/>
                    <w:rPr>
                      <w:rFonts w:hint="eastAsia" w:eastAsia="宋体"/>
                      <w:lang w:val="en-US" w:eastAsia="zh-CN"/>
                    </w:rPr>
                  </w:pPr>
                  <w:r>
                    <w:rPr>
                      <w:rFonts w:hint="eastAsia"/>
                      <w:lang w:val="en-US" w:eastAsia="zh-CN"/>
                    </w:rPr>
                    <w:t>6</w:t>
                  </w:r>
                </w:p>
              </w:tc>
            </w:tr>
          </w:tbl>
          <w:p>
            <w:pPr>
              <w:jc w:val="center"/>
              <w:rPr>
                <w:b/>
              </w:rPr>
            </w:pPr>
            <w:r>
              <w:rPr>
                <w:b/>
              </w:rPr>
              <w:t>表3-</w:t>
            </w:r>
            <w:r>
              <w:rPr>
                <w:rFonts w:hint="eastAsia"/>
                <w:b/>
                <w:lang w:val="en-US" w:eastAsia="zh-CN"/>
              </w:rPr>
              <w:t>6</w:t>
            </w:r>
            <w:r>
              <w:rPr>
                <w:rFonts w:hint="eastAsia"/>
                <w:b/>
              </w:rPr>
              <w:t xml:space="preserve">  本</w:t>
            </w:r>
            <w:r>
              <w:rPr>
                <w:b/>
              </w:rPr>
              <w:t>项目主要环境敏感点及保护级别一览表</w:t>
            </w:r>
          </w:p>
          <w:tbl>
            <w:tblPr>
              <w:tblStyle w:val="4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4"/>
              <w:gridCol w:w="1868"/>
              <w:gridCol w:w="1103"/>
              <w:gridCol w:w="900"/>
              <w:gridCol w:w="880"/>
              <w:gridCol w:w="24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3" w:hRule="atLeast"/>
                <w:tblHeader/>
                <w:jc w:val="center"/>
              </w:trPr>
              <w:tc>
                <w:tcPr>
                  <w:tcW w:w="592" w:type="pct"/>
                  <w:tcBorders>
                    <w:bottom w:val="single" w:color="auto" w:sz="12" w:space="0"/>
                  </w:tcBorders>
                  <w:noWrap w:val="0"/>
                  <w:vAlign w:val="center"/>
                </w:tcPr>
                <w:p>
                  <w:pPr>
                    <w:pStyle w:val="129"/>
                    <w:rPr>
                      <w:b/>
                      <w:bCs/>
                    </w:rPr>
                  </w:pPr>
                  <w:r>
                    <w:rPr>
                      <w:b/>
                      <w:bCs/>
                    </w:rPr>
                    <w:t>环境因素</w:t>
                  </w:r>
                </w:p>
              </w:tc>
              <w:tc>
                <w:tcPr>
                  <w:tcW w:w="1147" w:type="pct"/>
                  <w:tcBorders>
                    <w:bottom w:val="single" w:color="auto" w:sz="12" w:space="0"/>
                  </w:tcBorders>
                  <w:noWrap w:val="0"/>
                  <w:vAlign w:val="center"/>
                </w:tcPr>
                <w:p>
                  <w:pPr>
                    <w:pStyle w:val="129"/>
                    <w:rPr>
                      <w:b/>
                      <w:bCs/>
                    </w:rPr>
                  </w:pPr>
                  <w:r>
                    <w:rPr>
                      <w:b/>
                      <w:bCs/>
                    </w:rPr>
                    <w:t>保护目标</w:t>
                  </w:r>
                </w:p>
              </w:tc>
              <w:tc>
                <w:tcPr>
                  <w:tcW w:w="678" w:type="pct"/>
                  <w:tcBorders>
                    <w:bottom w:val="single" w:color="auto" w:sz="12" w:space="0"/>
                  </w:tcBorders>
                  <w:noWrap w:val="0"/>
                  <w:vAlign w:val="center"/>
                </w:tcPr>
                <w:p>
                  <w:pPr>
                    <w:pStyle w:val="129"/>
                    <w:rPr>
                      <w:b/>
                      <w:bCs/>
                    </w:rPr>
                  </w:pPr>
                  <w:r>
                    <w:rPr>
                      <w:b/>
                      <w:bCs/>
                    </w:rPr>
                    <w:t>人数/规模</w:t>
                  </w:r>
                </w:p>
              </w:tc>
              <w:tc>
                <w:tcPr>
                  <w:tcW w:w="553" w:type="pct"/>
                  <w:tcBorders>
                    <w:bottom w:val="single" w:color="auto" w:sz="12" w:space="0"/>
                  </w:tcBorders>
                  <w:noWrap w:val="0"/>
                  <w:vAlign w:val="center"/>
                </w:tcPr>
                <w:p>
                  <w:pPr>
                    <w:pStyle w:val="129"/>
                    <w:rPr>
                      <w:b/>
                      <w:bCs/>
                    </w:rPr>
                  </w:pPr>
                  <w:r>
                    <w:rPr>
                      <w:b/>
                      <w:bCs/>
                    </w:rPr>
                    <w:t>方位</w:t>
                  </w:r>
                </w:p>
              </w:tc>
              <w:tc>
                <w:tcPr>
                  <w:tcW w:w="541" w:type="pct"/>
                  <w:tcBorders>
                    <w:bottom w:val="single" w:color="auto" w:sz="12" w:space="0"/>
                  </w:tcBorders>
                  <w:noWrap w:val="0"/>
                  <w:vAlign w:val="center"/>
                </w:tcPr>
                <w:p>
                  <w:pPr>
                    <w:pStyle w:val="129"/>
                    <w:rPr>
                      <w:b/>
                      <w:bCs/>
                    </w:rPr>
                  </w:pPr>
                  <w:r>
                    <w:rPr>
                      <w:b/>
                      <w:bCs/>
                    </w:rPr>
                    <w:t>距离</w:t>
                  </w:r>
                </w:p>
              </w:tc>
              <w:tc>
                <w:tcPr>
                  <w:tcW w:w="1486" w:type="pct"/>
                  <w:tcBorders>
                    <w:bottom w:val="single" w:color="auto" w:sz="12" w:space="0"/>
                  </w:tcBorders>
                  <w:noWrap w:val="0"/>
                  <w:vAlign w:val="center"/>
                </w:tcPr>
                <w:p>
                  <w:pPr>
                    <w:pStyle w:val="129"/>
                    <w:rPr>
                      <w:b/>
                      <w:bCs/>
                    </w:rPr>
                  </w:pPr>
                  <w:r>
                    <w:rPr>
                      <w:b/>
                      <w:bCs/>
                    </w:rPr>
                    <w:t>保护级别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6" w:hRule="atLeast"/>
                <w:tblHeader/>
                <w:jc w:val="center"/>
              </w:trPr>
              <w:tc>
                <w:tcPr>
                  <w:tcW w:w="592" w:type="pct"/>
                  <w:vMerge w:val="restart"/>
                  <w:tcBorders>
                    <w:top w:val="single" w:color="auto" w:sz="12" w:space="0"/>
                  </w:tcBorders>
                  <w:noWrap w:val="0"/>
                  <w:vAlign w:val="center"/>
                </w:tcPr>
                <w:p>
                  <w:pPr>
                    <w:pStyle w:val="129"/>
                  </w:pPr>
                  <w:r>
                    <w:t>声环境</w:t>
                  </w:r>
                </w:p>
              </w:tc>
              <w:tc>
                <w:tcPr>
                  <w:tcW w:w="1147" w:type="pct"/>
                  <w:tcBorders>
                    <w:top w:val="single" w:color="auto" w:sz="12" w:space="0"/>
                  </w:tcBorders>
                  <w:noWrap w:val="0"/>
                  <w:vAlign w:val="center"/>
                </w:tcPr>
                <w:p>
                  <w:pPr>
                    <w:pStyle w:val="129"/>
                    <w:rPr>
                      <w:rFonts w:hint="eastAsia"/>
                    </w:rPr>
                  </w:pPr>
                  <w:r>
                    <w:rPr>
                      <w:rFonts w:hint="eastAsia"/>
                    </w:rPr>
                    <w:t>徐月村居民</w:t>
                  </w:r>
                </w:p>
              </w:tc>
              <w:tc>
                <w:tcPr>
                  <w:tcW w:w="678" w:type="pct"/>
                  <w:tcBorders>
                    <w:top w:val="single" w:color="auto" w:sz="12" w:space="0"/>
                  </w:tcBorders>
                  <w:noWrap w:val="0"/>
                  <w:vAlign w:val="center"/>
                </w:tcPr>
                <w:p>
                  <w:pPr>
                    <w:pStyle w:val="129"/>
                  </w:pPr>
                  <w:r>
                    <w:rPr>
                      <w:rFonts w:hint="eastAsia"/>
                    </w:rPr>
                    <w:t>约</w:t>
                  </w:r>
                  <w:r>
                    <w:rPr>
                      <w:rFonts w:hint="eastAsia"/>
                      <w:lang w:val="en-US" w:eastAsia="zh-CN"/>
                    </w:rPr>
                    <w:t>9</w:t>
                  </w:r>
                  <w:r>
                    <w:rPr>
                      <w:rFonts w:hint="eastAsia"/>
                    </w:rPr>
                    <w:t>0人</w:t>
                  </w:r>
                </w:p>
              </w:tc>
              <w:tc>
                <w:tcPr>
                  <w:tcW w:w="553" w:type="pct"/>
                  <w:tcBorders>
                    <w:top w:val="single" w:color="auto" w:sz="12" w:space="0"/>
                  </w:tcBorders>
                  <w:noWrap w:val="0"/>
                  <w:vAlign w:val="center"/>
                </w:tcPr>
                <w:p>
                  <w:pPr>
                    <w:pStyle w:val="129"/>
                    <w:rPr>
                      <w:rFonts w:hint="eastAsia"/>
                    </w:rPr>
                  </w:pPr>
                  <w:r>
                    <w:rPr>
                      <w:rFonts w:hint="eastAsia"/>
                    </w:rPr>
                    <w:t>所在地及周边</w:t>
                  </w:r>
                </w:p>
              </w:tc>
              <w:tc>
                <w:tcPr>
                  <w:tcW w:w="541" w:type="pct"/>
                  <w:tcBorders>
                    <w:top w:val="single" w:color="auto" w:sz="12" w:space="0"/>
                  </w:tcBorders>
                  <w:noWrap w:val="0"/>
                  <w:vAlign w:val="center"/>
                </w:tcPr>
                <w:p>
                  <w:pPr>
                    <w:pStyle w:val="129"/>
                  </w:pPr>
                  <w:r>
                    <w:rPr>
                      <w:rFonts w:hint="eastAsia"/>
                    </w:rPr>
                    <w:t>/</w:t>
                  </w:r>
                </w:p>
              </w:tc>
              <w:tc>
                <w:tcPr>
                  <w:tcW w:w="1486" w:type="pct"/>
                  <w:vMerge w:val="restart"/>
                  <w:tcBorders>
                    <w:top w:val="single" w:color="auto" w:sz="12" w:space="0"/>
                  </w:tcBorders>
                  <w:noWrap w:val="0"/>
                  <w:vAlign w:val="center"/>
                </w:tcPr>
                <w:p>
                  <w:pPr>
                    <w:pStyle w:val="129"/>
                  </w:pPr>
                  <w:r>
                    <w:rPr>
                      <w:rFonts w:hint="eastAsia"/>
                    </w:rPr>
                    <w:t>满足GB3095-2012中二级标准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3" w:hRule="atLeast"/>
                <w:tblHeader/>
                <w:jc w:val="center"/>
              </w:trPr>
              <w:tc>
                <w:tcPr>
                  <w:tcW w:w="592" w:type="pct"/>
                  <w:noWrap w:val="0"/>
                  <w:vAlign w:val="center"/>
                </w:tcPr>
                <w:p>
                  <w:pPr>
                    <w:pStyle w:val="129"/>
                  </w:pPr>
                  <w:r>
                    <w:t>地表水环境</w:t>
                  </w:r>
                </w:p>
              </w:tc>
              <w:tc>
                <w:tcPr>
                  <w:tcW w:w="1147" w:type="pct"/>
                  <w:noWrap w:val="0"/>
                  <w:vAlign w:val="center"/>
                </w:tcPr>
                <w:p>
                  <w:pPr>
                    <w:pStyle w:val="129"/>
                  </w:pPr>
                  <w:r>
                    <w:rPr>
                      <w:rFonts w:hint="eastAsia"/>
                    </w:rPr>
                    <w:t>临江河</w:t>
                  </w:r>
                </w:p>
              </w:tc>
              <w:tc>
                <w:tcPr>
                  <w:tcW w:w="678" w:type="pct"/>
                  <w:noWrap w:val="0"/>
                  <w:vAlign w:val="center"/>
                </w:tcPr>
                <w:p>
                  <w:pPr>
                    <w:pStyle w:val="129"/>
                  </w:pPr>
                  <w:r>
                    <w:t>/</w:t>
                  </w:r>
                </w:p>
              </w:tc>
              <w:tc>
                <w:tcPr>
                  <w:tcW w:w="553" w:type="pct"/>
                  <w:noWrap w:val="0"/>
                  <w:vAlign w:val="center"/>
                </w:tcPr>
                <w:p>
                  <w:pPr>
                    <w:pStyle w:val="129"/>
                  </w:pPr>
                  <w:r>
                    <w:rPr>
                      <w:rFonts w:hint="eastAsia"/>
                    </w:rPr>
                    <w:t>南</w:t>
                  </w:r>
                </w:p>
              </w:tc>
              <w:tc>
                <w:tcPr>
                  <w:tcW w:w="541" w:type="pct"/>
                  <w:noWrap w:val="0"/>
                  <w:vAlign w:val="center"/>
                </w:tcPr>
                <w:p>
                  <w:pPr>
                    <w:pStyle w:val="129"/>
                  </w:pPr>
                  <w:r>
                    <w:rPr>
                      <w:rFonts w:hint="eastAsia"/>
                      <w:highlight w:val="none"/>
                    </w:rPr>
                    <w:t>60</w:t>
                  </w:r>
                  <w:r>
                    <w:rPr>
                      <w:highlight w:val="none"/>
                    </w:rPr>
                    <w:t>m</w:t>
                  </w:r>
                </w:p>
              </w:tc>
              <w:tc>
                <w:tcPr>
                  <w:tcW w:w="1486" w:type="pct"/>
                  <w:noWrap w:val="0"/>
                  <w:vAlign w:val="center"/>
                </w:tcPr>
                <w:p>
                  <w:pPr>
                    <w:pStyle w:val="129"/>
                  </w:pPr>
                  <w:r>
                    <w:t>满足GB3838-2002中</w:t>
                  </w:r>
                  <w:r>
                    <w:rPr>
                      <w:rFonts w:hAnsi="宋体"/>
                    </w:rPr>
                    <w:t>Ⅲ</w:t>
                  </w:r>
                  <w: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3" w:hRule="atLeast"/>
                <w:tblHeader/>
                <w:jc w:val="center"/>
              </w:trPr>
              <w:tc>
                <w:tcPr>
                  <w:tcW w:w="592" w:type="pct"/>
                  <w:noWrap w:val="0"/>
                  <w:vAlign w:val="center"/>
                </w:tcPr>
                <w:p>
                  <w:pPr>
                    <w:pStyle w:val="129"/>
                    <w:rPr>
                      <w:rFonts w:hint="eastAsia"/>
                    </w:rPr>
                  </w:pPr>
                  <w:r>
                    <w:rPr>
                      <w:rFonts w:hint="eastAsia"/>
                    </w:rPr>
                    <w:t>地下水环境</w:t>
                  </w:r>
                </w:p>
              </w:tc>
              <w:tc>
                <w:tcPr>
                  <w:tcW w:w="1147" w:type="pct"/>
                  <w:noWrap w:val="0"/>
                  <w:vAlign w:val="center"/>
                </w:tcPr>
                <w:p>
                  <w:pPr>
                    <w:pStyle w:val="129"/>
                  </w:pPr>
                  <w:r>
                    <w:rPr>
                      <w:rFonts w:hint="eastAsia"/>
                    </w:rPr>
                    <w:t>周边地下水环境</w:t>
                  </w:r>
                </w:p>
              </w:tc>
              <w:tc>
                <w:tcPr>
                  <w:tcW w:w="678" w:type="pct"/>
                  <w:noWrap w:val="0"/>
                  <w:vAlign w:val="center"/>
                </w:tcPr>
                <w:p>
                  <w:pPr>
                    <w:pStyle w:val="129"/>
                    <w:rPr>
                      <w:rFonts w:hint="eastAsia"/>
                    </w:rPr>
                  </w:pPr>
                  <w:r>
                    <w:rPr>
                      <w:rFonts w:hint="eastAsia"/>
                    </w:rPr>
                    <w:t>/</w:t>
                  </w:r>
                </w:p>
              </w:tc>
              <w:tc>
                <w:tcPr>
                  <w:tcW w:w="553" w:type="pct"/>
                  <w:noWrap w:val="0"/>
                  <w:vAlign w:val="center"/>
                </w:tcPr>
                <w:p>
                  <w:pPr>
                    <w:pStyle w:val="129"/>
                    <w:rPr>
                      <w:rFonts w:hint="eastAsia"/>
                    </w:rPr>
                  </w:pPr>
                  <w:r>
                    <w:rPr>
                      <w:rFonts w:hint="eastAsia"/>
                    </w:rPr>
                    <w:t>所在地及周边</w:t>
                  </w:r>
                </w:p>
              </w:tc>
              <w:tc>
                <w:tcPr>
                  <w:tcW w:w="541" w:type="pct"/>
                  <w:noWrap w:val="0"/>
                  <w:vAlign w:val="center"/>
                </w:tcPr>
                <w:p>
                  <w:pPr>
                    <w:pStyle w:val="129"/>
                    <w:rPr>
                      <w:rFonts w:hint="eastAsia"/>
                    </w:rPr>
                  </w:pPr>
                  <w:r>
                    <w:rPr>
                      <w:rFonts w:hint="eastAsia"/>
                    </w:rPr>
                    <w:t>/</w:t>
                  </w:r>
                </w:p>
              </w:tc>
              <w:tc>
                <w:tcPr>
                  <w:tcW w:w="1486" w:type="pct"/>
                  <w:noWrap w:val="0"/>
                  <w:vAlign w:val="center"/>
                </w:tcPr>
                <w:p>
                  <w:pPr>
                    <w:pStyle w:val="129"/>
                    <w:rPr>
                      <w:rFonts w:hint="eastAsia"/>
                    </w:rPr>
                  </w:pPr>
                  <w:r>
                    <w:rPr>
                      <w:rFonts w:hint="eastAsia"/>
                    </w:rPr>
                    <w:t>满足</w:t>
                  </w:r>
                  <w:r>
                    <w:t>GB/T14848-2017</w:t>
                  </w:r>
                  <w:r>
                    <w:rPr>
                      <w:rFonts w:hint="eastAsia"/>
                    </w:rPr>
                    <w:t>中的</w:t>
                  </w:r>
                  <w:r>
                    <w:t>III</w:t>
                  </w:r>
                  <w:r>
                    <w:rPr>
                      <w:rFonts w:hint="eastAsia"/>
                    </w:rPr>
                    <w:t>类标准要求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3" w:hRule="atLeast"/>
                <w:tblHeader/>
                <w:jc w:val="center"/>
              </w:trPr>
              <w:tc>
                <w:tcPr>
                  <w:tcW w:w="592" w:type="pct"/>
                  <w:noWrap w:val="0"/>
                  <w:vAlign w:val="center"/>
                </w:tcPr>
                <w:p>
                  <w:pPr>
                    <w:pStyle w:val="129"/>
                    <w:rPr>
                      <w:rFonts w:hint="eastAsia"/>
                    </w:rPr>
                  </w:pPr>
                  <w:r>
                    <w:rPr>
                      <w:rFonts w:hint="eastAsia"/>
                    </w:rPr>
                    <w:t>土壤环境</w:t>
                  </w:r>
                </w:p>
              </w:tc>
              <w:tc>
                <w:tcPr>
                  <w:tcW w:w="1147" w:type="pct"/>
                  <w:noWrap w:val="0"/>
                  <w:vAlign w:val="center"/>
                </w:tcPr>
                <w:p>
                  <w:pPr>
                    <w:pStyle w:val="129"/>
                    <w:rPr>
                      <w:rFonts w:hint="eastAsia"/>
                    </w:rPr>
                  </w:pPr>
                  <w:r>
                    <w:rPr>
                      <w:rFonts w:hint="eastAsia"/>
                    </w:rPr>
                    <w:t>周边土壤环境</w:t>
                  </w:r>
                </w:p>
              </w:tc>
              <w:tc>
                <w:tcPr>
                  <w:tcW w:w="678" w:type="pct"/>
                  <w:noWrap w:val="0"/>
                  <w:vAlign w:val="center"/>
                </w:tcPr>
                <w:p>
                  <w:pPr>
                    <w:pStyle w:val="129"/>
                    <w:rPr>
                      <w:rFonts w:hint="eastAsia"/>
                    </w:rPr>
                  </w:pPr>
                  <w:r>
                    <w:rPr>
                      <w:rFonts w:hint="eastAsia"/>
                    </w:rPr>
                    <w:t>/</w:t>
                  </w:r>
                </w:p>
              </w:tc>
              <w:tc>
                <w:tcPr>
                  <w:tcW w:w="553" w:type="pct"/>
                  <w:noWrap w:val="0"/>
                  <w:vAlign w:val="center"/>
                </w:tcPr>
                <w:p>
                  <w:pPr>
                    <w:pStyle w:val="129"/>
                    <w:rPr>
                      <w:rFonts w:hint="eastAsia"/>
                    </w:rPr>
                  </w:pPr>
                  <w:r>
                    <w:rPr>
                      <w:rFonts w:hint="eastAsia"/>
                    </w:rPr>
                    <w:t>所在地及周边</w:t>
                  </w:r>
                </w:p>
              </w:tc>
              <w:tc>
                <w:tcPr>
                  <w:tcW w:w="541" w:type="pct"/>
                  <w:noWrap w:val="0"/>
                  <w:vAlign w:val="center"/>
                </w:tcPr>
                <w:p>
                  <w:pPr>
                    <w:pStyle w:val="129"/>
                    <w:rPr>
                      <w:rFonts w:hint="eastAsia"/>
                    </w:rPr>
                  </w:pPr>
                  <w:r>
                    <w:rPr>
                      <w:rFonts w:hint="eastAsia"/>
                    </w:rPr>
                    <w:t>/</w:t>
                  </w:r>
                </w:p>
              </w:tc>
              <w:tc>
                <w:tcPr>
                  <w:tcW w:w="1486" w:type="pct"/>
                  <w:noWrap w:val="0"/>
                  <w:vAlign w:val="center"/>
                </w:tcPr>
                <w:p>
                  <w:pPr>
                    <w:pStyle w:val="129"/>
                    <w:rPr>
                      <w:rFonts w:hint="eastAsia"/>
                    </w:rPr>
                  </w:pPr>
                  <w:r>
                    <w:rPr>
                      <w:rFonts w:hint="eastAsia"/>
                    </w:rPr>
                    <w:t>《土壤环境质量 建设用地土壤污染风险管控标准》</w:t>
                  </w:r>
                  <w:r>
                    <w:t>(GB15618-2018)</w:t>
                  </w:r>
                  <w:r>
                    <w:rPr>
                      <w:rFonts w:hint="eastAsia"/>
                    </w:rPr>
                    <w:t>中相关限值要求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3" w:hRule="atLeast"/>
                <w:tblHeader/>
                <w:jc w:val="center"/>
              </w:trPr>
              <w:tc>
                <w:tcPr>
                  <w:tcW w:w="592" w:type="pct"/>
                  <w:noWrap w:val="0"/>
                  <w:vAlign w:val="center"/>
                </w:tcPr>
                <w:p>
                  <w:pPr>
                    <w:pStyle w:val="129"/>
                    <w:rPr>
                      <w:rFonts w:hint="eastAsia"/>
                    </w:rPr>
                  </w:pPr>
                  <w:r>
                    <w:rPr>
                      <w:rFonts w:hint="eastAsia"/>
                    </w:rPr>
                    <w:t>生态环境</w:t>
                  </w:r>
                </w:p>
              </w:tc>
              <w:tc>
                <w:tcPr>
                  <w:tcW w:w="1147" w:type="pct"/>
                  <w:noWrap w:val="0"/>
                  <w:vAlign w:val="center"/>
                </w:tcPr>
                <w:p>
                  <w:pPr>
                    <w:pStyle w:val="129"/>
                    <w:rPr>
                      <w:rFonts w:hint="eastAsia"/>
                    </w:rPr>
                  </w:pPr>
                  <w:r>
                    <w:rPr>
                      <w:rFonts w:hint="eastAsia"/>
                    </w:rPr>
                    <w:t>周边生态环境</w:t>
                  </w:r>
                </w:p>
              </w:tc>
              <w:tc>
                <w:tcPr>
                  <w:tcW w:w="678" w:type="pct"/>
                  <w:noWrap w:val="0"/>
                  <w:vAlign w:val="center"/>
                </w:tcPr>
                <w:p>
                  <w:pPr>
                    <w:pStyle w:val="129"/>
                    <w:rPr>
                      <w:rFonts w:hint="eastAsia"/>
                    </w:rPr>
                  </w:pPr>
                  <w:r>
                    <w:rPr>
                      <w:rFonts w:hint="eastAsia"/>
                    </w:rPr>
                    <w:t>/</w:t>
                  </w:r>
                </w:p>
              </w:tc>
              <w:tc>
                <w:tcPr>
                  <w:tcW w:w="553" w:type="pct"/>
                  <w:noWrap w:val="0"/>
                  <w:vAlign w:val="center"/>
                </w:tcPr>
                <w:p>
                  <w:pPr>
                    <w:pStyle w:val="129"/>
                    <w:rPr>
                      <w:rFonts w:hint="eastAsia"/>
                    </w:rPr>
                  </w:pPr>
                  <w:r>
                    <w:rPr>
                      <w:rFonts w:hint="eastAsia"/>
                    </w:rPr>
                    <w:t>所在地及周边</w:t>
                  </w:r>
                </w:p>
              </w:tc>
              <w:tc>
                <w:tcPr>
                  <w:tcW w:w="541" w:type="pct"/>
                  <w:noWrap w:val="0"/>
                  <w:vAlign w:val="center"/>
                </w:tcPr>
                <w:p>
                  <w:pPr>
                    <w:pStyle w:val="129"/>
                    <w:rPr>
                      <w:rFonts w:hint="eastAsia"/>
                    </w:rPr>
                  </w:pPr>
                  <w:r>
                    <w:rPr>
                      <w:rFonts w:hint="eastAsia"/>
                    </w:rPr>
                    <w:t>/</w:t>
                  </w:r>
                </w:p>
              </w:tc>
              <w:tc>
                <w:tcPr>
                  <w:tcW w:w="1486" w:type="pct"/>
                  <w:noWrap w:val="0"/>
                  <w:vAlign w:val="center"/>
                </w:tcPr>
                <w:p>
                  <w:pPr>
                    <w:pStyle w:val="129"/>
                    <w:rPr>
                      <w:rFonts w:hint="eastAsia"/>
                    </w:rPr>
                  </w:pPr>
                  <w:r>
                    <w:rPr>
                      <w:rFonts w:hint="eastAsia"/>
                    </w:rPr>
                    <w:t>/</w:t>
                  </w:r>
                </w:p>
              </w:tc>
            </w:tr>
          </w:tbl>
          <w:p>
            <w:pPr>
              <w:adjustRightInd w:val="0"/>
              <w:snapToGrid w:val="0"/>
              <w:jc w:val="center"/>
              <w:rPr>
                <w:rFonts w:ascii="Times New Roman" w:hAnsi="Times New Roman" w:eastAsia="宋体"/>
                <w:color w:val="000000"/>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0" w:type="dxa"/>
            <w:noWrap w:val="0"/>
            <w:tcMar>
              <w:left w:w="28" w:type="dxa"/>
              <w:right w:w="28" w:type="dxa"/>
            </w:tcMar>
            <w:vAlign w:val="center"/>
          </w:tcPr>
          <w:p>
            <w:pPr>
              <w:adjustRightInd w:val="0"/>
              <w:snapToGrid w:val="0"/>
              <w:jc w:val="center"/>
              <w:rPr>
                <w:rFonts w:ascii="Times New Roman" w:hAnsi="Times New Roman" w:eastAsia="宋体"/>
                <w:color w:val="000000"/>
                <w:kern w:val="0"/>
                <w:szCs w:val="21"/>
              </w:rPr>
            </w:pPr>
            <w:r>
              <w:rPr>
                <w:rFonts w:ascii="Times New Roman" w:hAnsi="Times New Roman" w:eastAsia="宋体"/>
                <w:color w:val="000000"/>
                <w:kern w:val="0"/>
                <w:szCs w:val="21"/>
              </w:rPr>
              <w:t>污染</w:t>
            </w:r>
          </w:p>
          <w:p>
            <w:pPr>
              <w:adjustRightInd w:val="0"/>
              <w:snapToGrid w:val="0"/>
              <w:jc w:val="center"/>
              <w:rPr>
                <w:rFonts w:ascii="Times New Roman" w:hAnsi="Times New Roman" w:eastAsia="宋体"/>
                <w:color w:val="000000"/>
                <w:kern w:val="0"/>
                <w:szCs w:val="21"/>
              </w:rPr>
            </w:pPr>
            <w:r>
              <w:rPr>
                <w:rFonts w:ascii="Times New Roman" w:hAnsi="Times New Roman" w:eastAsia="宋体"/>
                <w:color w:val="000000"/>
                <w:kern w:val="0"/>
                <w:szCs w:val="21"/>
              </w:rPr>
              <w:t>物排</w:t>
            </w:r>
          </w:p>
          <w:p>
            <w:pPr>
              <w:adjustRightInd w:val="0"/>
              <w:snapToGrid w:val="0"/>
              <w:jc w:val="center"/>
              <w:rPr>
                <w:rFonts w:ascii="Times New Roman" w:hAnsi="Times New Roman" w:eastAsia="宋体"/>
                <w:color w:val="000000"/>
                <w:kern w:val="0"/>
                <w:szCs w:val="21"/>
              </w:rPr>
            </w:pPr>
            <w:r>
              <w:rPr>
                <w:rFonts w:ascii="Times New Roman" w:hAnsi="Times New Roman" w:eastAsia="宋体"/>
                <w:color w:val="000000"/>
                <w:kern w:val="0"/>
                <w:szCs w:val="21"/>
              </w:rPr>
              <w:t>放控</w:t>
            </w:r>
          </w:p>
          <w:p>
            <w:pPr>
              <w:adjustRightInd w:val="0"/>
              <w:snapToGrid w:val="0"/>
              <w:jc w:val="center"/>
              <w:rPr>
                <w:rFonts w:ascii="Times New Roman" w:hAnsi="Times New Roman" w:eastAsia="宋体"/>
                <w:color w:val="000000"/>
                <w:kern w:val="0"/>
                <w:szCs w:val="21"/>
              </w:rPr>
            </w:pPr>
            <w:r>
              <w:rPr>
                <w:rFonts w:ascii="Times New Roman" w:hAnsi="Times New Roman" w:eastAsia="宋体"/>
                <w:color w:val="000000"/>
                <w:kern w:val="0"/>
                <w:szCs w:val="21"/>
              </w:rPr>
              <w:t>制标</w:t>
            </w:r>
          </w:p>
          <w:p>
            <w:pPr>
              <w:adjustRightInd w:val="0"/>
              <w:snapToGrid w:val="0"/>
              <w:jc w:val="center"/>
              <w:rPr>
                <w:rFonts w:ascii="Times New Roman" w:hAnsi="Times New Roman" w:eastAsia="宋体"/>
                <w:color w:val="000000"/>
                <w:kern w:val="0"/>
                <w:szCs w:val="21"/>
              </w:rPr>
            </w:pPr>
            <w:r>
              <w:rPr>
                <w:rFonts w:ascii="Times New Roman" w:hAnsi="Times New Roman" w:eastAsia="宋体"/>
                <w:color w:val="000000"/>
                <w:kern w:val="0"/>
                <w:szCs w:val="21"/>
              </w:rPr>
              <w:t>准</w:t>
            </w:r>
          </w:p>
        </w:tc>
        <w:tc>
          <w:tcPr>
            <w:tcW w:w="8350" w:type="dxa"/>
            <w:noWrap w:val="0"/>
            <w:vAlign w:val="center"/>
          </w:tcPr>
          <w:p>
            <w:pPr>
              <w:pStyle w:val="185"/>
              <w:ind w:firstLine="482"/>
              <w:rPr>
                <w:rFonts w:ascii="Times New Roman" w:hAnsi="Times New Roman" w:eastAsia="宋体"/>
                <w:b/>
                <w:color w:val="000000"/>
              </w:rPr>
            </w:pPr>
            <w:r>
              <w:rPr>
                <w:rFonts w:ascii="Times New Roman" w:hAnsi="Times New Roman" w:eastAsia="宋体"/>
                <w:b/>
                <w:color w:val="000000"/>
              </w:rPr>
              <w:t>1、废气</w:t>
            </w:r>
          </w:p>
          <w:p>
            <w:pPr>
              <w:tabs>
                <w:tab w:val="left" w:pos="597"/>
                <w:tab w:val="left" w:pos="2970"/>
              </w:tabs>
              <w:adjustRightInd w:val="0"/>
              <w:snapToGrid w:val="0"/>
              <w:spacing w:line="360" w:lineRule="auto"/>
              <w:ind w:firstLine="480" w:firstLineChars="200"/>
              <w:rPr>
                <w:rFonts w:hint="eastAsia"/>
                <w:sz w:val="24"/>
              </w:rPr>
            </w:pPr>
            <w:r>
              <w:rPr>
                <w:rFonts w:hint="eastAsia"/>
                <w:sz w:val="24"/>
              </w:rPr>
              <w:t>项目</w:t>
            </w:r>
            <w:r>
              <w:rPr>
                <w:sz w:val="24"/>
              </w:rPr>
              <w:t>营运期</w:t>
            </w:r>
            <w:r>
              <w:rPr>
                <w:rFonts w:hint="eastAsia"/>
                <w:sz w:val="24"/>
              </w:rPr>
              <w:t>污水处理站周边臭气执行</w:t>
            </w:r>
            <w:r>
              <w:rPr>
                <w:rFonts w:hint="eastAsia" w:ascii="宋体" w:hAnsi="宋体" w:cs="宋体"/>
                <w:sz w:val="24"/>
              </w:rPr>
              <w:t>《医疗机构水污染染</w:t>
            </w:r>
            <w:r>
              <w:rPr>
                <w:rFonts w:hint="eastAsia" w:ascii="Times New Roman" w:hAnsi="Times New Roman" w:cs="Times New Roman"/>
                <w:sz w:val="24"/>
              </w:rPr>
              <w:t>物排放标准》（GB1846-2005）</w:t>
            </w:r>
            <w:r>
              <w:rPr>
                <w:rFonts w:hint="eastAsia"/>
                <w:sz w:val="24"/>
              </w:rPr>
              <w:t>中表3污水处理站周边大气污染物最高允许浓度要求：</w:t>
            </w:r>
          </w:p>
          <w:p>
            <w:pPr>
              <w:pStyle w:val="54"/>
              <w:jc w:val="center"/>
              <w:rPr>
                <w:rFonts w:hint="eastAsia" w:ascii="Times New Roman" w:hAnsi="Times New Roman" w:eastAsia="宋体" w:cs="Times New Roman"/>
                <w:b/>
                <w:color w:val="auto"/>
                <w:sz w:val="21"/>
              </w:rPr>
            </w:pPr>
            <w:r>
              <w:rPr>
                <w:rFonts w:hint="eastAsia" w:ascii="Times New Roman" w:hAnsi="Times New Roman" w:eastAsia="宋体" w:cs="Times New Roman"/>
                <w:b/>
                <w:color w:val="auto"/>
                <w:sz w:val="21"/>
              </w:rPr>
              <w:t>表3-</w:t>
            </w:r>
            <w:r>
              <w:rPr>
                <w:rFonts w:hint="eastAsia" w:ascii="Times New Roman" w:cs="Times New Roman"/>
                <w:b/>
                <w:color w:val="auto"/>
                <w:sz w:val="21"/>
                <w:lang w:val="en-US" w:eastAsia="zh-CN"/>
              </w:rPr>
              <w:t>7</w:t>
            </w:r>
            <w:r>
              <w:rPr>
                <w:rFonts w:hint="eastAsia" w:ascii="Times New Roman" w:hAnsi="Times New Roman" w:eastAsia="宋体" w:cs="Times New Roman"/>
                <w:b/>
                <w:color w:val="auto"/>
                <w:sz w:val="21"/>
              </w:rPr>
              <w:t xml:space="preserve">  污水处理站周边大气污染物最高允许浓度</w:t>
            </w:r>
          </w:p>
          <w:tbl>
            <w:tblPr>
              <w:tblStyle w:val="41"/>
              <w:tblW w:w="4999" w:type="pct"/>
              <w:jc w:val="center"/>
              <w:tblBorders>
                <w:top w:val="single" w:color="auto" w:sz="2" w:space="0"/>
                <w:left w:val="none" w:color="auto" w:sz="0" w:space="0"/>
                <w:bottom w:val="single" w:color="auto" w:sz="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4097"/>
              <w:gridCol w:w="4035"/>
            </w:tblGrid>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22" w:hRule="atLeast"/>
                <w:jc w:val="center"/>
              </w:trPr>
              <w:tc>
                <w:tcPr>
                  <w:tcW w:w="2518" w:type="pct"/>
                  <w:noWrap w:val="0"/>
                  <w:vAlign w:val="center"/>
                </w:tcPr>
                <w:p>
                  <w:pPr>
                    <w:pStyle w:val="129"/>
                    <w:rPr>
                      <w:rFonts w:hint="eastAsia"/>
                      <w:b/>
                      <w:bCs/>
                    </w:rPr>
                  </w:pPr>
                  <w:r>
                    <w:rPr>
                      <w:rFonts w:hint="eastAsia"/>
                      <w:b/>
                      <w:bCs/>
                    </w:rPr>
                    <w:t>控制项目</w:t>
                  </w:r>
                </w:p>
              </w:tc>
              <w:tc>
                <w:tcPr>
                  <w:tcW w:w="2481" w:type="pct"/>
                  <w:noWrap w:val="0"/>
                  <w:vAlign w:val="center"/>
                </w:tcPr>
                <w:p>
                  <w:pPr>
                    <w:pStyle w:val="129"/>
                    <w:rPr>
                      <w:rFonts w:hint="eastAsia"/>
                      <w:b/>
                      <w:bCs/>
                    </w:rPr>
                  </w:pPr>
                  <w:r>
                    <w:rPr>
                      <w:rFonts w:hint="eastAsia"/>
                      <w:b/>
                      <w:bCs/>
                    </w:rPr>
                    <w:t>标准限值</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170" w:hRule="atLeast"/>
                <w:jc w:val="center"/>
              </w:trPr>
              <w:tc>
                <w:tcPr>
                  <w:tcW w:w="2518" w:type="pct"/>
                  <w:noWrap w:val="0"/>
                  <w:vAlign w:val="center"/>
                </w:tcPr>
                <w:p>
                  <w:pPr>
                    <w:pStyle w:val="129"/>
                    <w:rPr>
                      <w:rFonts w:hint="eastAsia"/>
                    </w:rPr>
                  </w:pPr>
                  <w:r>
                    <w:rPr>
                      <w:rFonts w:hint="eastAsia"/>
                    </w:rPr>
                    <w:t>氨</w:t>
                  </w:r>
                </w:p>
              </w:tc>
              <w:tc>
                <w:tcPr>
                  <w:tcW w:w="2481" w:type="pct"/>
                  <w:noWrap w:val="0"/>
                  <w:vAlign w:val="center"/>
                </w:tcPr>
                <w:p>
                  <w:pPr>
                    <w:pStyle w:val="129"/>
                  </w:pPr>
                  <w:r>
                    <w:rPr>
                      <w:rFonts w:hint="eastAsia"/>
                    </w:rPr>
                    <w:t>1.0mg/m</w:t>
                  </w:r>
                  <w:r>
                    <w:rPr>
                      <w:rFonts w:hint="eastAsia"/>
                      <w:vertAlign w:val="superscript"/>
                    </w:rPr>
                    <w:t>3</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170" w:hRule="atLeast"/>
                <w:jc w:val="center"/>
              </w:trPr>
              <w:tc>
                <w:tcPr>
                  <w:tcW w:w="2518" w:type="pct"/>
                  <w:noWrap w:val="0"/>
                  <w:vAlign w:val="center"/>
                </w:tcPr>
                <w:p>
                  <w:pPr>
                    <w:pStyle w:val="129"/>
                    <w:rPr>
                      <w:rFonts w:hint="eastAsia"/>
                    </w:rPr>
                  </w:pPr>
                  <w:r>
                    <w:rPr>
                      <w:rFonts w:hint="eastAsia"/>
                    </w:rPr>
                    <w:t>硫化氢</w:t>
                  </w:r>
                </w:p>
              </w:tc>
              <w:tc>
                <w:tcPr>
                  <w:tcW w:w="2481" w:type="pct"/>
                  <w:noWrap w:val="0"/>
                  <w:vAlign w:val="center"/>
                </w:tcPr>
                <w:p>
                  <w:pPr>
                    <w:pStyle w:val="129"/>
                    <w:rPr>
                      <w:rFonts w:hint="eastAsia"/>
                    </w:rPr>
                  </w:pPr>
                  <w:r>
                    <w:rPr>
                      <w:rFonts w:hint="eastAsia"/>
                    </w:rPr>
                    <w:t>0.03mg/m</w:t>
                  </w:r>
                  <w:r>
                    <w:rPr>
                      <w:rFonts w:hint="eastAsia"/>
                      <w:vertAlign w:val="superscript"/>
                    </w:rPr>
                    <w:t>3</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177" w:hRule="atLeast"/>
                <w:jc w:val="center"/>
              </w:trPr>
              <w:tc>
                <w:tcPr>
                  <w:tcW w:w="2518" w:type="pct"/>
                  <w:noWrap w:val="0"/>
                  <w:vAlign w:val="center"/>
                </w:tcPr>
                <w:p>
                  <w:pPr>
                    <w:pStyle w:val="129"/>
                    <w:rPr>
                      <w:rFonts w:hint="eastAsia"/>
                    </w:rPr>
                  </w:pPr>
                  <w:r>
                    <w:rPr>
                      <w:rFonts w:hint="eastAsia"/>
                    </w:rPr>
                    <w:t>臭气浓度（无量纲）</w:t>
                  </w:r>
                </w:p>
              </w:tc>
              <w:tc>
                <w:tcPr>
                  <w:tcW w:w="2481" w:type="pct"/>
                  <w:noWrap w:val="0"/>
                  <w:vAlign w:val="center"/>
                </w:tcPr>
                <w:p>
                  <w:pPr>
                    <w:pStyle w:val="129"/>
                  </w:pPr>
                  <w:r>
                    <w:rPr>
                      <w:rFonts w:hint="eastAsia"/>
                    </w:rPr>
                    <w:t>10</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177" w:hRule="atLeast"/>
                <w:jc w:val="center"/>
              </w:trPr>
              <w:tc>
                <w:tcPr>
                  <w:tcW w:w="2518" w:type="pct"/>
                  <w:noWrap w:val="0"/>
                  <w:vAlign w:val="center"/>
                </w:tcPr>
                <w:p>
                  <w:pPr>
                    <w:pStyle w:val="129"/>
                    <w:rPr>
                      <w:rFonts w:hint="eastAsia" w:eastAsia="宋体"/>
                      <w:lang w:eastAsia="zh-CN"/>
                    </w:rPr>
                  </w:pPr>
                  <w:r>
                    <w:rPr>
                      <w:rFonts w:hint="eastAsia"/>
                      <w:lang w:eastAsia="zh-CN"/>
                    </w:rPr>
                    <w:t>甲烷</w:t>
                  </w:r>
                </w:p>
              </w:tc>
              <w:tc>
                <w:tcPr>
                  <w:tcW w:w="2481" w:type="pct"/>
                  <w:noWrap w:val="0"/>
                  <w:vAlign w:val="center"/>
                </w:tcPr>
                <w:p>
                  <w:pPr>
                    <w:pStyle w:val="129"/>
                    <w:rPr>
                      <w:rFonts w:hint="default" w:eastAsia="宋体"/>
                      <w:lang w:val="en-US" w:eastAsia="zh-CN"/>
                    </w:rPr>
                  </w:pPr>
                  <w:r>
                    <w:rPr>
                      <w:rFonts w:hint="eastAsia"/>
                      <w:lang w:val="en-US" w:eastAsia="zh-CN"/>
                    </w:rPr>
                    <w:t>1%</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177" w:hRule="atLeast"/>
                <w:jc w:val="center"/>
              </w:trPr>
              <w:tc>
                <w:tcPr>
                  <w:tcW w:w="2518" w:type="pct"/>
                  <w:noWrap w:val="0"/>
                  <w:vAlign w:val="center"/>
                </w:tcPr>
                <w:p>
                  <w:pPr>
                    <w:pStyle w:val="129"/>
                    <w:rPr>
                      <w:rFonts w:hint="eastAsia" w:eastAsia="宋体"/>
                      <w:lang w:eastAsia="zh-CN"/>
                    </w:rPr>
                  </w:pPr>
                  <w:r>
                    <w:rPr>
                      <w:rFonts w:hint="eastAsia"/>
                      <w:lang w:eastAsia="zh-CN"/>
                    </w:rPr>
                    <w:t>氯气</w:t>
                  </w:r>
                </w:p>
              </w:tc>
              <w:tc>
                <w:tcPr>
                  <w:tcW w:w="2481" w:type="pct"/>
                  <w:noWrap w:val="0"/>
                  <w:vAlign w:val="center"/>
                </w:tcPr>
                <w:p>
                  <w:pPr>
                    <w:pStyle w:val="129"/>
                    <w:rPr>
                      <w:rFonts w:hint="eastAsia"/>
                    </w:rPr>
                  </w:pPr>
                  <w:r>
                    <w:rPr>
                      <w:rFonts w:hint="eastAsia"/>
                      <w:lang w:val="en-US" w:eastAsia="zh-CN"/>
                    </w:rPr>
                    <w:t>0.1</w:t>
                  </w:r>
                  <w:r>
                    <w:rPr>
                      <w:rFonts w:hint="eastAsia"/>
                    </w:rPr>
                    <w:t>mg/m</w:t>
                  </w:r>
                  <w:r>
                    <w:rPr>
                      <w:rFonts w:hint="eastAsia"/>
                      <w:vertAlign w:val="superscript"/>
                    </w:rPr>
                    <w:t>3</w:t>
                  </w:r>
                </w:p>
              </w:tc>
            </w:tr>
          </w:tbl>
          <w:p>
            <w:pPr>
              <w:wordWrap w:val="0"/>
              <w:adjustRightInd w:val="0"/>
              <w:snapToGrid w:val="0"/>
              <w:spacing w:line="360" w:lineRule="auto"/>
              <w:ind w:firstLine="482" w:firstLineChars="200"/>
              <w:jc w:val="left"/>
              <w:rPr>
                <w:rFonts w:ascii="Times New Roman" w:hAnsi="Times New Roman" w:eastAsia="宋体"/>
                <w:b/>
                <w:color w:val="000000"/>
                <w:sz w:val="24"/>
              </w:rPr>
            </w:pPr>
            <w:r>
              <w:rPr>
                <w:rFonts w:ascii="Times New Roman" w:hAnsi="Times New Roman" w:eastAsia="宋体"/>
                <w:b/>
                <w:color w:val="000000"/>
                <w:sz w:val="24"/>
              </w:rPr>
              <w:t>2、废水</w:t>
            </w:r>
          </w:p>
          <w:p>
            <w:pPr>
              <w:wordWrap w:val="0"/>
              <w:adjustRightInd w:val="0"/>
              <w:snapToGrid w:val="0"/>
              <w:spacing w:line="360" w:lineRule="auto"/>
              <w:ind w:firstLine="480" w:firstLineChars="200"/>
              <w:rPr>
                <w:rFonts w:hint="eastAsia" w:ascii="Times New Roman" w:hAnsi="Times New Roman" w:eastAsia="宋体"/>
                <w:color w:val="000000"/>
                <w:sz w:val="24"/>
              </w:rPr>
            </w:pPr>
            <w:r>
              <w:rPr>
                <w:rFonts w:hint="eastAsia" w:ascii="Times New Roman" w:hAnsi="Times New Roman" w:eastAsia="宋体"/>
                <w:color w:val="000000"/>
                <w:sz w:val="24"/>
              </w:rPr>
              <w:t>项目营运期产生的废水主要为生活污水、医疗废水、洗涤废水</w:t>
            </w:r>
            <w:r>
              <w:rPr>
                <w:rFonts w:hint="eastAsia" w:ascii="Times New Roman" w:hAnsi="Times New Roman" w:eastAsia="宋体"/>
                <w:color w:val="000000"/>
                <w:sz w:val="24"/>
                <w:lang w:eastAsia="zh-CN"/>
              </w:rPr>
              <w:t>及食堂废水</w:t>
            </w:r>
            <w:r>
              <w:rPr>
                <w:rFonts w:hint="eastAsia" w:ascii="Times New Roman" w:hAnsi="Times New Roman" w:eastAsia="宋体"/>
                <w:color w:val="000000"/>
                <w:sz w:val="24"/>
              </w:rPr>
              <w:t>；施工期产生的废水主要为施工人员生活污水。营运期与施工期的</w:t>
            </w:r>
            <w:r>
              <w:rPr>
                <w:rFonts w:hint="eastAsia" w:ascii="Times New Roman" w:hAnsi="Times New Roman" w:eastAsia="宋体"/>
                <w:color w:val="000000"/>
                <w:sz w:val="24"/>
                <w:lang w:eastAsia="zh-CN"/>
              </w:rPr>
              <w:t>食堂废水</w:t>
            </w:r>
            <w:r>
              <w:rPr>
                <w:rFonts w:hint="eastAsia" w:ascii="Times New Roman" w:hAnsi="Times New Roman" w:eastAsia="宋体"/>
                <w:color w:val="000000"/>
                <w:sz w:val="24"/>
              </w:rPr>
              <w:t>经隔油池预处理后与</w:t>
            </w:r>
            <w:r>
              <w:rPr>
                <w:rFonts w:hint="eastAsia" w:ascii="Times New Roman" w:hAnsi="Times New Roman" w:eastAsia="宋体"/>
                <w:color w:val="000000"/>
                <w:sz w:val="24"/>
                <w:lang w:eastAsia="zh-CN"/>
              </w:rPr>
              <w:t>职工生活污水、洗涤废水、</w:t>
            </w:r>
            <w:r>
              <w:rPr>
                <w:rFonts w:hint="eastAsia" w:ascii="Times New Roman" w:hAnsi="Times New Roman" w:eastAsia="宋体"/>
                <w:color w:val="000000"/>
                <w:sz w:val="24"/>
              </w:rPr>
              <w:t>医疗废水（包含中和预处理后的检验室废水）通过化粪池收集，进入院内污水处理站（采用二级生化+消毒工艺）处理达到《医疗机构水污染物排放标准》（GB18466-2005）表2中预处理标准后，排入市政污水管网进入</w:t>
            </w:r>
            <w:r>
              <w:rPr>
                <w:rFonts w:hint="eastAsia" w:ascii="Times New Roman" w:hAnsi="Times New Roman" w:eastAsia="宋体"/>
                <w:color w:val="000000"/>
                <w:sz w:val="24"/>
                <w:lang w:eastAsia="zh-CN"/>
              </w:rPr>
              <w:t>乐山市第三</w:t>
            </w:r>
            <w:r>
              <w:rPr>
                <w:rFonts w:hint="eastAsia" w:ascii="Times New Roman" w:hAnsi="Times New Roman" w:eastAsia="宋体"/>
                <w:color w:val="000000"/>
                <w:sz w:val="24"/>
              </w:rPr>
              <w:t>污水处理厂处理达标后排放，具体排放限值见下表：</w:t>
            </w:r>
          </w:p>
          <w:p>
            <w:pPr>
              <w:spacing w:line="240" w:lineRule="auto"/>
              <w:jc w:val="center"/>
              <w:rPr>
                <w:rFonts w:hint="eastAsia"/>
                <w:b/>
              </w:rPr>
            </w:pPr>
            <w:r>
              <w:rPr>
                <w:rFonts w:hint="eastAsia"/>
                <w:b/>
              </w:rPr>
              <w:t>表3-</w:t>
            </w:r>
            <w:r>
              <w:rPr>
                <w:rFonts w:hint="eastAsia"/>
                <w:b/>
                <w:lang w:val="en-US" w:eastAsia="zh-CN"/>
              </w:rPr>
              <w:t>8</w:t>
            </w:r>
            <w:r>
              <w:rPr>
                <w:rFonts w:hint="eastAsia"/>
                <w:b/>
              </w:rPr>
              <w:t xml:space="preserve">  综合医疗机构和其他医疗机构水污染物排放限值（日均值）</w:t>
            </w:r>
          </w:p>
          <w:tbl>
            <w:tblPr>
              <w:tblStyle w:val="41"/>
              <w:tblW w:w="4953" w:type="pct"/>
              <w:jc w:val="center"/>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010"/>
              <w:gridCol w:w="2010"/>
              <w:gridCol w:w="2010"/>
              <w:gridCol w:w="2029"/>
            </w:tblGrid>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97" w:hRule="atLeast"/>
                <w:jc w:val="center"/>
              </w:trPr>
              <w:tc>
                <w:tcPr>
                  <w:tcW w:w="1247" w:type="pct"/>
                  <w:noWrap w:val="0"/>
                  <w:vAlign w:val="top"/>
                </w:tcPr>
                <w:p>
                  <w:pPr>
                    <w:jc w:val="center"/>
                    <w:rPr>
                      <w:b/>
                      <w:bCs/>
                      <w:iCs/>
                      <w:caps/>
                      <w:szCs w:val="21"/>
                    </w:rPr>
                  </w:pPr>
                  <w:r>
                    <w:rPr>
                      <w:rFonts w:hint="eastAsia"/>
                      <w:b/>
                      <w:bCs/>
                      <w:iCs/>
                      <w:caps/>
                      <w:szCs w:val="21"/>
                    </w:rPr>
                    <w:t>序号</w:t>
                  </w:r>
                </w:p>
              </w:tc>
              <w:tc>
                <w:tcPr>
                  <w:tcW w:w="1247" w:type="pct"/>
                  <w:noWrap w:val="0"/>
                  <w:vAlign w:val="top"/>
                </w:tcPr>
                <w:p>
                  <w:pPr>
                    <w:jc w:val="center"/>
                    <w:rPr>
                      <w:b/>
                      <w:bCs/>
                      <w:iCs/>
                      <w:caps/>
                      <w:szCs w:val="21"/>
                    </w:rPr>
                  </w:pPr>
                  <w:r>
                    <w:rPr>
                      <w:rFonts w:hint="eastAsia"/>
                      <w:b/>
                      <w:bCs/>
                      <w:iCs/>
                      <w:caps/>
                      <w:szCs w:val="21"/>
                    </w:rPr>
                    <w:t>污染物</w:t>
                  </w:r>
                </w:p>
              </w:tc>
              <w:tc>
                <w:tcPr>
                  <w:tcW w:w="1247" w:type="pct"/>
                  <w:noWrap w:val="0"/>
                  <w:vAlign w:val="top"/>
                </w:tcPr>
                <w:p>
                  <w:pPr>
                    <w:jc w:val="center"/>
                    <w:rPr>
                      <w:b/>
                      <w:bCs/>
                      <w:iCs/>
                      <w:caps/>
                      <w:szCs w:val="21"/>
                    </w:rPr>
                  </w:pPr>
                  <w:r>
                    <w:rPr>
                      <w:rFonts w:hint="eastAsia"/>
                      <w:b/>
                      <w:bCs/>
                      <w:iCs/>
                      <w:caps/>
                      <w:szCs w:val="21"/>
                    </w:rPr>
                    <w:t>预处理标准</w:t>
                  </w:r>
                </w:p>
              </w:tc>
              <w:tc>
                <w:tcPr>
                  <w:tcW w:w="1258" w:type="pct"/>
                  <w:noWrap w:val="0"/>
                  <w:vAlign w:val="top"/>
                </w:tcPr>
                <w:p>
                  <w:pPr>
                    <w:jc w:val="center"/>
                    <w:rPr>
                      <w:b/>
                      <w:bCs/>
                      <w:iCs/>
                      <w:caps/>
                      <w:szCs w:val="21"/>
                    </w:rPr>
                  </w:pPr>
                  <w:r>
                    <w:rPr>
                      <w:rFonts w:hint="eastAsia"/>
                      <w:b/>
                      <w:bCs/>
                      <w:iCs/>
                      <w:caps/>
                      <w:szCs w:val="21"/>
                    </w:rPr>
                    <w:t>单位</w:t>
                  </w:r>
                </w:p>
              </w:tc>
            </w:tr>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1" w:hRule="atLeast"/>
                <w:jc w:val="center"/>
              </w:trPr>
              <w:tc>
                <w:tcPr>
                  <w:tcW w:w="1247" w:type="pct"/>
                  <w:noWrap w:val="0"/>
                  <w:vAlign w:val="top"/>
                </w:tcPr>
                <w:p>
                  <w:pPr>
                    <w:jc w:val="center"/>
                    <w:rPr>
                      <w:iCs/>
                      <w:szCs w:val="21"/>
                    </w:rPr>
                  </w:pPr>
                  <w:r>
                    <w:rPr>
                      <w:iCs/>
                      <w:szCs w:val="21"/>
                    </w:rPr>
                    <w:t>1</w:t>
                  </w:r>
                </w:p>
              </w:tc>
              <w:tc>
                <w:tcPr>
                  <w:tcW w:w="1247" w:type="pct"/>
                  <w:noWrap w:val="0"/>
                  <w:vAlign w:val="top"/>
                </w:tcPr>
                <w:p>
                  <w:pPr>
                    <w:jc w:val="center"/>
                    <w:rPr>
                      <w:iCs/>
                      <w:szCs w:val="21"/>
                    </w:rPr>
                  </w:pPr>
                  <w:r>
                    <w:rPr>
                      <w:iCs/>
                      <w:szCs w:val="21"/>
                    </w:rPr>
                    <w:t>pH</w:t>
                  </w:r>
                </w:p>
              </w:tc>
              <w:tc>
                <w:tcPr>
                  <w:tcW w:w="1247" w:type="pct"/>
                  <w:noWrap w:val="0"/>
                  <w:vAlign w:val="center"/>
                </w:tcPr>
                <w:p>
                  <w:pPr>
                    <w:jc w:val="center"/>
                    <w:rPr>
                      <w:iCs/>
                      <w:szCs w:val="21"/>
                    </w:rPr>
                  </w:pPr>
                  <w:r>
                    <w:rPr>
                      <w:iCs/>
                      <w:szCs w:val="21"/>
                    </w:rPr>
                    <w:t>6-9</w:t>
                  </w:r>
                </w:p>
              </w:tc>
              <w:tc>
                <w:tcPr>
                  <w:tcW w:w="1258" w:type="pct"/>
                  <w:noWrap w:val="0"/>
                  <w:vAlign w:val="center"/>
                </w:tcPr>
                <w:p>
                  <w:pPr>
                    <w:jc w:val="center"/>
                    <w:rPr>
                      <w:iCs/>
                      <w:szCs w:val="21"/>
                    </w:rPr>
                  </w:pPr>
                  <w:r>
                    <w:rPr>
                      <w:rFonts w:hint="eastAsia"/>
                      <w:iCs/>
                      <w:szCs w:val="21"/>
                    </w:rPr>
                    <w:t>无量纲</w:t>
                  </w:r>
                </w:p>
              </w:tc>
            </w:tr>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1" w:hRule="atLeast"/>
                <w:jc w:val="center"/>
              </w:trPr>
              <w:tc>
                <w:tcPr>
                  <w:tcW w:w="1247" w:type="pct"/>
                  <w:noWrap w:val="0"/>
                  <w:vAlign w:val="top"/>
                </w:tcPr>
                <w:p>
                  <w:pPr>
                    <w:jc w:val="center"/>
                    <w:rPr>
                      <w:iCs/>
                      <w:szCs w:val="21"/>
                    </w:rPr>
                  </w:pPr>
                  <w:r>
                    <w:rPr>
                      <w:rFonts w:hint="eastAsia"/>
                      <w:iCs/>
                      <w:szCs w:val="21"/>
                    </w:rPr>
                    <w:t>2</w:t>
                  </w:r>
                </w:p>
              </w:tc>
              <w:tc>
                <w:tcPr>
                  <w:tcW w:w="1247" w:type="pct"/>
                  <w:noWrap w:val="0"/>
                  <w:vAlign w:val="top"/>
                </w:tcPr>
                <w:p>
                  <w:pPr>
                    <w:jc w:val="center"/>
                    <w:rPr>
                      <w:rFonts w:hint="eastAsia"/>
                      <w:iCs/>
                      <w:szCs w:val="21"/>
                    </w:rPr>
                  </w:pPr>
                  <w:r>
                    <w:rPr>
                      <w:rFonts w:hint="eastAsia"/>
                      <w:iCs/>
                      <w:szCs w:val="21"/>
                    </w:rPr>
                    <w:t>色度</w:t>
                  </w:r>
                </w:p>
              </w:tc>
              <w:tc>
                <w:tcPr>
                  <w:tcW w:w="1247" w:type="pct"/>
                  <w:noWrap w:val="0"/>
                  <w:vAlign w:val="center"/>
                </w:tcPr>
                <w:p>
                  <w:pPr>
                    <w:jc w:val="center"/>
                    <w:rPr>
                      <w:rFonts w:hint="eastAsia"/>
                      <w:iCs/>
                      <w:szCs w:val="21"/>
                    </w:rPr>
                  </w:pPr>
                  <w:r>
                    <w:rPr>
                      <w:rFonts w:hint="eastAsia"/>
                      <w:iCs/>
                      <w:szCs w:val="21"/>
                    </w:rPr>
                    <w:t>-</w:t>
                  </w:r>
                </w:p>
              </w:tc>
              <w:tc>
                <w:tcPr>
                  <w:tcW w:w="1258" w:type="pct"/>
                  <w:noWrap w:val="0"/>
                  <w:vAlign w:val="center"/>
                </w:tcPr>
                <w:p>
                  <w:pPr>
                    <w:jc w:val="center"/>
                    <w:rPr>
                      <w:rFonts w:hint="eastAsia"/>
                      <w:iCs/>
                      <w:szCs w:val="21"/>
                    </w:rPr>
                  </w:pPr>
                  <w:r>
                    <w:rPr>
                      <w:rFonts w:hint="eastAsia"/>
                      <w:iCs/>
                      <w:szCs w:val="21"/>
                    </w:rPr>
                    <w:t>/</w:t>
                  </w:r>
                </w:p>
              </w:tc>
            </w:tr>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1" w:hRule="atLeast"/>
                <w:jc w:val="center"/>
              </w:trPr>
              <w:tc>
                <w:tcPr>
                  <w:tcW w:w="1247" w:type="pct"/>
                  <w:noWrap w:val="0"/>
                  <w:vAlign w:val="top"/>
                </w:tcPr>
                <w:p>
                  <w:pPr>
                    <w:jc w:val="center"/>
                    <w:rPr>
                      <w:iCs/>
                      <w:szCs w:val="21"/>
                    </w:rPr>
                  </w:pPr>
                  <w:r>
                    <w:rPr>
                      <w:rFonts w:hint="eastAsia"/>
                      <w:iCs/>
                      <w:szCs w:val="21"/>
                    </w:rPr>
                    <w:t>3</w:t>
                  </w:r>
                </w:p>
              </w:tc>
              <w:tc>
                <w:tcPr>
                  <w:tcW w:w="1247" w:type="pct"/>
                  <w:noWrap w:val="0"/>
                  <w:vAlign w:val="top"/>
                </w:tcPr>
                <w:p>
                  <w:pPr>
                    <w:jc w:val="center"/>
                    <w:rPr>
                      <w:rFonts w:hint="eastAsia"/>
                      <w:iCs/>
                      <w:szCs w:val="21"/>
                    </w:rPr>
                  </w:pPr>
                  <w:r>
                    <w:rPr>
                      <w:rFonts w:hint="eastAsia"/>
                      <w:iCs/>
                      <w:szCs w:val="21"/>
                    </w:rPr>
                    <w:t>悬浮物</w:t>
                  </w:r>
                </w:p>
              </w:tc>
              <w:tc>
                <w:tcPr>
                  <w:tcW w:w="1247" w:type="pct"/>
                  <w:noWrap w:val="0"/>
                  <w:vAlign w:val="center"/>
                </w:tcPr>
                <w:p>
                  <w:pPr>
                    <w:jc w:val="center"/>
                    <w:rPr>
                      <w:iCs/>
                      <w:szCs w:val="21"/>
                    </w:rPr>
                  </w:pPr>
                  <w:r>
                    <w:rPr>
                      <w:rFonts w:hint="eastAsia"/>
                      <w:iCs/>
                      <w:szCs w:val="21"/>
                    </w:rPr>
                    <w:t>60</w:t>
                  </w:r>
                </w:p>
              </w:tc>
              <w:tc>
                <w:tcPr>
                  <w:tcW w:w="1258" w:type="pct"/>
                  <w:noWrap w:val="0"/>
                  <w:vAlign w:val="center"/>
                </w:tcPr>
                <w:p>
                  <w:pPr>
                    <w:jc w:val="center"/>
                    <w:rPr>
                      <w:iCs/>
                      <w:szCs w:val="21"/>
                    </w:rPr>
                  </w:pPr>
                  <w:r>
                    <w:rPr>
                      <w:rFonts w:hint="eastAsia"/>
                      <w:iCs/>
                      <w:szCs w:val="21"/>
                    </w:rPr>
                    <w:t>mg/L</w:t>
                  </w:r>
                </w:p>
              </w:tc>
            </w:tr>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1247" w:type="pct"/>
                  <w:noWrap w:val="0"/>
                  <w:vAlign w:val="top"/>
                </w:tcPr>
                <w:p>
                  <w:pPr>
                    <w:jc w:val="center"/>
                    <w:rPr>
                      <w:iCs/>
                      <w:szCs w:val="21"/>
                    </w:rPr>
                  </w:pPr>
                  <w:r>
                    <w:rPr>
                      <w:rFonts w:hint="eastAsia"/>
                      <w:iCs/>
                      <w:szCs w:val="21"/>
                    </w:rPr>
                    <w:t>4</w:t>
                  </w:r>
                </w:p>
              </w:tc>
              <w:tc>
                <w:tcPr>
                  <w:tcW w:w="1247" w:type="pct"/>
                  <w:noWrap w:val="0"/>
                  <w:vAlign w:val="top"/>
                </w:tcPr>
                <w:p>
                  <w:pPr>
                    <w:jc w:val="center"/>
                    <w:rPr>
                      <w:iCs/>
                      <w:szCs w:val="21"/>
                    </w:rPr>
                  </w:pPr>
                  <w:r>
                    <w:rPr>
                      <w:iCs/>
                      <w:szCs w:val="21"/>
                    </w:rPr>
                    <w:t>BOD</w:t>
                  </w:r>
                  <w:r>
                    <w:rPr>
                      <w:iCs/>
                      <w:szCs w:val="21"/>
                      <w:vertAlign w:val="subscript"/>
                    </w:rPr>
                    <w:t>5</w:t>
                  </w:r>
                </w:p>
              </w:tc>
              <w:tc>
                <w:tcPr>
                  <w:tcW w:w="1247" w:type="pct"/>
                  <w:noWrap w:val="0"/>
                  <w:vAlign w:val="center"/>
                </w:tcPr>
                <w:p>
                  <w:pPr>
                    <w:jc w:val="center"/>
                    <w:rPr>
                      <w:iCs/>
                      <w:szCs w:val="21"/>
                    </w:rPr>
                  </w:pPr>
                  <w:r>
                    <w:rPr>
                      <w:rFonts w:hint="eastAsia"/>
                      <w:iCs/>
                      <w:szCs w:val="21"/>
                    </w:rPr>
                    <w:t>100</w:t>
                  </w:r>
                </w:p>
              </w:tc>
              <w:tc>
                <w:tcPr>
                  <w:tcW w:w="1258" w:type="pct"/>
                  <w:noWrap w:val="0"/>
                  <w:vAlign w:val="center"/>
                </w:tcPr>
                <w:p>
                  <w:pPr>
                    <w:jc w:val="center"/>
                    <w:rPr>
                      <w:iCs/>
                      <w:szCs w:val="21"/>
                    </w:rPr>
                  </w:pPr>
                  <w:r>
                    <w:rPr>
                      <w:rFonts w:hint="eastAsia"/>
                      <w:iCs/>
                      <w:szCs w:val="21"/>
                    </w:rPr>
                    <w:t>mg/L</w:t>
                  </w:r>
                </w:p>
              </w:tc>
            </w:tr>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53" w:hRule="atLeast"/>
                <w:jc w:val="center"/>
              </w:trPr>
              <w:tc>
                <w:tcPr>
                  <w:tcW w:w="1247" w:type="pct"/>
                  <w:noWrap w:val="0"/>
                  <w:vAlign w:val="top"/>
                </w:tcPr>
                <w:p>
                  <w:pPr>
                    <w:jc w:val="center"/>
                    <w:rPr>
                      <w:iCs/>
                      <w:szCs w:val="21"/>
                    </w:rPr>
                  </w:pPr>
                  <w:r>
                    <w:rPr>
                      <w:rFonts w:hint="eastAsia"/>
                      <w:iCs/>
                      <w:szCs w:val="21"/>
                    </w:rPr>
                    <w:t>5</w:t>
                  </w:r>
                </w:p>
              </w:tc>
              <w:tc>
                <w:tcPr>
                  <w:tcW w:w="1247" w:type="pct"/>
                  <w:noWrap w:val="0"/>
                  <w:vAlign w:val="top"/>
                </w:tcPr>
                <w:p>
                  <w:pPr>
                    <w:jc w:val="center"/>
                    <w:rPr>
                      <w:iCs/>
                      <w:szCs w:val="21"/>
                    </w:rPr>
                  </w:pPr>
                  <w:r>
                    <w:rPr>
                      <w:iCs/>
                      <w:szCs w:val="21"/>
                    </w:rPr>
                    <w:t>COD</w:t>
                  </w:r>
                  <w:r>
                    <w:rPr>
                      <w:iCs/>
                      <w:szCs w:val="21"/>
                      <w:vertAlign w:val="subscript"/>
                    </w:rPr>
                    <w:t>cr</w:t>
                  </w:r>
                </w:p>
              </w:tc>
              <w:tc>
                <w:tcPr>
                  <w:tcW w:w="1247" w:type="pct"/>
                  <w:noWrap w:val="0"/>
                  <w:vAlign w:val="center"/>
                </w:tcPr>
                <w:p>
                  <w:pPr>
                    <w:jc w:val="center"/>
                    <w:rPr>
                      <w:iCs/>
                      <w:szCs w:val="21"/>
                    </w:rPr>
                  </w:pPr>
                  <w:r>
                    <w:rPr>
                      <w:rFonts w:hint="eastAsia"/>
                      <w:iCs/>
                      <w:szCs w:val="21"/>
                    </w:rPr>
                    <w:t>250</w:t>
                  </w:r>
                </w:p>
              </w:tc>
              <w:tc>
                <w:tcPr>
                  <w:tcW w:w="1258" w:type="pct"/>
                  <w:noWrap w:val="0"/>
                  <w:vAlign w:val="center"/>
                </w:tcPr>
                <w:p>
                  <w:pPr>
                    <w:jc w:val="center"/>
                    <w:rPr>
                      <w:iCs/>
                      <w:szCs w:val="21"/>
                    </w:rPr>
                  </w:pPr>
                  <w:r>
                    <w:rPr>
                      <w:rFonts w:hint="eastAsia"/>
                      <w:iCs/>
                      <w:szCs w:val="21"/>
                    </w:rPr>
                    <w:t>mg/L</w:t>
                  </w:r>
                </w:p>
              </w:tc>
            </w:tr>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1" w:hRule="atLeast"/>
                <w:jc w:val="center"/>
              </w:trPr>
              <w:tc>
                <w:tcPr>
                  <w:tcW w:w="1247" w:type="pct"/>
                  <w:noWrap w:val="0"/>
                  <w:vAlign w:val="top"/>
                </w:tcPr>
                <w:p>
                  <w:pPr>
                    <w:jc w:val="center"/>
                    <w:rPr>
                      <w:iCs/>
                      <w:szCs w:val="21"/>
                    </w:rPr>
                  </w:pPr>
                  <w:r>
                    <w:rPr>
                      <w:rFonts w:hint="eastAsia"/>
                      <w:iCs/>
                      <w:szCs w:val="21"/>
                    </w:rPr>
                    <w:t>6</w:t>
                  </w:r>
                </w:p>
              </w:tc>
              <w:tc>
                <w:tcPr>
                  <w:tcW w:w="1247" w:type="pct"/>
                  <w:noWrap w:val="0"/>
                  <w:vAlign w:val="top"/>
                </w:tcPr>
                <w:p>
                  <w:pPr>
                    <w:jc w:val="center"/>
                    <w:rPr>
                      <w:iCs/>
                      <w:szCs w:val="21"/>
                    </w:rPr>
                  </w:pPr>
                  <w:r>
                    <w:rPr>
                      <w:rFonts w:hint="eastAsia"/>
                      <w:iCs/>
                      <w:szCs w:val="21"/>
                    </w:rPr>
                    <w:t>粪大肠菌群数</w:t>
                  </w:r>
                </w:p>
              </w:tc>
              <w:tc>
                <w:tcPr>
                  <w:tcW w:w="1247" w:type="pct"/>
                  <w:noWrap w:val="0"/>
                  <w:vAlign w:val="center"/>
                </w:tcPr>
                <w:p>
                  <w:pPr>
                    <w:jc w:val="center"/>
                    <w:rPr>
                      <w:iCs/>
                      <w:szCs w:val="21"/>
                    </w:rPr>
                  </w:pPr>
                  <w:r>
                    <w:rPr>
                      <w:rFonts w:hint="eastAsia"/>
                      <w:iCs/>
                      <w:szCs w:val="21"/>
                    </w:rPr>
                    <w:t>5000</w:t>
                  </w:r>
                </w:p>
              </w:tc>
              <w:tc>
                <w:tcPr>
                  <w:tcW w:w="1258" w:type="pct"/>
                  <w:noWrap w:val="0"/>
                  <w:vAlign w:val="center"/>
                </w:tcPr>
                <w:p>
                  <w:pPr>
                    <w:jc w:val="center"/>
                    <w:rPr>
                      <w:iCs/>
                      <w:szCs w:val="21"/>
                    </w:rPr>
                  </w:pPr>
                  <w:r>
                    <w:rPr>
                      <w:rFonts w:hint="eastAsia"/>
                      <w:iCs/>
                      <w:szCs w:val="21"/>
                    </w:rPr>
                    <w:t>MPN/L</w:t>
                  </w:r>
                </w:p>
              </w:tc>
            </w:tr>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1247" w:type="pct"/>
                  <w:noWrap w:val="0"/>
                  <w:vAlign w:val="top"/>
                </w:tcPr>
                <w:p>
                  <w:pPr>
                    <w:jc w:val="center"/>
                    <w:rPr>
                      <w:rFonts w:hint="eastAsia"/>
                      <w:iCs/>
                      <w:szCs w:val="21"/>
                    </w:rPr>
                  </w:pPr>
                  <w:r>
                    <w:rPr>
                      <w:rFonts w:hint="eastAsia"/>
                      <w:iCs/>
                      <w:szCs w:val="21"/>
                    </w:rPr>
                    <w:t>7</w:t>
                  </w:r>
                </w:p>
              </w:tc>
              <w:tc>
                <w:tcPr>
                  <w:tcW w:w="1247" w:type="pct"/>
                  <w:noWrap w:val="0"/>
                  <w:vAlign w:val="top"/>
                </w:tcPr>
                <w:p>
                  <w:pPr>
                    <w:jc w:val="center"/>
                    <w:rPr>
                      <w:rFonts w:hint="eastAsia"/>
                      <w:caps/>
                      <w:kern w:val="2"/>
                      <w:sz w:val="21"/>
                      <w:szCs w:val="21"/>
                      <w:lang w:val="en-US" w:eastAsia="zh-CN" w:bidi="ar-SA"/>
                    </w:rPr>
                  </w:pPr>
                  <w:r>
                    <w:rPr>
                      <w:rFonts w:hint="eastAsia"/>
                      <w:caps/>
                      <w:szCs w:val="21"/>
                    </w:rPr>
                    <w:t>总余氯</w:t>
                  </w:r>
                </w:p>
              </w:tc>
              <w:tc>
                <w:tcPr>
                  <w:tcW w:w="1247" w:type="pct"/>
                  <w:noWrap w:val="0"/>
                  <w:vAlign w:val="center"/>
                </w:tcPr>
                <w:p>
                  <w:pPr>
                    <w:jc w:val="center"/>
                    <w:rPr>
                      <w:rFonts w:hint="eastAsia"/>
                      <w:iCs/>
                      <w:szCs w:val="21"/>
                    </w:rPr>
                  </w:pPr>
                  <w:r>
                    <w:rPr>
                      <w:rFonts w:hint="eastAsia"/>
                      <w:iCs/>
                      <w:szCs w:val="21"/>
                    </w:rPr>
                    <w:t>2-8</w:t>
                  </w:r>
                </w:p>
              </w:tc>
              <w:tc>
                <w:tcPr>
                  <w:tcW w:w="1258" w:type="pct"/>
                  <w:noWrap w:val="0"/>
                  <w:vAlign w:val="center"/>
                </w:tcPr>
                <w:p>
                  <w:pPr>
                    <w:jc w:val="center"/>
                    <w:rPr>
                      <w:rFonts w:hint="eastAsia"/>
                      <w:iCs/>
                      <w:szCs w:val="21"/>
                    </w:rPr>
                  </w:pPr>
                  <w:r>
                    <w:rPr>
                      <w:rFonts w:hint="eastAsia"/>
                      <w:iCs/>
                      <w:szCs w:val="21"/>
                    </w:rPr>
                    <w:t>mg/L</w:t>
                  </w:r>
                </w:p>
              </w:tc>
            </w:tr>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1247" w:type="pct"/>
                  <w:noWrap w:val="0"/>
                  <w:vAlign w:val="top"/>
                </w:tcPr>
                <w:p>
                  <w:pPr>
                    <w:jc w:val="center"/>
                    <w:rPr>
                      <w:iCs/>
                      <w:szCs w:val="21"/>
                    </w:rPr>
                  </w:pPr>
                  <w:r>
                    <w:rPr>
                      <w:rFonts w:hint="eastAsia"/>
                      <w:iCs/>
                      <w:szCs w:val="21"/>
                    </w:rPr>
                    <w:t>8</w:t>
                  </w:r>
                </w:p>
              </w:tc>
              <w:tc>
                <w:tcPr>
                  <w:tcW w:w="1247" w:type="pct"/>
                  <w:noWrap w:val="0"/>
                  <w:vAlign w:val="top"/>
                </w:tcPr>
                <w:p>
                  <w:pPr>
                    <w:jc w:val="center"/>
                    <w:rPr>
                      <w:rFonts w:hint="eastAsia" w:eastAsia="宋体"/>
                      <w:caps/>
                      <w:kern w:val="2"/>
                      <w:sz w:val="21"/>
                      <w:szCs w:val="21"/>
                      <w:lang w:val="en-US" w:eastAsia="zh-CN" w:bidi="ar-SA"/>
                    </w:rPr>
                  </w:pPr>
                  <w:r>
                    <w:rPr>
                      <w:rFonts w:hint="eastAsia"/>
                      <w:caps/>
                      <w:szCs w:val="21"/>
                      <w:lang w:eastAsia="zh-CN"/>
                    </w:rPr>
                    <w:t>肠道致病菌</w:t>
                  </w:r>
                </w:p>
              </w:tc>
              <w:tc>
                <w:tcPr>
                  <w:tcW w:w="1247" w:type="pct"/>
                  <w:noWrap w:val="0"/>
                  <w:vAlign w:val="center"/>
                </w:tcPr>
                <w:p>
                  <w:pPr>
                    <w:jc w:val="center"/>
                    <w:rPr>
                      <w:rFonts w:hint="eastAsia" w:eastAsia="宋体"/>
                      <w:iCs/>
                      <w:szCs w:val="21"/>
                      <w:lang w:val="en-US" w:eastAsia="zh-CN"/>
                    </w:rPr>
                  </w:pPr>
                  <w:r>
                    <w:rPr>
                      <w:rFonts w:hint="eastAsia"/>
                      <w:iCs/>
                      <w:szCs w:val="21"/>
                      <w:lang w:val="en-US" w:eastAsia="zh-CN"/>
                    </w:rPr>
                    <w:t>-</w:t>
                  </w:r>
                </w:p>
              </w:tc>
              <w:tc>
                <w:tcPr>
                  <w:tcW w:w="1258" w:type="pct"/>
                  <w:noWrap w:val="0"/>
                  <w:vAlign w:val="center"/>
                </w:tcPr>
                <w:p>
                  <w:pPr>
                    <w:jc w:val="center"/>
                    <w:rPr>
                      <w:rFonts w:hint="eastAsia"/>
                      <w:iCs/>
                      <w:szCs w:val="21"/>
                    </w:rPr>
                  </w:pPr>
                  <w:r>
                    <w:rPr>
                      <w:rFonts w:hint="eastAsia"/>
                      <w:iCs/>
                      <w:szCs w:val="21"/>
                    </w:rPr>
                    <w:t>/</w:t>
                  </w:r>
                </w:p>
              </w:tc>
            </w:tr>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1247" w:type="pct"/>
                  <w:noWrap w:val="0"/>
                  <w:vAlign w:val="top"/>
                </w:tcPr>
                <w:p>
                  <w:pPr>
                    <w:jc w:val="center"/>
                    <w:rPr>
                      <w:rFonts w:hint="eastAsia" w:eastAsia="宋体"/>
                      <w:iCs/>
                      <w:szCs w:val="21"/>
                      <w:lang w:val="en-US" w:eastAsia="zh-CN"/>
                    </w:rPr>
                  </w:pPr>
                  <w:r>
                    <w:rPr>
                      <w:rFonts w:hint="eastAsia"/>
                      <w:iCs/>
                      <w:szCs w:val="21"/>
                      <w:lang w:val="en-US" w:eastAsia="zh-CN"/>
                    </w:rPr>
                    <w:t>9</w:t>
                  </w:r>
                </w:p>
              </w:tc>
              <w:tc>
                <w:tcPr>
                  <w:tcW w:w="1247" w:type="pct"/>
                  <w:noWrap w:val="0"/>
                  <w:vAlign w:val="top"/>
                </w:tcPr>
                <w:p>
                  <w:pPr>
                    <w:jc w:val="center"/>
                    <w:rPr>
                      <w:rFonts w:hint="eastAsia" w:eastAsia="宋体"/>
                      <w:caps/>
                      <w:kern w:val="2"/>
                      <w:sz w:val="21"/>
                      <w:szCs w:val="21"/>
                      <w:lang w:val="en-US" w:eastAsia="zh-CN" w:bidi="ar-SA"/>
                    </w:rPr>
                  </w:pPr>
                  <w:r>
                    <w:rPr>
                      <w:rFonts w:hint="eastAsia"/>
                      <w:caps/>
                      <w:szCs w:val="21"/>
                      <w:lang w:eastAsia="zh-CN"/>
                    </w:rPr>
                    <w:t>肠道病毒</w:t>
                  </w:r>
                </w:p>
              </w:tc>
              <w:tc>
                <w:tcPr>
                  <w:tcW w:w="1247" w:type="pct"/>
                  <w:noWrap w:val="0"/>
                  <w:vAlign w:val="center"/>
                </w:tcPr>
                <w:p>
                  <w:pPr>
                    <w:jc w:val="center"/>
                    <w:rPr>
                      <w:rFonts w:hint="eastAsia" w:eastAsia="宋体"/>
                      <w:iCs/>
                      <w:szCs w:val="21"/>
                      <w:lang w:val="en-US" w:eastAsia="zh-CN"/>
                    </w:rPr>
                  </w:pPr>
                  <w:r>
                    <w:rPr>
                      <w:rFonts w:hint="eastAsia"/>
                      <w:iCs/>
                      <w:szCs w:val="21"/>
                      <w:lang w:val="en-US" w:eastAsia="zh-CN"/>
                    </w:rPr>
                    <w:t>-</w:t>
                  </w:r>
                </w:p>
              </w:tc>
              <w:tc>
                <w:tcPr>
                  <w:tcW w:w="1258" w:type="pct"/>
                  <w:noWrap w:val="0"/>
                  <w:vAlign w:val="center"/>
                </w:tcPr>
                <w:p>
                  <w:pPr>
                    <w:jc w:val="center"/>
                    <w:rPr>
                      <w:rFonts w:hint="eastAsia"/>
                      <w:iCs/>
                      <w:szCs w:val="21"/>
                    </w:rPr>
                  </w:pPr>
                  <w:r>
                    <w:rPr>
                      <w:rFonts w:hint="eastAsia"/>
                      <w:iCs/>
                      <w:szCs w:val="21"/>
                    </w:rPr>
                    <w:t>/</w:t>
                  </w:r>
                </w:p>
              </w:tc>
            </w:tr>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1247" w:type="pct"/>
                  <w:noWrap w:val="0"/>
                  <w:vAlign w:val="top"/>
                </w:tcPr>
                <w:p>
                  <w:pPr>
                    <w:jc w:val="center"/>
                    <w:rPr>
                      <w:rFonts w:hint="default" w:eastAsia="宋体"/>
                      <w:iCs/>
                      <w:szCs w:val="21"/>
                      <w:lang w:val="en-US" w:eastAsia="zh-CN"/>
                    </w:rPr>
                  </w:pPr>
                  <w:r>
                    <w:rPr>
                      <w:rFonts w:hint="eastAsia"/>
                      <w:iCs/>
                      <w:szCs w:val="21"/>
                      <w:lang w:val="en-US" w:eastAsia="zh-CN"/>
                    </w:rPr>
                    <w:t>10</w:t>
                  </w:r>
                </w:p>
              </w:tc>
              <w:tc>
                <w:tcPr>
                  <w:tcW w:w="1247" w:type="pct"/>
                  <w:noWrap w:val="0"/>
                  <w:vAlign w:val="top"/>
                </w:tcPr>
                <w:p>
                  <w:pPr>
                    <w:jc w:val="center"/>
                    <w:rPr>
                      <w:rFonts w:hint="eastAsia" w:eastAsia="宋体"/>
                      <w:caps/>
                      <w:kern w:val="2"/>
                      <w:sz w:val="21"/>
                      <w:szCs w:val="21"/>
                      <w:lang w:val="en-US" w:eastAsia="zh-CN" w:bidi="ar-SA"/>
                    </w:rPr>
                  </w:pPr>
                  <w:r>
                    <w:rPr>
                      <w:rFonts w:hint="eastAsia"/>
                      <w:caps/>
                      <w:szCs w:val="21"/>
                      <w:lang w:eastAsia="zh-CN"/>
                    </w:rPr>
                    <w:t>氨氮</w:t>
                  </w:r>
                </w:p>
              </w:tc>
              <w:tc>
                <w:tcPr>
                  <w:tcW w:w="1247" w:type="pct"/>
                  <w:noWrap w:val="0"/>
                  <w:vAlign w:val="center"/>
                </w:tcPr>
                <w:p>
                  <w:pPr>
                    <w:jc w:val="center"/>
                    <w:rPr>
                      <w:rFonts w:hint="eastAsia" w:eastAsia="宋体"/>
                      <w:iCs/>
                      <w:szCs w:val="21"/>
                      <w:lang w:val="en-US" w:eastAsia="zh-CN"/>
                    </w:rPr>
                  </w:pPr>
                  <w:r>
                    <w:rPr>
                      <w:rFonts w:hint="eastAsia"/>
                      <w:iCs/>
                      <w:szCs w:val="21"/>
                      <w:lang w:val="en-US" w:eastAsia="zh-CN"/>
                    </w:rPr>
                    <w:t>-</w:t>
                  </w:r>
                </w:p>
              </w:tc>
              <w:tc>
                <w:tcPr>
                  <w:tcW w:w="1258" w:type="pct"/>
                  <w:noWrap w:val="0"/>
                  <w:vAlign w:val="center"/>
                </w:tcPr>
                <w:p>
                  <w:pPr>
                    <w:jc w:val="center"/>
                    <w:rPr>
                      <w:rFonts w:hint="eastAsia"/>
                      <w:iCs/>
                      <w:szCs w:val="21"/>
                    </w:rPr>
                  </w:pPr>
                </w:p>
              </w:tc>
            </w:tr>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1247" w:type="pct"/>
                  <w:noWrap w:val="0"/>
                  <w:vAlign w:val="top"/>
                </w:tcPr>
                <w:p>
                  <w:pPr>
                    <w:jc w:val="center"/>
                    <w:rPr>
                      <w:rFonts w:hint="default" w:eastAsia="宋体"/>
                      <w:iCs/>
                      <w:szCs w:val="21"/>
                      <w:lang w:val="en-US" w:eastAsia="zh-CN"/>
                    </w:rPr>
                  </w:pPr>
                  <w:r>
                    <w:rPr>
                      <w:rFonts w:hint="eastAsia"/>
                      <w:iCs/>
                      <w:szCs w:val="21"/>
                      <w:lang w:val="en-US" w:eastAsia="zh-CN"/>
                    </w:rPr>
                    <w:t>11</w:t>
                  </w:r>
                </w:p>
              </w:tc>
              <w:tc>
                <w:tcPr>
                  <w:tcW w:w="1247" w:type="pct"/>
                  <w:noWrap w:val="0"/>
                  <w:vAlign w:val="top"/>
                </w:tcPr>
                <w:p>
                  <w:pPr>
                    <w:jc w:val="center"/>
                    <w:rPr>
                      <w:rFonts w:hint="eastAsia" w:eastAsia="宋体"/>
                      <w:caps/>
                      <w:kern w:val="2"/>
                      <w:sz w:val="21"/>
                      <w:szCs w:val="21"/>
                      <w:lang w:val="en-US" w:eastAsia="zh-CN" w:bidi="ar-SA"/>
                    </w:rPr>
                  </w:pPr>
                  <w:r>
                    <w:rPr>
                      <w:rFonts w:hint="eastAsia"/>
                      <w:caps/>
                      <w:szCs w:val="21"/>
                      <w:lang w:eastAsia="zh-CN"/>
                    </w:rPr>
                    <w:t>动植物油</w:t>
                  </w:r>
                </w:p>
              </w:tc>
              <w:tc>
                <w:tcPr>
                  <w:tcW w:w="1247" w:type="pct"/>
                  <w:noWrap w:val="0"/>
                  <w:vAlign w:val="center"/>
                </w:tcPr>
                <w:p>
                  <w:pPr>
                    <w:jc w:val="center"/>
                    <w:rPr>
                      <w:rFonts w:hint="default" w:eastAsia="宋体"/>
                      <w:iCs/>
                      <w:szCs w:val="21"/>
                      <w:lang w:val="en-US" w:eastAsia="zh-CN"/>
                    </w:rPr>
                  </w:pPr>
                  <w:r>
                    <w:rPr>
                      <w:rFonts w:hint="eastAsia"/>
                      <w:iCs/>
                      <w:szCs w:val="21"/>
                      <w:lang w:val="en-US" w:eastAsia="zh-CN"/>
                    </w:rPr>
                    <w:t>20</w:t>
                  </w:r>
                </w:p>
              </w:tc>
              <w:tc>
                <w:tcPr>
                  <w:tcW w:w="1258" w:type="pct"/>
                  <w:noWrap w:val="0"/>
                  <w:vAlign w:val="center"/>
                </w:tcPr>
                <w:p>
                  <w:pPr>
                    <w:jc w:val="center"/>
                    <w:rPr>
                      <w:rFonts w:hint="eastAsia"/>
                      <w:iCs/>
                      <w:szCs w:val="21"/>
                    </w:rPr>
                  </w:pPr>
                  <w:r>
                    <w:rPr>
                      <w:rFonts w:hint="eastAsia"/>
                      <w:iCs/>
                      <w:szCs w:val="21"/>
                    </w:rPr>
                    <w:t>mg/L</w:t>
                  </w:r>
                </w:p>
              </w:tc>
            </w:tr>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1247" w:type="pct"/>
                  <w:noWrap w:val="0"/>
                  <w:vAlign w:val="top"/>
                </w:tcPr>
                <w:p>
                  <w:pPr>
                    <w:jc w:val="center"/>
                    <w:rPr>
                      <w:rFonts w:hint="default" w:eastAsia="宋体"/>
                      <w:iCs/>
                      <w:szCs w:val="21"/>
                      <w:lang w:val="en-US" w:eastAsia="zh-CN"/>
                    </w:rPr>
                  </w:pPr>
                  <w:r>
                    <w:rPr>
                      <w:rFonts w:hint="eastAsia"/>
                      <w:iCs/>
                      <w:szCs w:val="21"/>
                      <w:lang w:val="en-US" w:eastAsia="zh-CN"/>
                    </w:rPr>
                    <w:t>12</w:t>
                  </w:r>
                </w:p>
              </w:tc>
              <w:tc>
                <w:tcPr>
                  <w:tcW w:w="1247" w:type="pct"/>
                  <w:noWrap w:val="0"/>
                  <w:vAlign w:val="top"/>
                </w:tcPr>
                <w:p>
                  <w:pPr>
                    <w:jc w:val="center"/>
                    <w:rPr>
                      <w:rFonts w:hint="eastAsia" w:eastAsia="宋体"/>
                      <w:caps/>
                      <w:kern w:val="2"/>
                      <w:sz w:val="21"/>
                      <w:szCs w:val="21"/>
                      <w:lang w:val="en-US" w:eastAsia="zh-CN" w:bidi="ar-SA"/>
                    </w:rPr>
                  </w:pPr>
                  <w:r>
                    <w:rPr>
                      <w:rFonts w:hint="eastAsia"/>
                      <w:caps/>
                      <w:szCs w:val="21"/>
                      <w:lang w:eastAsia="zh-CN"/>
                    </w:rPr>
                    <w:t>石油类</w:t>
                  </w:r>
                </w:p>
              </w:tc>
              <w:tc>
                <w:tcPr>
                  <w:tcW w:w="1247" w:type="pct"/>
                  <w:noWrap w:val="0"/>
                  <w:vAlign w:val="center"/>
                </w:tcPr>
                <w:p>
                  <w:pPr>
                    <w:jc w:val="center"/>
                    <w:rPr>
                      <w:rFonts w:hint="default" w:eastAsia="宋体"/>
                      <w:iCs/>
                      <w:szCs w:val="21"/>
                      <w:lang w:val="en-US" w:eastAsia="zh-CN"/>
                    </w:rPr>
                  </w:pPr>
                  <w:r>
                    <w:rPr>
                      <w:rFonts w:hint="eastAsia"/>
                      <w:iCs/>
                      <w:szCs w:val="21"/>
                      <w:lang w:val="en-US" w:eastAsia="zh-CN"/>
                    </w:rPr>
                    <w:t>20</w:t>
                  </w:r>
                </w:p>
              </w:tc>
              <w:tc>
                <w:tcPr>
                  <w:tcW w:w="1258" w:type="pct"/>
                  <w:noWrap w:val="0"/>
                  <w:vAlign w:val="center"/>
                </w:tcPr>
                <w:p>
                  <w:pPr>
                    <w:jc w:val="center"/>
                    <w:rPr>
                      <w:rFonts w:hint="eastAsia"/>
                      <w:iCs/>
                      <w:szCs w:val="21"/>
                    </w:rPr>
                  </w:pPr>
                  <w:r>
                    <w:rPr>
                      <w:rFonts w:hint="eastAsia"/>
                      <w:iCs/>
                      <w:szCs w:val="21"/>
                    </w:rPr>
                    <w:t>mg/L</w:t>
                  </w:r>
                </w:p>
              </w:tc>
            </w:tr>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1247" w:type="pct"/>
                  <w:noWrap w:val="0"/>
                  <w:vAlign w:val="top"/>
                </w:tcPr>
                <w:p>
                  <w:pPr>
                    <w:jc w:val="center"/>
                    <w:rPr>
                      <w:rFonts w:hint="default" w:eastAsia="宋体"/>
                      <w:iCs/>
                      <w:szCs w:val="21"/>
                      <w:lang w:val="en-US" w:eastAsia="zh-CN"/>
                    </w:rPr>
                  </w:pPr>
                  <w:r>
                    <w:rPr>
                      <w:rFonts w:hint="eastAsia"/>
                      <w:iCs/>
                      <w:szCs w:val="21"/>
                      <w:lang w:val="en-US" w:eastAsia="zh-CN"/>
                    </w:rPr>
                    <w:t>13</w:t>
                  </w:r>
                </w:p>
              </w:tc>
              <w:tc>
                <w:tcPr>
                  <w:tcW w:w="1247" w:type="pct"/>
                  <w:noWrap w:val="0"/>
                  <w:vAlign w:val="top"/>
                </w:tcPr>
                <w:p>
                  <w:pPr>
                    <w:jc w:val="center"/>
                    <w:rPr>
                      <w:rFonts w:hint="eastAsia" w:eastAsia="宋体"/>
                      <w:caps/>
                      <w:kern w:val="2"/>
                      <w:sz w:val="21"/>
                      <w:szCs w:val="21"/>
                      <w:lang w:val="en-US" w:eastAsia="zh-CN" w:bidi="ar-SA"/>
                    </w:rPr>
                  </w:pPr>
                  <w:r>
                    <w:rPr>
                      <w:rFonts w:hint="eastAsia"/>
                      <w:caps/>
                      <w:szCs w:val="21"/>
                      <w:lang w:eastAsia="zh-CN"/>
                    </w:rPr>
                    <w:t>阴离子表面活性剂</w:t>
                  </w:r>
                </w:p>
              </w:tc>
              <w:tc>
                <w:tcPr>
                  <w:tcW w:w="1247" w:type="pct"/>
                  <w:noWrap w:val="0"/>
                  <w:vAlign w:val="center"/>
                </w:tcPr>
                <w:p>
                  <w:pPr>
                    <w:jc w:val="center"/>
                    <w:rPr>
                      <w:rFonts w:hint="default" w:eastAsia="宋体"/>
                      <w:iCs/>
                      <w:szCs w:val="21"/>
                      <w:lang w:val="en-US" w:eastAsia="zh-CN"/>
                    </w:rPr>
                  </w:pPr>
                  <w:r>
                    <w:rPr>
                      <w:rFonts w:hint="eastAsia"/>
                      <w:iCs/>
                      <w:szCs w:val="21"/>
                      <w:lang w:val="en-US" w:eastAsia="zh-CN"/>
                    </w:rPr>
                    <w:t>10</w:t>
                  </w:r>
                </w:p>
              </w:tc>
              <w:tc>
                <w:tcPr>
                  <w:tcW w:w="1258" w:type="pct"/>
                  <w:noWrap w:val="0"/>
                  <w:vAlign w:val="center"/>
                </w:tcPr>
                <w:p>
                  <w:pPr>
                    <w:jc w:val="center"/>
                    <w:rPr>
                      <w:rFonts w:hint="eastAsia"/>
                      <w:iCs/>
                      <w:szCs w:val="21"/>
                    </w:rPr>
                  </w:pPr>
                  <w:r>
                    <w:rPr>
                      <w:rFonts w:hint="eastAsia"/>
                      <w:iCs/>
                      <w:szCs w:val="21"/>
                    </w:rPr>
                    <w:t>mg/L</w:t>
                  </w:r>
                </w:p>
              </w:tc>
            </w:tr>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1247" w:type="pct"/>
                  <w:noWrap w:val="0"/>
                  <w:vAlign w:val="top"/>
                </w:tcPr>
                <w:p>
                  <w:pPr>
                    <w:jc w:val="center"/>
                    <w:rPr>
                      <w:rFonts w:hint="default" w:eastAsia="宋体"/>
                      <w:iCs/>
                      <w:szCs w:val="21"/>
                      <w:lang w:val="en-US" w:eastAsia="zh-CN"/>
                    </w:rPr>
                  </w:pPr>
                  <w:r>
                    <w:rPr>
                      <w:rFonts w:hint="eastAsia"/>
                      <w:iCs/>
                      <w:szCs w:val="21"/>
                      <w:lang w:val="en-US" w:eastAsia="zh-CN"/>
                    </w:rPr>
                    <w:t>14</w:t>
                  </w:r>
                </w:p>
              </w:tc>
              <w:tc>
                <w:tcPr>
                  <w:tcW w:w="1247" w:type="pct"/>
                  <w:noWrap w:val="0"/>
                  <w:vAlign w:val="top"/>
                </w:tcPr>
                <w:p>
                  <w:pPr>
                    <w:jc w:val="center"/>
                    <w:rPr>
                      <w:rFonts w:hint="eastAsia" w:eastAsia="宋体"/>
                      <w:caps/>
                      <w:kern w:val="2"/>
                      <w:sz w:val="21"/>
                      <w:szCs w:val="21"/>
                      <w:lang w:val="en-US" w:eastAsia="zh-CN" w:bidi="ar-SA"/>
                    </w:rPr>
                  </w:pPr>
                  <w:r>
                    <w:rPr>
                      <w:rFonts w:hint="eastAsia"/>
                      <w:caps/>
                      <w:szCs w:val="21"/>
                      <w:lang w:eastAsia="zh-CN"/>
                    </w:rPr>
                    <w:t>挥发酚</w:t>
                  </w:r>
                </w:p>
              </w:tc>
              <w:tc>
                <w:tcPr>
                  <w:tcW w:w="1247" w:type="pct"/>
                  <w:noWrap w:val="0"/>
                  <w:vAlign w:val="center"/>
                </w:tcPr>
                <w:p>
                  <w:pPr>
                    <w:jc w:val="center"/>
                    <w:rPr>
                      <w:rFonts w:hint="default" w:eastAsia="宋体"/>
                      <w:iCs/>
                      <w:szCs w:val="21"/>
                      <w:lang w:val="en-US" w:eastAsia="zh-CN"/>
                    </w:rPr>
                  </w:pPr>
                  <w:r>
                    <w:rPr>
                      <w:rFonts w:hint="eastAsia"/>
                      <w:iCs/>
                      <w:szCs w:val="21"/>
                      <w:lang w:val="en-US" w:eastAsia="zh-CN"/>
                    </w:rPr>
                    <w:t>1.0</w:t>
                  </w:r>
                </w:p>
              </w:tc>
              <w:tc>
                <w:tcPr>
                  <w:tcW w:w="1258" w:type="pct"/>
                  <w:noWrap w:val="0"/>
                  <w:vAlign w:val="center"/>
                </w:tcPr>
                <w:p>
                  <w:pPr>
                    <w:jc w:val="center"/>
                    <w:rPr>
                      <w:rFonts w:hint="eastAsia"/>
                      <w:iCs/>
                      <w:szCs w:val="21"/>
                    </w:rPr>
                  </w:pPr>
                  <w:r>
                    <w:rPr>
                      <w:rFonts w:hint="eastAsia"/>
                      <w:iCs/>
                      <w:szCs w:val="21"/>
                    </w:rPr>
                    <w:t>mg/L</w:t>
                  </w:r>
                </w:p>
              </w:tc>
            </w:tr>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1247" w:type="pct"/>
                  <w:noWrap w:val="0"/>
                  <w:vAlign w:val="top"/>
                </w:tcPr>
                <w:p>
                  <w:pPr>
                    <w:jc w:val="center"/>
                    <w:rPr>
                      <w:rFonts w:hint="default" w:eastAsia="宋体"/>
                      <w:iCs/>
                      <w:szCs w:val="21"/>
                      <w:lang w:val="en-US" w:eastAsia="zh-CN"/>
                    </w:rPr>
                  </w:pPr>
                  <w:r>
                    <w:rPr>
                      <w:rFonts w:hint="eastAsia"/>
                      <w:iCs/>
                      <w:szCs w:val="21"/>
                      <w:lang w:val="en-US" w:eastAsia="zh-CN"/>
                    </w:rPr>
                    <w:t>15</w:t>
                  </w:r>
                </w:p>
              </w:tc>
              <w:tc>
                <w:tcPr>
                  <w:tcW w:w="1247" w:type="pct"/>
                  <w:noWrap w:val="0"/>
                  <w:vAlign w:val="top"/>
                </w:tcPr>
                <w:p>
                  <w:pPr>
                    <w:jc w:val="center"/>
                    <w:rPr>
                      <w:rFonts w:hint="eastAsia" w:eastAsia="宋体"/>
                      <w:caps/>
                      <w:szCs w:val="21"/>
                      <w:lang w:eastAsia="zh-CN"/>
                    </w:rPr>
                  </w:pPr>
                  <w:r>
                    <w:rPr>
                      <w:rFonts w:hint="eastAsia"/>
                      <w:caps/>
                      <w:szCs w:val="21"/>
                      <w:lang w:eastAsia="zh-CN"/>
                    </w:rPr>
                    <w:t>总氰化物</w:t>
                  </w:r>
                </w:p>
              </w:tc>
              <w:tc>
                <w:tcPr>
                  <w:tcW w:w="1247" w:type="pct"/>
                  <w:noWrap w:val="0"/>
                  <w:vAlign w:val="center"/>
                </w:tcPr>
                <w:p>
                  <w:pPr>
                    <w:jc w:val="center"/>
                    <w:rPr>
                      <w:rFonts w:hint="default" w:eastAsia="宋体"/>
                      <w:iCs/>
                      <w:szCs w:val="21"/>
                      <w:lang w:val="en-US" w:eastAsia="zh-CN"/>
                    </w:rPr>
                  </w:pPr>
                  <w:r>
                    <w:rPr>
                      <w:rFonts w:hint="eastAsia"/>
                      <w:iCs/>
                      <w:szCs w:val="21"/>
                      <w:lang w:val="en-US" w:eastAsia="zh-CN"/>
                    </w:rPr>
                    <w:t>0.5</w:t>
                  </w:r>
                </w:p>
              </w:tc>
              <w:tc>
                <w:tcPr>
                  <w:tcW w:w="1258" w:type="pct"/>
                  <w:noWrap w:val="0"/>
                  <w:vAlign w:val="center"/>
                </w:tcPr>
                <w:p>
                  <w:pPr>
                    <w:jc w:val="center"/>
                    <w:rPr>
                      <w:rFonts w:hint="eastAsia"/>
                      <w:iCs/>
                      <w:szCs w:val="21"/>
                    </w:rPr>
                  </w:pPr>
                  <w:r>
                    <w:rPr>
                      <w:rFonts w:hint="eastAsia"/>
                      <w:iCs/>
                      <w:szCs w:val="21"/>
                    </w:rPr>
                    <w:t>mg/L</w:t>
                  </w:r>
                </w:p>
              </w:tc>
            </w:tr>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07" w:hRule="atLeast"/>
                <w:jc w:val="center"/>
              </w:trPr>
              <w:tc>
                <w:tcPr>
                  <w:tcW w:w="5000" w:type="pct"/>
                  <w:gridSpan w:val="4"/>
                  <w:noWrap w:val="0"/>
                  <w:vAlign w:val="top"/>
                </w:tcPr>
                <w:p>
                  <w:pPr>
                    <w:spacing w:line="240" w:lineRule="auto"/>
                    <w:jc w:val="left"/>
                    <w:rPr>
                      <w:rFonts w:hint="eastAsia"/>
                      <w:b/>
                      <w:bCs/>
                      <w:sz w:val="18"/>
                      <w:szCs w:val="18"/>
                    </w:rPr>
                  </w:pPr>
                  <w:r>
                    <w:rPr>
                      <w:rFonts w:hint="eastAsia"/>
                      <w:b/>
                      <w:bCs/>
                      <w:sz w:val="18"/>
                      <w:szCs w:val="18"/>
                    </w:rPr>
                    <w:t>注：采用含氯消毒剂消毒的工艺控制要求为：</w:t>
                  </w:r>
                </w:p>
                <w:p>
                  <w:pPr>
                    <w:pStyle w:val="165"/>
                    <w:bidi w:val="0"/>
                    <w:jc w:val="left"/>
                    <w:rPr>
                      <w:rFonts w:hint="eastAsia"/>
                      <w:b/>
                      <w:bCs/>
                      <w:sz w:val="18"/>
                      <w:szCs w:val="16"/>
                    </w:rPr>
                  </w:pPr>
                  <w:r>
                    <w:rPr>
                      <w:rFonts w:hint="eastAsia"/>
                      <w:b/>
                      <w:bCs/>
                      <w:sz w:val="18"/>
                      <w:szCs w:val="16"/>
                    </w:rPr>
                    <w:t>一级标准：消毒接触池接触时间≥1h，接触池出口总余氯3-10mg/L。</w:t>
                  </w:r>
                </w:p>
                <w:p>
                  <w:pPr>
                    <w:pStyle w:val="165"/>
                    <w:bidi w:val="0"/>
                    <w:jc w:val="left"/>
                  </w:pPr>
                  <w:r>
                    <w:rPr>
                      <w:rFonts w:hint="eastAsia"/>
                      <w:b/>
                      <w:bCs/>
                      <w:sz w:val="18"/>
                      <w:szCs w:val="16"/>
                    </w:rPr>
                    <w:t>二级标准：消毒接触池接触时间≥1h，接触池出口总余氯2-8mg/L。</w:t>
                  </w:r>
                </w:p>
              </w:tc>
            </w:tr>
          </w:tbl>
          <w:p>
            <w:pPr>
              <w:wordWrap w:val="0"/>
              <w:adjustRightInd w:val="0"/>
              <w:snapToGrid w:val="0"/>
              <w:spacing w:line="360" w:lineRule="auto"/>
              <w:ind w:firstLine="482" w:firstLineChars="200"/>
              <w:jc w:val="left"/>
              <w:rPr>
                <w:rFonts w:ascii="Times New Roman" w:hAnsi="Times New Roman" w:eastAsia="宋体"/>
                <w:b/>
                <w:color w:val="000000"/>
                <w:sz w:val="24"/>
              </w:rPr>
            </w:pPr>
            <w:r>
              <w:rPr>
                <w:rFonts w:ascii="Times New Roman" w:hAnsi="Times New Roman" w:eastAsia="宋体"/>
                <w:b/>
                <w:color w:val="000000"/>
                <w:sz w:val="24"/>
              </w:rPr>
              <w:t>3、噪声</w:t>
            </w:r>
          </w:p>
          <w:p>
            <w:pPr>
              <w:spacing w:line="360" w:lineRule="auto"/>
              <w:ind w:firstLine="480" w:firstLineChars="200"/>
              <w:jc w:val="left"/>
              <w:rPr>
                <w:rFonts w:hint="eastAsia" w:ascii="黑体" w:hAnsi="黑体" w:eastAsia="黑体" w:cs="黑体"/>
                <w:szCs w:val="21"/>
              </w:rPr>
            </w:pPr>
            <w:r>
              <w:rPr>
                <w:rFonts w:hint="eastAsia"/>
                <w:sz w:val="24"/>
              </w:rPr>
              <w:t>施工期执行《建筑施工场界环境噪声排放标准》（GB12523-2011）标准要求限值，见下表：</w:t>
            </w:r>
          </w:p>
          <w:p>
            <w:pPr>
              <w:jc w:val="center"/>
              <w:rPr>
                <w:rFonts w:hint="eastAsia"/>
                <w:b/>
              </w:rPr>
            </w:pPr>
            <w:r>
              <w:rPr>
                <w:rFonts w:hint="eastAsia" w:ascii="黑体" w:hAnsi="黑体" w:eastAsia="黑体" w:cs="黑体"/>
                <w:szCs w:val="21"/>
              </w:rPr>
              <w:t xml:space="preserve">     </w:t>
            </w:r>
            <w:r>
              <w:rPr>
                <w:rFonts w:hint="eastAsia"/>
                <w:b/>
              </w:rPr>
              <w:t>表3-</w:t>
            </w:r>
            <w:r>
              <w:rPr>
                <w:rFonts w:hint="eastAsia"/>
                <w:b/>
                <w:lang w:val="en-US" w:eastAsia="zh-CN"/>
              </w:rPr>
              <w:t>9</w:t>
            </w:r>
            <w:r>
              <w:rPr>
                <w:rFonts w:hint="eastAsia"/>
                <w:b/>
              </w:rPr>
              <w:t xml:space="preserve"> 《建筑施工场界环境噪声排放标准》（GB12523-2011）  LAeq:dB（A）</w:t>
            </w:r>
          </w:p>
          <w:tbl>
            <w:tblPr>
              <w:tblStyle w:val="41"/>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103"/>
              <w:gridCol w:w="2351"/>
              <w:gridCol w:w="243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7" w:hRule="exact"/>
                <w:jc w:val="center"/>
              </w:trPr>
              <w:tc>
                <w:tcPr>
                  <w:tcW w:w="3103" w:type="dxa"/>
                  <w:noWrap w:val="0"/>
                  <w:vAlign w:val="center"/>
                </w:tcPr>
                <w:p>
                  <w:pPr>
                    <w:jc w:val="center"/>
                    <w:rPr>
                      <w:rFonts w:hint="eastAsia"/>
                      <w:iCs/>
                      <w:szCs w:val="21"/>
                    </w:rPr>
                  </w:pPr>
                  <w:r>
                    <w:rPr>
                      <w:rFonts w:hint="eastAsia"/>
                      <w:iCs/>
                      <w:szCs w:val="21"/>
                    </w:rPr>
                    <w:t>项  目</w:t>
                  </w:r>
                </w:p>
              </w:tc>
              <w:tc>
                <w:tcPr>
                  <w:tcW w:w="2351" w:type="dxa"/>
                  <w:noWrap w:val="0"/>
                  <w:vAlign w:val="center"/>
                </w:tcPr>
                <w:p>
                  <w:pPr>
                    <w:jc w:val="center"/>
                    <w:rPr>
                      <w:rFonts w:hint="eastAsia"/>
                      <w:iCs/>
                      <w:szCs w:val="21"/>
                    </w:rPr>
                  </w:pPr>
                  <w:r>
                    <w:rPr>
                      <w:rFonts w:hint="eastAsia"/>
                      <w:iCs/>
                      <w:szCs w:val="21"/>
                    </w:rPr>
                    <w:t>昼  间</w:t>
                  </w:r>
                </w:p>
              </w:tc>
              <w:tc>
                <w:tcPr>
                  <w:tcW w:w="2438" w:type="dxa"/>
                  <w:noWrap w:val="0"/>
                  <w:vAlign w:val="center"/>
                </w:tcPr>
                <w:p>
                  <w:pPr>
                    <w:jc w:val="center"/>
                    <w:rPr>
                      <w:rFonts w:hint="eastAsia"/>
                      <w:iCs/>
                      <w:szCs w:val="21"/>
                    </w:rPr>
                  </w:pPr>
                  <w:r>
                    <w:rPr>
                      <w:rFonts w:hint="eastAsia"/>
                      <w:iCs/>
                      <w:szCs w:val="21"/>
                    </w:rPr>
                    <w:t>夜  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5" w:hRule="exact"/>
                <w:jc w:val="center"/>
              </w:trPr>
              <w:tc>
                <w:tcPr>
                  <w:tcW w:w="3103" w:type="dxa"/>
                  <w:noWrap w:val="0"/>
                  <w:vAlign w:val="center"/>
                </w:tcPr>
                <w:p>
                  <w:pPr>
                    <w:jc w:val="center"/>
                    <w:rPr>
                      <w:rFonts w:hint="eastAsia"/>
                      <w:iCs/>
                      <w:szCs w:val="21"/>
                    </w:rPr>
                  </w:pPr>
                  <w:r>
                    <w:rPr>
                      <w:rFonts w:hint="eastAsia"/>
                      <w:iCs/>
                      <w:szCs w:val="21"/>
                    </w:rPr>
                    <w:t>标准值</w:t>
                  </w:r>
                </w:p>
              </w:tc>
              <w:tc>
                <w:tcPr>
                  <w:tcW w:w="2351" w:type="dxa"/>
                  <w:noWrap w:val="0"/>
                  <w:vAlign w:val="center"/>
                </w:tcPr>
                <w:p>
                  <w:pPr>
                    <w:jc w:val="center"/>
                    <w:rPr>
                      <w:rFonts w:hint="eastAsia"/>
                      <w:iCs/>
                      <w:szCs w:val="21"/>
                    </w:rPr>
                  </w:pPr>
                  <w:r>
                    <w:rPr>
                      <w:rFonts w:hint="eastAsia"/>
                      <w:iCs/>
                      <w:szCs w:val="21"/>
                    </w:rPr>
                    <w:t>70</w:t>
                  </w:r>
                </w:p>
              </w:tc>
              <w:tc>
                <w:tcPr>
                  <w:tcW w:w="2438" w:type="dxa"/>
                  <w:noWrap w:val="0"/>
                  <w:vAlign w:val="center"/>
                </w:tcPr>
                <w:p>
                  <w:pPr>
                    <w:jc w:val="center"/>
                    <w:rPr>
                      <w:rFonts w:hint="eastAsia"/>
                      <w:iCs/>
                      <w:szCs w:val="21"/>
                    </w:rPr>
                  </w:pPr>
                  <w:r>
                    <w:rPr>
                      <w:rFonts w:hint="eastAsia"/>
                      <w:iCs/>
                      <w:szCs w:val="21"/>
                    </w:rPr>
                    <w:t>55</w:t>
                  </w:r>
                </w:p>
              </w:tc>
            </w:tr>
          </w:tbl>
          <w:p>
            <w:pPr>
              <w:spacing w:line="360" w:lineRule="auto"/>
              <w:ind w:firstLine="480" w:firstLineChars="200"/>
              <w:jc w:val="left"/>
              <w:rPr>
                <w:rFonts w:hint="eastAsia" w:ascii="黑体" w:hAnsi="黑体" w:eastAsia="黑体" w:cs="黑体"/>
                <w:szCs w:val="21"/>
              </w:rPr>
            </w:pPr>
            <w:r>
              <w:rPr>
                <w:rFonts w:hint="eastAsia"/>
                <w:sz w:val="24"/>
              </w:rPr>
              <w:t>营运期噪声执行国家《工业企业厂界环境噪声排放标准》</w:t>
            </w:r>
            <w:r>
              <w:rPr>
                <w:sz w:val="24"/>
              </w:rPr>
              <w:t>GB12348-2008</w:t>
            </w:r>
            <w:r>
              <w:rPr>
                <w:rFonts w:hint="eastAsia"/>
                <w:sz w:val="24"/>
              </w:rPr>
              <w:t>中2类标准。标准限值见下表：</w:t>
            </w:r>
          </w:p>
          <w:p>
            <w:pPr>
              <w:jc w:val="center"/>
              <w:rPr>
                <w:rFonts w:hint="eastAsia"/>
                <w:b/>
              </w:rPr>
            </w:pPr>
            <w:r>
              <w:rPr>
                <w:rFonts w:hint="eastAsia"/>
                <w:b/>
              </w:rPr>
              <w:t>表3-</w:t>
            </w:r>
            <w:r>
              <w:rPr>
                <w:rFonts w:hint="eastAsia"/>
                <w:b/>
                <w:lang w:val="en-US" w:eastAsia="zh-CN"/>
              </w:rPr>
              <w:t xml:space="preserve">10 </w:t>
            </w:r>
            <w:r>
              <w:rPr>
                <w:rFonts w:hint="eastAsia"/>
                <w:b/>
              </w:rPr>
              <w:t>《工业企业厂界环境噪声排放标准》GB12348-2008   LAeq:dB（A）</w:t>
            </w:r>
          </w:p>
          <w:tbl>
            <w:tblPr>
              <w:tblStyle w:val="41"/>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83"/>
              <w:gridCol w:w="2834"/>
              <w:gridCol w:w="242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62" w:hRule="atLeast"/>
                <w:jc w:val="center"/>
              </w:trPr>
              <w:tc>
                <w:tcPr>
                  <w:tcW w:w="2583" w:type="dxa"/>
                  <w:noWrap w:val="0"/>
                  <w:vAlign w:val="center"/>
                </w:tcPr>
                <w:p>
                  <w:pPr>
                    <w:jc w:val="center"/>
                    <w:rPr>
                      <w:rFonts w:hint="eastAsia"/>
                      <w:iCs/>
                      <w:szCs w:val="21"/>
                    </w:rPr>
                  </w:pPr>
                  <w:r>
                    <w:rPr>
                      <w:rFonts w:hint="eastAsia"/>
                      <w:iCs/>
                      <w:szCs w:val="21"/>
                    </w:rPr>
                    <w:t>类   别</w:t>
                  </w:r>
                </w:p>
              </w:tc>
              <w:tc>
                <w:tcPr>
                  <w:tcW w:w="2834" w:type="dxa"/>
                  <w:noWrap w:val="0"/>
                  <w:vAlign w:val="center"/>
                </w:tcPr>
                <w:p>
                  <w:pPr>
                    <w:jc w:val="center"/>
                    <w:rPr>
                      <w:rFonts w:hint="eastAsia"/>
                      <w:iCs/>
                      <w:szCs w:val="21"/>
                    </w:rPr>
                  </w:pPr>
                  <w:r>
                    <w:rPr>
                      <w:rFonts w:hint="eastAsia"/>
                      <w:iCs/>
                      <w:szCs w:val="21"/>
                    </w:rPr>
                    <w:t>昼  间</w:t>
                  </w:r>
                </w:p>
              </w:tc>
              <w:tc>
                <w:tcPr>
                  <w:tcW w:w="2428" w:type="dxa"/>
                  <w:noWrap w:val="0"/>
                  <w:vAlign w:val="center"/>
                </w:tcPr>
                <w:p>
                  <w:pPr>
                    <w:jc w:val="center"/>
                    <w:rPr>
                      <w:rFonts w:hint="eastAsia"/>
                      <w:iCs/>
                      <w:szCs w:val="21"/>
                    </w:rPr>
                  </w:pPr>
                  <w:r>
                    <w:rPr>
                      <w:rFonts w:hint="eastAsia"/>
                      <w:iCs/>
                      <w:szCs w:val="21"/>
                    </w:rPr>
                    <w:t>夜  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57" w:hRule="atLeast"/>
                <w:jc w:val="center"/>
              </w:trPr>
              <w:tc>
                <w:tcPr>
                  <w:tcW w:w="2583" w:type="dxa"/>
                  <w:noWrap w:val="0"/>
                  <w:vAlign w:val="center"/>
                </w:tcPr>
                <w:p>
                  <w:pPr>
                    <w:jc w:val="center"/>
                    <w:rPr>
                      <w:rFonts w:hint="eastAsia"/>
                      <w:iCs/>
                      <w:szCs w:val="21"/>
                    </w:rPr>
                  </w:pPr>
                  <w:r>
                    <w:rPr>
                      <w:rFonts w:hint="eastAsia"/>
                      <w:iCs/>
                      <w:szCs w:val="21"/>
                    </w:rPr>
                    <w:t>2类</w:t>
                  </w:r>
                </w:p>
              </w:tc>
              <w:tc>
                <w:tcPr>
                  <w:tcW w:w="2834" w:type="dxa"/>
                  <w:noWrap w:val="0"/>
                  <w:vAlign w:val="center"/>
                </w:tcPr>
                <w:p>
                  <w:pPr>
                    <w:jc w:val="center"/>
                    <w:rPr>
                      <w:rFonts w:hint="eastAsia"/>
                      <w:iCs/>
                      <w:szCs w:val="21"/>
                    </w:rPr>
                  </w:pPr>
                  <w:r>
                    <w:rPr>
                      <w:rFonts w:hint="eastAsia"/>
                      <w:iCs/>
                      <w:szCs w:val="21"/>
                    </w:rPr>
                    <w:t>60</w:t>
                  </w:r>
                </w:p>
              </w:tc>
              <w:tc>
                <w:tcPr>
                  <w:tcW w:w="2428" w:type="dxa"/>
                  <w:noWrap w:val="0"/>
                  <w:vAlign w:val="center"/>
                </w:tcPr>
                <w:p>
                  <w:pPr>
                    <w:jc w:val="center"/>
                    <w:rPr>
                      <w:rFonts w:hint="eastAsia"/>
                      <w:iCs/>
                      <w:szCs w:val="21"/>
                    </w:rPr>
                  </w:pPr>
                  <w:r>
                    <w:rPr>
                      <w:rFonts w:hint="eastAsia"/>
                      <w:iCs/>
                      <w:szCs w:val="21"/>
                    </w:rPr>
                    <w:t>50</w:t>
                  </w:r>
                </w:p>
              </w:tc>
            </w:tr>
          </w:tbl>
          <w:p>
            <w:pPr>
              <w:pStyle w:val="185"/>
              <w:ind w:firstLine="482"/>
              <w:rPr>
                <w:rFonts w:ascii="Times New Roman" w:hAnsi="Times New Roman" w:eastAsia="宋体"/>
                <w:b/>
                <w:color w:val="000000"/>
              </w:rPr>
            </w:pPr>
            <w:r>
              <w:rPr>
                <w:rFonts w:ascii="Times New Roman" w:hAnsi="Times New Roman" w:eastAsia="宋体"/>
                <w:b/>
                <w:color w:val="000000"/>
              </w:rPr>
              <w:t>4、固废</w:t>
            </w:r>
          </w:p>
          <w:p>
            <w:pPr>
              <w:pStyle w:val="185"/>
              <w:ind w:firstLine="480"/>
              <w:jc w:val="both"/>
              <w:rPr>
                <w:rFonts w:ascii="Times New Roman" w:hAnsi="Times New Roman" w:eastAsia="宋体"/>
                <w:color w:val="000000"/>
              </w:rPr>
            </w:pPr>
            <w:r>
              <w:rPr>
                <w:rFonts w:hint="eastAsia" w:ascii="Times New Roman" w:hAnsi="Times New Roman" w:eastAsia="宋体"/>
                <w:color w:val="000000"/>
              </w:rPr>
              <w:t>一般固体废物：贮存、处置执行《一般工业固体废物贮存和填埋污染控制标准》（</w:t>
            </w:r>
            <w:r>
              <w:rPr>
                <w:rFonts w:ascii="Times New Roman" w:hAnsi="Times New Roman" w:eastAsia="宋体"/>
                <w:color w:val="000000"/>
              </w:rPr>
              <w:t>GB18599-2020</w:t>
            </w:r>
            <w:r>
              <w:rPr>
                <w:rFonts w:hint="eastAsia" w:ascii="Times New Roman" w:hAnsi="Times New Roman" w:eastAsia="宋体"/>
                <w:color w:val="000000"/>
              </w:rPr>
              <w:t>）中相关要求。</w:t>
            </w:r>
          </w:p>
          <w:p>
            <w:pPr>
              <w:pStyle w:val="185"/>
              <w:ind w:firstLine="480"/>
              <w:jc w:val="both"/>
              <w:rPr>
                <w:rFonts w:ascii="Times New Roman" w:hAnsi="Times New Roman" w:eastAsia="宋体"/>
                <w:color w:val="000000"/>
                <w:kern w:val="0"/>
                <w:szCs w:val="21"/>
              </w:rPr>
            </w:pPr>
            <w:r>
              <w:rPr>
                <w:rFonts w:hint="eastAsia" w:ascii="Times New Roman" w:hAnsi="Times New Roman" w:eastAsia="宋体"/>
                <w:color w:val="000000"/>
              </w:rPr>
              <w:t>危险废物：执行《危险废物贮存污染控制标准》（</w:t>
            </w:r>
            <w:r>
              <w:rPr>
                <w:rFonts w:ascii="Times New Roman" w:hAnsi="Times New Roman" w:eastAsia="宋体"/>
                <w:color w:val="000000"/>
              </w:rPr>
              <w:t>GB18597-2001</w:t>
            </w:r>
            <w:r>
              <w:rPr>
                <w:rFonts w:hint="eastAsia" w:ascii="Times New Roman" w:hAnsi="Times New Roman" w:eastAsia="宋体"/>
                <w:color w:val="000000"/>
              </w:rPr>
              <w:t>）和中华人民共和国环境保护部公告</w:t>
            </w:r>
            <w:r>
              <w:rPr>
                <w:rFonts w:ascii="Times New Roman" w:hAnsi="Times New Roman" w:eastAsia="宋体"/>
                <w:color w:val="000000"/>
              </w:rPr>
              <w:t>2013</w:t>
            </w:r>
            <w:r>
              <w:rPr>
                <w:rFonts w:hint="eastAsia" w:ascii="Times New Roman" w:hAnsi="Times New Roman" w:eastAsia="宋体"/>
                <w:color w:val="000000"/>
              </w:rPr>
              <w:t>年（第</w:t>
            </w:r>
            <w:r>
              <w:rPr>
                <w:rFonts w:ascii="Times New Roman" w:hAnsi="Times New Roman" w:eastAsia="宋体"/>
                <w:color w:val="000000"/>
              </w:rPr>
              <w:t>36</w:t>
            </w:r>
            <w:r>
              <w:rPr>
                <w:rFonts w:hint="eastAsia" w:ascii="Times New Roman" w:hAnsi="Times New Roman" w:eastAsia="宋体"/>
                <w:color w:val="000000"/>
              </w:rPr>
              <w:t>号）关于发布《危险废物贮存污染控制标准》（</w:t>
            </w:r>
            <w:r>
              <w:rPr>
                <w:rFonts w:ascii="Times New Roman" w:hAnsi="Times New Roman" w:eastAsia="宋体"/>
                <w:color w:val="000000"/>
              </w:rPr>
              <w:t>GB18597-2001</w:t>
            </w:r>
            <w:r>
              <w:rPr>
                <w:rFonts w:hint="eastAsia" w:ascii="Times New Roman" w:hAnsi="Times New Roman" w:eastAsia="宋体"/>
                <w:color w:val="000000"/>
              </w:rPr>
              <w:t>）污染物控制标准修改单的公告</w:t>
            </w:r>
            <w:r>
              <w:rPr>
                <w:rFonts w:ascii="Times New Roman" w:hAnsi="Times New Roman" w:eastAsia="宋体"/>
                <w:color w:val="00000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4" w:hRule="atLeast"/>
          <w:jc w:val="center"/>
        </w:trPr>
        <w:tc>
          <w:tcPr>
            <w:tcW w:w="640" w:type="dxa"/>
            <w:noWrap w:val="0"/>
            <w:vAlign w:val="center"/>
          </w:tcPr>
          <w:p>
            <w:pPr>
              <w:adjustRightInd w:val="0"/>
              <w:snapToGrid w:val="0"/>
              <w:jc w:val="center"/>
              <w:rPr>
                <w:rFonts w:ascii="Times New Roman" w:hAnsi="Times New Roman" w:eastAsia="宋体"/>
                <w:color w:val="000000"/>
                <w:kern w:val="0"/>
                <w:szCs w:val="21"/>
              </w:rPr>
            </w:pPr>
            <w:r>
              <w:rPr>
                <w:rFonts w:ascii="Times New Roman" w:hAnsi="Times New Roman" w:eastAsia="宋体"/>
                <w:color w:val="000000"/>
                <w:kern w:val="0"/>
                <w:szCs w:val="21"/>
              </w:rPr>
              <w:t>总量</w:t>
            </w:r>
          </w:p>
          <w:p>
            <w:pPr>
              <w:adjustRightInd w:val="0"/>
              <w:snapToGrid w:val="0"/>
              <w:jc w:val="center"/>
              <w:rPr>
                <w:rFonts w:ascii="Times New Roman" w:hAnsi="Times New Roman" w:eastAsia="宋体"/>
                <w:color w:val="000000"/>
                <w:kern w:val="0"/>
                <w:szCs w:val="21"/>
              </w:rPr>
            </w:pPr>
            <w:r>
              <w:rPr>
                <w:rFonts w:ascii="Times New Roman" w:hAnsi="Times New Roman" w:eastAsia="宋体"/>
                <w:color w:val="000000"/>
                <w:kern w:val="0"/>
                <w:szCs w:val="21"/>
              </w:rPr>
              <w:t>控制</w:t>
            </w:r>
          </w:p>
          <w:p>
            <w:pPr>
              <w:adjustRightInd w:val="0"/>
              <w:snapToGrid w:val="0"/>
              <w:jc w:val="center"/>
              <w:rPr>
                <w:rFonts w:ascii="Times New Roman" w:hAnsi="Times New Roman" w:eastAsia="宋体"/>
                <w:color w:val="000000"/>
                <w:kern w:val="0"/>
                <w:szCs w:val="21"/>
              </w:rPr>
            </w:pPr>
            <w:r>
              <w:rPr>
                <w:rFonts w:ascii="Times New Roman" w:hAnsi="Times New Roman" w:eastAsia="宋体"/>
                <w:color w:val="000000"/>
                <w:kern w:val="0"/>
                <w:szCs w:val="21"/>
              </w:rPr>
              <w:t>指标</w:t>
            </w:r>
          </w:p>
        </w:tc>
        <w:tc>
          <w:tcPr>
            <w:tcW w:w="8350" w:type="dxa"/>
            <w:noWrap w:val="0"/>
            <w:vAlign w:val="center"/>
          </w:tcPr>
          <w:p>
            <w:pPr>
              <w:pStyle w:val="185"/>
              <w:ind w:firstLine="480"/>
              <w:jc w:val="both"/>
              <w:rPr>
                <w:rFonts w:hint="eastAsia" w:ascii="Times New Roman" w:hAnsi="Times New Roman" w:eastAsia="宋体"/>
                <w:color w:val="000000"/>
                <w:sz w:val="24"/>
              </w:rPr>
            </w:pPr>
            <w:r>
              <w:rPr>
                <w:rFonts w:hint="eastAsia" w:ascii="Times New Roman" w:hAnsi="Times New Roman" w:eastAsia="宋体"/>
                <w:color w:val="000000"/>
                <w:sz w:val="24"/>
              </w:rPr>
              <w:t>1、废水总量控制指标</w:t>
            </w:r>
          </w:p>
          <w:p>
            <w:pPr>
              <w:pStyle w:val="185"/>
              <w:ind w:firstLine="480"/>
              <w:jc w:val="both"/>
              <w:rPr>
                <w:rFonts w:hint="eastAsia" w:ascii="Times New Roman" w:hAnsi="Times New Roman" w:eastAsia="宋体"/>
                <w:color w:val="000000"/>
                <w:sz w:val="24"/>
              </w:rPr>
            </w:pPr>
            <w:r>
              <w:rPr>
                <w:rFonts w:hint="eastAsia" w:ascii="Times New Roman" w:hAnsi="Times New Roman" w:eastAsia="宋体"/>
                <w:color w:val="000000"/>
                <w:sz w:val="24"/>
              </w:rPr>
              <w:t>按照《建设项目主要污染物总量控制指标审核及管理暂行办法》（环发[2014]197号文件要求，结合项目建设情况。根据相关技术规范，本项目产生的废水院内污水处理站预处理达到《医疗机构水污染物排放标准》（GB18466-2005）表2中预处理标准后，排入市政污水管网，经城镇生活污水处理厂处理后排放。水污染物总量控制指标纳入城镇生活污水处理厂总量控制指标，本项目不在单独设置水污染物总量控制指标。</w:t>
            </w:r>
          </w:p>
          <w:p>
            <w:pPr>
              <w:pStyle w:val="185"/>
              <w:ind w:firstLine="480"/>
              <w:jc w:val="both"/>
              <w:rPr>
                <w:rFonts w:hint="eastAsia" w:ascii="Times New Roman" w:hAnsi="Times New Roman" w:eastAsia="宋体"/>
                <w:color w:val="000000"/>
                <w:sz w:val="24"/>
              </w:rPr>
            </w:pPr>
            <w:r>
              <w:rPr>
                <w:rFonts w:hint="eastAsia" w:ascii="Times New Roman" w:hAnsi="Times New Roman" w:eastAsia="宋体"/>
                <w:color w:val="000000"/>
                <w:sz w:val="24"/>
              </w:rPr>
              <w:t>2、废气总量控制指标</w:t>
            </w:r>
          </w:p>
          <w:p>
            <w:pPr>
              <w:pStyle w:val="185"/>
              <w:ind w:firstLine="480"/>
              <w:jc w:val="both"/>
              <w:rPr>
                <w:rFonts w:hint="eastAsia" w:ascii="Times New Roman" w:hAnsi="Times New Roman" w:eastAsia="宋体"/>
                <w:color w:val="000000"/>
                <w:sz w:val="24"/>
              </w:rPr>
            </w:pPr>
            <w:r>
              <w:rPr>
                <w:rFonts w:hint="eastAsia" w:ascii="Times New Roman" w:hAnsi="Times New Roman" w:eastAsia="宋体"/>
                <w:color w:val="000000"/>
                <w:sz w:val="24"/>
              </w:rPr>
              <w:t>根据《建设项目主要污染物总量控制指标审核及管理暂行办法》（环发[2014]197号，简称《暂行方法》）在污染物排放总量审核中明确“火电、钢铁、水泥、造纸、印染行业建设项目所需替代的主要污染物排放总量指标采用绩效方法核定。其他行业依照国家或地方污染物排放标准及单位产品基准排水量（行业最高允许排水量）、烟气量等予以核定”。</w:t>
            </w:r>
          </w:p>
          <w:p>
            <w:pPr>
              <w:pStyle w:val="185"/>
              <w:ind w:firstLine="480"/>
              <w:jc w:val="both"/>
              <w:rPr>
                <w:rFonts w:ascii="Times New Roman" w:hAnsi="Times New Roman" w:eastAsia="宋体"/>
                <w:color w:val="000000"/>
              </w:rPr>
            </w:pPr>
            <w:r>
              <w:rPr>
                <w:rFonts w:hint="eastAsia" w:ascii="Times New Roman" w:hAnsi="Times New Roman" w:eastAsia="宋体"/>
                <w:color w:val="000000"/>
                <w:sz w:val="24"/>
              </w:rPr>
              <w:t>本项目废气污染物中无SO</w:t>
            </w:r>
            <w:r>
              <w:rPr>
                <w:rFonts w:hint="eastAsia" w:ascii="Times New Roman" w:hAnsi="Times New Roman" w:eastAsia="宋体"/>
                <w:color w:val="000000"/>
                <w:sz w:val="24"/>
                <w:vertAlign w:val="subscript"/>
              </w:rPr>
              <w:t>2</w:t>
            </w:r>
            <w:r>
              <w:rPr>
                <w:rFonts w:hint="eastAsia" w:ascii="Times New Roman" w:hAnsi="Times New Roman" w:eastAsia="宋体"/>
                <w:color w:val="000000"/>
                <w:sz w:val="24"/>
              </w:rPr>
              <w:t>和NOx等总量控制指标。本项目为精神病医院床位扩建项目，不属于电、钢铁、水泥、造纸、印染行业等开展烟粉尘重点行业范畴，本项目项目食堂采用清洁能源天然气作为燃料，不设置锅炉；备用发电机组是要频率极低，污染物排放量较小；污水处理站周边臭气经采取地埋工艺、调节池（集水池）封闭加盖等措施后，污染物排放量较小。项目废气主要以无组织形式排放，不需设置大气污染物总量控制指标。</w:t>
            </w:r>
          </w:p>
        </w:tc>
      </w:tr>
    </w:tbl>
    <w:p>
      <w:pPr>
        <w:pStyle w:val="37"/>
        <w:spacing w:line="240" w:lineRule="auto"/>
        <w:jc w:val="center"/>
        <w:outlineLvl w:val="0"/>
        <w:rPr>
          <w:rFonts w:ascii="黑体" w:hAnsi="黑体" w:eastAsia="黑体"/>
          <w:snapToGrid w:val="0"/>
          <w:color w:val="000000"/>
          <w:sz w:val="30"/>
          <w:szCs w:val="30"/>
        </w:rPr>
      </w:pPr>
      <w:r>
        <w:rPr>
          <w:rFonts w:ascii="黑体" w:hAnsi="黑体" w:eastAsia="黑体"/>
          <w:snapToGrid w:val="0"/>
          <w:color w:val="000000"/>
          <w:sz w:val="36"/>
          <w:szCs w:val="36"/>
        </w:rPr>
        <w:br w:type="page"/>
      </w:r>
      <w:r>
        <w:rPr>
          <w:rFonts w:hint="eastAsia" w:ascii="黑体" w:hAnsi="黑体" w:eastAsia="黑体"/>
          <w:snapToGrid w:val="0"/>
          <w:color w:val="000000"/>
          <w:sz w:val="30"/>
          <w:szCs w:val="30"/>
        </w:rPr>
        <w:t>四、主要环境影响和保护措施</w:t>
      </w:r>
    </w:p>
    <w:tbl>
      <w:tblPr>
        <w:tblStyle w:val="41"/>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54"/>
        <w:gridCol w:w="832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654" w:type="dxa"/>
            <w:noWrap w:val="0"/>
            <w:tcMar>
              <w:left w:w="28" w:type="dxa"/>
              <w:right w:w="28" w:type="dxa"/>
            </w:tcMar>
            <w:vAlign w:val="center"/>
          </w:tcPr>
          <w:p>
            <w:pPr>
              <w:pStyle w:val="37"/>
              <w:adjustRightInd w:val="0"/>
              <w:snapToGrid w:val="0"/>
              <w:spacing w:before="0" w:beforeAutospacing="0" w:after="0" w:afterAutospacing="0"/>
              <w:jc w:val="center"/>
              <w:rPr>
                <w:rFonts w:ascii="Times New Roman" w:hAnsi="Times New Roman" w:eastAsia="宋体"/>
                <w:color w:val="000000"/>
                <w:kern w:val="2"/>
                <w:sz w:val="21"/>
                <w:szCs w:val="21"/>
              </w:rPr>
            </w:pPr>
            <w:r>
              <w:rPr>
                <w:rFonts w:ascii="Times New Roman" w:hAnsi="Times New Roman" w:eastAsia="宋体"/>
                <w:color w:val="000000"/>
                <w:kern w:val="2"/>
                <w:sz w:val="21"/>
                <w:szCs w:val="21"/>
              </w:rPr>
              <w:t>施工</w:t>
            </w:r>
          </w:p>
          <w:p>
            <w:pPr>
              <w:pStyle w:val="37"/>
              <w:adjustRightInd w:val="0"/>
              <w:snapToGrid w:val="0"/>
              <w:spacing w:before="0" w:beforeAutospacing="0" w:after="0" w:afterAutospacing="0"/>
              <w:jc w:val="center"/>
              <w:rPr>
                <w:rFonts w:ascii="Times New Roman" w:hAnsi="Times New Roman" w:eastAsia="宋体"/>
                <w:color w:val="000000"/>
                <w:kern w:val="2"/>
                <w:sz w:val="21"/>
                <w:szCs w:val="21"/>
              </w:rPr>
            </w:pPr>
            <w:r>
              <w:rPr>
                <w:rFonts w:ascii="Times New Roman" w:hAnsi="Times New Roman" w:eastAsia="宋体"/>
                <w:color w:val="000000"/>
                <w:kern w:val="2"/>
                <w:sz w:val="21"/>
                <w:szCs w:val="21"/>
              </w:rPr>
              <w:t>期环</w:t>
            </w:r>
          </w:p>
          <w:p>
            <w:pPr>
              <w:pStyle w:val="37"/>
              <w:adjustRightInd w:val="0"/>
              <w:snapToGrid w:val="0"/>
              <w:spacing w:before="0" w:beforeAutospacing="0" w:after="0" w:afterAutospacing="0"/>
              <w:jc w:val="center"/>
              <w:rPr>
                <w:rFonts w:ascii="Times New Roman" w:hAnsi="Times New Roman" w:eastAsia="宋体"/>
                <w:color w:val="000000"/>
                <w:kern w:val="2"/>
                <w:sz w:val="21"/>
                <w:szCs w:val="21"/>
              </w:rPr>
            </w:pPr>
            <w:r>
              <w:rPr>
                <w:rFonts w:ascii="Times New Roman" w:hAnsi="Times New Roman" w:eastAsia="宋体"/>
                <w:color w:val="000000"/>
                <w:kern w:val="2"/>
                <w:sz w:val="21"/>
                <w:szCs w:val="21"/>
              </w:rPr>
              <w:t>境保</w:t>
            </w:r>
          </w:p>
          <w:p>
            <w:pPr>
              <w:pStyle w:val="37"/>
              <w:adjustRightInd w:val="0"/>
              <w:snapToGrid w:val="0"/>
              <w:spacing w:before="0" w:beforeAutospacing="0" w:after="0" w:afterAutospacing="0"/>
              <w:jc w:val="center"/>
              <w:rPr>
                <w:rFonts w:ascii="Times New Roman" w:hAnsi="Times New Roman" w:eastAsia="宋体"/>
                <w:color w:val="000000"/>
                <w:kern w:val="2"/>
                <w:sz w:val="21"/>
                <w:szCs w:val="21"/>
              </w:rPr>
            </w:pPr>
            <w:r>
              <w:rPr>
                <w:rFonts w:ascii="Times New Roman" w:hAnsi="Times New Roman" w:eastAsia="宋体"/>
                <w:color w:val="000000"/>
                <w:kern w:val="2"/>
                <w:sz w:val="21"/>
                <w:szCs w:val="21"/>
              </w:rPr>
              <w:t>护措</w:t>
            </w:r>
          </w:p>
          <w:p>
            <w:pPr>
              <w:pStyle w:val="37"/>
              <w:adjustRightInd w:val="0"/>
              <w:snapToGrid w:val="0"/>
              <w:spacing w:before="0" w:beforeAutospacing="0" w:after="0" w:afterAutospacing="0"/>
              <w:jc w:val="center"/>
              <w:rPr>
                <w:rFonts w:ascii="Times New Roman" w:hAnsi="Times New Roman" w:eastAsia="宋体"/>
                <w:bCs/>
                <w:color w:val="000000"/>
                <w:kern w:val="2"/>
                <w:sz w:val="21"/>
                <w:szCs w:val="21"/>
              </w:rPr>
            </w:pPr>
            <w:r>
              <w:rPr>
                <w:rFonts w:ascii="Times New Roman" w:hAnsi="Times New Roman" w:eastAsia="宋体"/>
                <w:color w:val="000000"/>
                <w:kern w:val="2"/>
                <w:sz w:val="21"/>
                <w:szCs w:val="21"/>
              </w:rPr>
              <w:t>施</w:t>
            </w:r>
          </w:p>
        </w:tc>
        <w:tc>
          <w:tcPr>
            <w:tcW w:w="8327" w:type="dxa"/>
            <w:noWrap w:val="0"/>
            <w:vAlign w:val="center"/>
          </w:tcPr>
          <w:p>
            <w:pPr>
              <w:wordWrap w:val="0"/>
              <w:topLinePunct/>
              <w:adjustRightInd w:val="0"/>
              <w:snapToGrid w:val="0"/>
              <w:spacing w:line="360" w:lineRule="auto"/>
              <w:ind w:firstLine="480" w:firstLineChars="200"/>
              <w:jc w:val="left"/>
              <w:rPr>
                <w:rFonts w:ascii="Times New Roman" w:hAnsi="Times New Roman" w:eastAsia="宋体"/>
                <w:color w:val="000000"/>
                <w:sz w:val="24"/>
              </w:rPr>
            </w:pPr>
            <w:r>
              <w:rPr>
                <w:rFonts w:hint="eastAsia" w:ascii="Times New Roman" w:hAnsi="Times New Roman" w:eastAsia="宋体"/>
                <w:color w:val="000000"/>
                <w:sz w:val="24"/>
              </w:rPr>
              <w:t>本项目属于扩建项目。巴川精神病专科医院于2018年建设完成并验收投运。根据现场走访及业主提供资料，施工痕迹基本消除，施工期带来的环境影响基本消除。项目施工期间未造成环境污染，未收到任何环保投诉，未与周边居民产生纠纷问题。本项目为床位扩建项目，不涉及主体工程的建筑施工，仅为扩建床位的安装，根据本项目施工期环境污染源分析可知，本项目施工期主要产生废水、噪声及少量固废，对周围环境造成一定影响。但项目施工期环境污染只是短期影响，随着施工结束，施工所产生的环境污染也随之消失。</w:t>
            </w:r>
          </w:p>
          <w:p>
            <w:pPr>
              <w:wordWrap w:val="0"/>
              <w:topLinePunct/>
              <w:adjustRightInd w:val="0"/>
              <w:snapToGrid w:val="0"/>
              <w:spacing w:line="360" w:lineRule="auto"/>
              <w:ind w:firstLine="482" w:firstLineChars="200"/>
              <w:jc w:val="left"/>
              <w:rPr>
                <w:rFonts w:hint="eastAsia" w:ascii="Times New Roman" w:hAnsi="Times New Roman" w:eastAsia="宋体"/>
                <w:b/>
                <w:color w:val="000000"/>
                <w:sz w:val="24"/>
              </w:rPr>
            </w:pPr>
            <w:r>
              <w:rPr>
                <w:rFonts w:hint="eastAsia" w:ascii="Times New Roman" w:hAnsi="Times New Roman" w:eastAsia="宋体"/>
                <w:b/>
                <w:color w:val="000000"/>
                <w:sz w:val="24"/>
              </w:rPr>
              <w:t>1、施工期废水排放及治理措施</w:t>
            </w:r>
          </w:p>
          <w:p>
            <w:pPr>
              <w:wordWrap w:val="0"/>
              <w:topLinePunct/>
              <w:adjustRightInd w:val="0"/>
              <w:snapToGrid w:val="0"/>
              <w:spacing w:line="360" w:lineRule="auto"/>
              <w:ind w:firstLine="480" w:firstLineChars="200"/>
              <w:jc w:val="left"/>
              <w:rPr>
                <w:rFonts w:hint="eastAsia" w:ascii="Times New Roman" w:hAnsi="Times New Roman" w:eastAsia="宋体"/>
                <w:b w:val="0"/>
                <w:bCs/>
                <w:color w:val="000000"/>
                <w:sz w:val="24"/>
              </w:rPr>
            </w:pPr>
            <w:r>
              <w:rPr>
                <w:rFonts w:hint="eastAsia" w:ascii="Times New Roman" w:hAnsi="Times New Roman" w:eastAsia="宋体"/>
                <w:b w:val="0"/>
                <w:bCs/>
                <w:color w:val="000000"/>
                <w:sz w:val="24"/>
              </w:rPr>
              <w:t>施工期水污染源主要为施工人员生活污水，生活污水排入院内污水处理站处理，达到《医疗机构水污染物排放标准》（GB18466-2005）表2中预处理标准后，排入市政污水管网。</w:t>
            </w:r>
          </w:p>
          <w:p>
            <w:pPr>
              <w:wordWrap w:val="0"/>
              <w:topLinePunct/>
              <w:adjustRightInd w:val="0"/>
              <w:snapToGrid w:val="0"/>
              <w:spacing w:line="360" w:lineRule="auto"/>
              <w:ind w:firstLine="480" w:firstLineChars="200"/>
              <w:jc w:val="left"/>
              <w:rPr>
                <w:rFonts w:hint="eastAsia" w:ascii="Times New Roman" w:hAnsi="Times New Roman" w:eastAsia="宋体"/>
                <w:b w:val="0"/>
                <w:bCs/>
                <w:color w:val="000000"/>
                <w:sz w:val="24"/>
              </w:rPr>
            </w:pPr>
            <w:r>
              <w:rPr>
                <w:rFonts w:hint="eastAsia" w:ascii="Times New Roman" w:hAnsi="Times New Roman" w:eastAsia="宋体"/>
                <w:b w:val="0"/>
                <w:bCs/>
                <w:color w:val="000000"/>
                <w:sz w:val="24"/>
              </w:rPr>
              <w:t>因此，项目施工期间产生的废水对周围地表水环境产生的影响可接受。</w:t>
            </w:r>
          </w:p>
          <w:p>
            <w:pPr>
              <w:wordWrap w:val="0"/>
              <w:topLinePunct/>
              <w:adjustRightInd w:val="0"/>
              <w:snapToGrid w:val="0"/>
              <w:spacing w:line="360" w:lineRule="auto"/>
              <w:ind w:firstLine="482" w:firstLineChars="200"/>
              <w:jc w:val="left"/>
              <w:rPr>
                <w:rFonts w:hint="eastAsia" w:ascii="Times New Roman" w:hAnsi="Times New Roman" w:eastAsia="宋体"/>
                <w:b/>
                <w:color w:val="000000"/>
                <w:sz w:val="24"/>
              </w:rPr>
            </w:pPr>
            <w:r>
              <w:rPr>
                <w:rFonts w:hint="eastAsia" w:ascii="Times New Roman" w:hAnsi="Times New Roman" w:eastAsia="宋体"/>
                <w:b/>
                <w:color w:val="000000"/>
                <w:sz w:val="24"/>
              </w:rPr>
              <w:t>2、施工期废气</w:t>
            </w:r>
          </w:p>
          <w:p>
            <w:pPr>
              <w:wordWrap w:val="0"/>
              <w:topLinePunct/>
              <w:adjustRightInd w:val="0"/>
              <w:snapToGrid w:val="0"/>
              <w:spacing w:line="360" w:lineRule="auto"/>
              <w:ind w:firstLine="480" w:firstLineChars="200"/>
              <w:jc w:val="left"/>
              <w:rPr>
                <w:rFonts w:hint="eastAsia" w:ascii="Times New Roman" w:hAnsi="Times New Roman" w:eastAsia="宋体"/>
                <w:b w:val="0"/>
                <w:bCs/>
                <w:color w:val="000000"/>
                <w:sz w:val="24"/>
              </w:rPr>
            </w:pPr>
            <w:r>
              <w:rPr>
                <w:rFonts w:hint="eastAsia" w:ascii="Times New Roman" w:hAnsi="Times New Roman" w:eastAsia="宋体"/>
                <w:b w:val="0"/>
                <w:bCs/>
                <w:color w:val="000000"/>
                <w:sz w:val="24"/>
              </w:rPr>
              <w:t>项目为床位扩建项目，不涉及主体房屋建筑施工、设备焊接等。</w:t>
            </w:r>
          </w:p>
          <w:p>
            <w:pPr>
              <w:wordWrap w:val="0"/>
              <w:topLinePunct/>
              <w:adjustRightInd w:val="0"/>
              <w:snapToGrid w:val="0"/>
              <w:spacing w:line="360" w:lineRule="auto"/>
              <w:ind w:firstLine="480" w:firstLineChars="200"/>
              <w:jc w:val="left"/>
              <w:rPr>
                <w:rFonts w:hint="eastAsia" w:ascii="Times New Roman" w:hAnsi="Times New Roman" w:eastAsia="宋体"/>
                <w:b w:val="0"/>
                <w:bCs/>
                <w:color w:val="000000"/>
                <w:sz w:val="24"/>
              </w:rPr>
            </w:pPr>
            <w:r>
              <w:rPr>
                <w:rFonts w:hint="eastAsia" w:ascii="Times New Roman" w:hAnsi="Times New Roman" w:eastAsia="宋体"/>
                <w:b w:val="0"/>
                <w:bCs/>
                <w:color w:val="000000"/>
                <w:sz w:val="24"/>
              </w:rPr>
              <w:t>因此，项目施工期不会对项目所在地环境空气质量造成明显影响。</w:t>
            </w:r>
          </w:p>
          <w:p>
            <w:pPr>
              <w:wordWrap w:val="0"/>
              <w:topLinePunct/>
              <w:adjustRightInd w:val="0"/>
              <w:snapToGrid w:val="0"/>
              <w:spacing w:line="360" w:lineRule="auto"/>
              <w:ind w:firstLine="482" w:firstLineChars="200"/>
              <w:jc w:val="left"/>
              <w:rPr>
                <w:rFonts w:hint="eastAsia" w:ascii="Times New Roman" w:hAnsi="Times New Roman" w:eastAsia="宋体"/>
                <w:b/>
                <w:color w:val="000000"/>
                <w:sz w:val="24"/>
              </w:rPr>
            </w:pPr>
            <w:r>
              <w:rPr>
                <w:rFonts w:hint="eastAsia" w:ascii="Times New Roman" w:hAnsi="Times New Roman" w:eastAsia="宋体"/>
                <w:b/>
                <w:color w:val="000000"/>
                <w:sz w:val="24"/>
              </w:rPr>
              <w:t>3、施工期噪声</w:t>
            </w:r>
          </w:p>
          <w:p>
            <w:pPr>
              <w:wordWrap w:val="0"/>
              <w:topLinePunct/>
              <w:adjustRightInd w:val="0"/>
              <w:snapToGrid w:val="0"/>
              <w:spacing w:line="360" w:lineRule="auto"/>
              <w:ind w:firstLine="480" w:firstLineChars="200"/>
              <w:jc w:val="left"/>
              <w:rPr>
                <w:rFonts w:hint="eastAsia" w:ascii="Times New Roman" w:hAnsi="Times New Roman" w:eastAsia="宋体"/>
                <w:b w:val="0"/>
                <w:bCs/>
                <w:color w:val="000000"/>
                <w:sz w:val="24"/>
              </w:rPr>
            </w:pPr>
            <w:r>
              <w:rPr>
                <w:rFonts w:hint="eastAsia" w:ascii="Times New Roman" w:hAnsi="Times New Roman" w:eastAsia="宋体"/>
                <w:b w:val="0"/>
                <w:bCs/>
                <w:color w:val="000000"/>
                <w:sz w:val="24"/>
              </w:rPr>
              <w:t>本项目站场施工期的噪声主要来自于设备安装过程中的机械噪声，施工过程中，不同的阶段会使用不同的机械设备，使施工现场产生的噪声具有强度较高、无规则、不连续等特点。噪声减缓措施：</w:t>
            </w:r>
          </w:p>
          <w:p>
            <w:pPr>
              <w:wordWrap w:val="0"/>
              <w:topLinePunct/>
              <w:adjustRightInd w:val="0"/>
              <w:snapToGrid w:val="0"/>
              <w:spacing w:line="360" w:lineRule="auto"/>
              <w:ind w:firstLine="480" w:firstLineChars="200"/>
              <w:jc w:val="left"/>
              <w:rPr>
                <w:rFonts w:hint="eastAsia" w:ascii="Times New Roman" w:hAnsi="Times New Roman" w:eastAsia="宋体"/>
                <w:b w:val="0"/>
                <w:bCs/>
                <w:color w:val="000000"/>
                <w:sz w:val="24"/>
              </w:rPr>
            </w:pPr>
            <w:r>
              <w:rPr>
                <w:rFonts w:hint="eastAsia" w:ascii="Times New Roman" w:hAnsi="Times New Roman" w:eastAsia="宋体"/>
                <w:b w:val="0"/>
                <w:bCs/>
                <w:color w:val="000000"/>
                <w:sz w:val="24"/>
              </w:rPr>
              <w:t>（1）合理优化项目施工总平面布置；</w:t>
            </w:r>
          </w:p>
          <w:p>
            <w:pPr>
              <w:wordWrap w:val="0"/>
              <w:topLinePunct/>
              <w:adjustRightInd w:val="0"/>
              <w:snapToGrid w:val="0"/>
              <w:spacing w:line="360" w:lineRule="auto"/>
              <w:ind w:firstLine="480" w:firstLineChars="200"/>
              <w:jc w:val="left"/>
              <w:rPr>
                <w:rFonts w:hint="eastAsia" w:ascii="Times New Roman" w:hAnsi="Times New Roman" w:eastAsia="宋体"/>
                <w:b w:val="0"/>
                <w:bCs/>
                <w:color w:val="000000"/>
                <w:sz w:val="24"/>
              </w:rPr>
            </w:pPr>
            <w:r>
              <w:rPr>
                <w:rFonts w:hint="eastAsia" w:ascii="Times New Roman" w:hAnsi="Times New Roman" w:eastAsia="宋体"/>
                <w:b w:val="0"/>
                <w:bCs/>
                <w:color w:val="000000"/>
                <w:sz w:val="24"/>
              </w:rPr>
              <w:t>（2）合理安排作业时间，夜间尽量不安排高噪声施工作业；</w:t>
            </w:r>
          </w:p>
          <w:p>
            <w:pPr>
              <w:wordWrap w:val="0"/>
              <w:topLinePunct/>
              <w:adjustRightInd w:val="0"/>
              <w:snapToGrid w:val="0"/>
              <w:spacing w:line="360" w:lineRule="auto"/>
              <w:ind w:firstLine="480" w:firstLineChars="200"/>
              <w:jc w:val="left"/>
              <w:rPr>
                <w:rFonts w:hint="eastAsia" w:ascii="Times New Roman" w:hAnsi="Times New Roman" w:eastAsia="宋体"/>
                <w:b w:val="0"/>
                <w:bCs/>
                <w:color w:val="000000"/>
                <w:sz w:val="24"/>
              </w:rPr>
            </w:pPr>
            <w:r>
              <w:rPr>
                <w:rFonts w:hint="eastAsia" w:ascii="Times New Roman" w:hAnsi="Times New Roman" w:eastAsia="宋体"/>
                <w:b w:val="0"/>
                <w:bCs/>
                <w:color w:val="000000"/>
                <w:sz w:val="24"/>
              </w:rPr>
              <w:t>（3）施工期不得使用高音喇叭进行宣传或指挥修建；</w:t>
            </w:r>
          </w:p>
          <w:p>
            <w:pPr>
              <w:wordWrap w:val="0"/>
              <w:topLinePunct/>
              <w:adjustRightInd w:val="0"/>
              <w:snapToGrid w:val="0"/>
              <w:spacing w:line="360" w:lineRule="auto"/>
              <w:ind w:firstLine="480" w:firstLineChars="200"/>
              <w:jc w:val="left"/>
              <w:rPr>
                <w:rFonts w:hint="eastAsia" w:ascii="Times New Roman" w:hAnsi="Times New Roman" w:eastAsia="宋体"/>
                <w:b w:val="0"/>
                <w:bCs/>
                <w:color w:val="000000"/>
                <w:sz w:val="24"/>
              </w:rPr>
            </w:pPr>
            <w:r>
              <w:rPr>
                <w:rFonts w:hint="eastAsia" w:ascii="Times New Roman" w:hAnsi="Times New Roman" w:eastAsia="宋体"/>
                <w:b w:val="0"/>
                <w:bCs/>
                <w:color w:val="000000"/>
                <w:sz w:val="24"/>
              </w:rPr>
              <w:t>（4）加强交通管理，保障施工车辆进出畅通，以避免由于运输作业影响当地交通秩序面产生的车辆鸣笛噪声污染</w:t>
            </w:r>
          </w:p>
          <w:p>
            <w:pPr>
              <w:wordWrap w:val="0"/>
              <w:topLinePunct/>
              <w:adjustRightInd w:val="0"/>
              <w:snapToGrid w:val="0"/>
              <w:spacing w:line="360" w:lineRule="auto"/>
              <w:ind w:firstLine="480" w:firstLineChars="200"/>
              <w:jc w:val="left"/>
              <w:rPr>
                <w:rFonts w:hint="eastAsia" w:ascii="Times New Roman" w:hAnsi="Times New Roman" w:eastAsia="宋体"/>
                <w:b w:val="0"/>
                <w:bCs/>
                <w:color w:val="000000"/>
                <w:sz w:val="24"/>
              </w:rPr>
            </w:pPr>
            <w:r>
              <w:rPr>
                <w:rFonts w:hint="eastAsia" w:ascii="Times New Roman" w:hAnsi="Times New Roman" w:eastAsia="宋体"/>
                <w:b w:val="0"/>
                <w:bCs/>
                <w:color w:val="000000"/>
                <w:sz w:val="24"/>
              </w:rPr>
              <w:t>施工期噪声影响是暂时性的，在采取相应的管理措施并做到文明施工后可减至最低，并随着施工期的而结束而消失。根据现场踏勘，项目建设区域不涉及自然保护区、学校等声环境敏感点，因此，施工噪声对周围声环境影响较小。</w:t>
            </w:r>
          </w:p>
          <w:p>
            <w:pPr>
              <w:wordWrap w:val="0"/>
              <w:topLinePunct/>
              <w:adjustRightInd w:val="0"/>
              <w:snapToGrid w:val="0"/>
              <w:spacing w:line="360" w:lineRule="auto"/>
              <w:ind w:firstLine="480" w:firstLineChars="200"/>
              <w:jc w:val="left"/>
              <w:rPr>
                <w:rFonts w:hint="eastAsia" w:ascii="Times New Roman" w:hAnsi="Times New Roman" w:eastAsia="宋体"/>
                <w:b w:val="0"/>
                <w:bCs/>
                <w:color w:val="000000"/>
                <w:sz w:val="24"/>
              </w:rPr>
            </w:pPr>
            <w:r>
              <w:rPr>
                <w:rFonts w:hint="eastAsia" w:ascii="Times New Roman" w:hAnsi="Times New Roman" w:eastAsia="宋体"/>
                <w:b w:val="0"/>
                <w:bCs/>
                <w:color w:val="000000"/>
                <w:sz w:val="24"/>
              </w:rPr>
              <w:t>因此，项目施工期产生的噪声对当地声环境质量不会造成明显影响。</w:t>
            </w:r>
          </w:p>
          <w:p>
            <w:pPr>
              <w:pStyle w:val="185"/>
              <w:ind w:firstLine="480"/>
              <w:jc w:val="both"/>
              <w:rPr>
                <w:rFonts w:hint="eastAsia" w:ascii="Times New Roman" w:hAnsi="Times New Roman" w:eastAsia="宋体"/>
                <w:b/>
                <w:color w:val="000000"/>
                <w:sz w:val="24"/>
              </w:rPr>
            </w:pPr>
            <w:r>
              <w:rPr>
                <w:rFonts w:hint="eastAsia" w:ascii="Times New Roman" w:hAnsi="Times New Roman" w:eastAsia="宋体"/>
                <w:b/>
                <w:color w:val="000000"/>
                <w:sz w:val="24"/>
              </w:rPr>
              <w:t>4、施工期固废</w:t>
            </w:r>
          </w:p>
          <w:p>
            <w:pPr>
              <w:pStyle w:val="185"/>
              <w:ind w:firstLine="480"/>
              <w:jc w:val="both"/>
              <w:rPr>
                <w:rFonts w:hint="eastAsia" w:ascii="Times New Roman" w:hAnsi="Times New Roman" w:eastAsia="宋体"/>
                <w:b w:val="0"/>
                <w:bCs/>
                <w:color w:val="000000"/>
                <w:sz w:val="24"/>
              </w:rPr>
            </w:pPr>
            <w:r>
              <w:rPr>
                <w:rFonts w:hint="eastAsia" w:ascii="Times New Roman" w:hAnsi="Times New Roman" w:eastAsia="宋体"/>
                <w:b w:val="0"/>
                <w:bCs/>
                <w:color w:val="000000"/>
                <w:sz w:val="24"/>
              </w:rPr>
              <w:t>本项目施工期固体废弃物主要为</w:t>
            </w:r>
            <w:r>
              <w:rPr>
                <w:rFonts w:hint="eastAsia" w:ascii="Times New Roman" w:hAnsi="Times New Roman" w:eastAsia="宋体"/>
                <w:b w:val="0"/>
                <w:bCs/>
                <w:color w:val="000000"/>
                <w:sz w:val="24"/>
                <w:lang w:eastAsia="zh-CN"/>
              </w:rPr>
              <w:t>建筑垃圾，</w:t>
            </w:r>
            <w:r>
              <w:rPr>
                <w:rFonts w:hint="eastAsia" w:ascii="Times New Roman" w:hAnsi="Times New Roman" w:eastAsia="宋体"/>
                <w:b w:val="0"/>
                <w:bCs/>
                <w:color w:val="000000"/>
                <w:sz w:val="24"/>
              </w:rPr>
              <w:t>收集后交环卫部门清运处置。</w:t>
            </w:r>
          </w:p>
          <w:p>
            <w:pPr>
              <w:pStyle w:val="185"/>
              <w:ind w:firstLine="480"/>
              <w:jc w:val="both"/>
              <w:rPr>
                <w:rFonts w:hint="eastAsia" w:ascii="Times New Roman" w:hAnsi="Times New Roman" w:eastAsia="宋体"/>
                <w:b w:val="0"/>
                <w:bCs/>
                <w:color w:val="000000"/>
                <w:sz w:val="24"/>
              </w:rPr>
            </w:pPr>
            <w:r>
              <w:rPr>
                <w:rFonts w:hint="eastAsia" w:ascii="Times New Roman" w:hAnsi="Times New Roman" w:eastAsia="宋体"/>
                <w:b w:val="0"/>
                <w:bCs/>
                <w:color w:val="000000"/>
                <w:sz w:val="24"/>
              </w:rPr>
              <w:t>因此，本项目施工期间产生的固体废弃物均得到合理处置，对环境影响较小。</w:t>
            </w:r>
          </w:p>
          <w:p>
            <w:pPr>
              <w:pStyle w:val="185"/>
              <w:ind w:firstLine="480"/>
              <w:jc w:val="both"/>
              <w:rPr>
                <w:rFonts w:hint="eastAsia" w:ascii="Times New Roman" w:hAnsi="Times New Roman" w:eastAsia="宋体"/>
                <w:b/>
                <w:color w:val="000000"/>
                <w:sz w:val="24"/>
              </w:rPr>
            </w:pPr>
            <w:r>
              <w:rPr>
                <w:rFonts w:hint="eastAsia" w:ascii="Times New Roman" w:hAnsi="Times New Roman" w:eastAsia="宋体"/>
                <w:b/>
                <w:color w:val="000000"/>
                <w:sz w:val="24"/>
                <w:szCs w:val="24"/>
              </w:rPr>
              <w:t>5、</w:t>
            </w:r>
            <w:r>
              <w:rPr>
                <w:rFonts w:hint="eastAsia" w:ascii="Times New Roman" w:hAnsi="Times New Roman" w:eastAsia="宋体"/>
                <w:b/>
                <w:color w:val="000000"/>
                <w:sz w:val="24"/>
              </w:rPr>
              <w:t>生态环境保护措施</w:t>
            </w:r>
          </w:p>
          <w:p>
            <w:pPr>
              <w:pStyle w:val="185"/>
              <w:ind w:firstLine="480"/>
              <w:jc w:val="both"/>
              <w:rPr>
                <w:rFonts w:ascii="Times New Roman" w:hAnsi="Times New Roman" w:eastAsia="宋体"/>
                <w:spacing w:val="-10"/>
              </w:rPr>
            </w:pPr>
            <w:r>
              <w:rPr>
                <w:rFonts w:hint="eastAsia" w:ascii="Times New Roman" w:hAnsi="Times New Roman" w:eastAsia="宋体"/>
                <w:b w:val="0"/>
                <w:bCs/>
                <w:color w:val="000000"/>
                <w:sz w:val="24"/>
              </w:rPr>
              <w:t>本扩建项目在乐山巴川精神病专科医院门诊楼</w:t>
            </w:r>
            <w:r>
              <w:rPr>
                <w:rFonts w:hint="eastAsia" w:ascii="Times New Roman" w:hAnsi="Times New Roman" w:eastAsia="宋体"/>
                <w:b w:val="0"/>
                <w:bCs/>
                <w:color w:val="000000"/>
                <w:sz w:val="24"/>
                <w:lang w:eastAsia="zh-CN"/>
              </w:rPr>
              <w:t>（</w:t>
            </w:r>
            <w:r>
              <w:rPr>
                <w:rFonts w:hint="eastAsia" w:ascii="Times New Roman" w:hAnsi="Times New Roman" w:eastAsia="宋体"/>
                <w:b w:val="0"/>
                <w:bCs/>
                <w:color w:val="000000"/>
                <w:sz w:val="24"/>
                <w:lang w:val="en-US" w:eastAsia="zh-CN"/>
              </w:rPr>
              <w:t>1号楼</w:t>
            </w:r>
            <w:r>
              <w:rPr>
                <w:rFonts w:hint="eastAsia" w:ascii="Times New Roman" w:hAnsi="Times New Roman" w:eastAsia="宋体"/>
                <w:b w:val="0"/>
                <w:bCs/>
                <w:color w:val="000000"/>
                <w:sz w:val="24"/>
                <w:lang w:eastAsia="zh-CN"/>
              </w:rPr>
              <w:t>）和住院楼（</w:t>
            </w:r>
            <w:r>
              <w:rPr>
                <w:rFonts w:hint="eastAsia" w:ascii="Times New Roman" w:hAnsi="Times New Roman" w:eastAsia="宋体"/>
                <w:b w:val="0"/>
                <w:bCs/>
                <w:color w:val="000000"/>
                <w:sz w:val="24"/>
                <w:lang w:val="en-US" w:eastAsia="zh-CN"/>
              </w:rPr>
              <w:t>2号楼</w:t>
            </w:r>
            <w:r>
              <w:rPr>
                <w:rFonts w:hint="eastAsia" w:ascii="Times New Roman" w:hAnsi="Times New Roman" w:eastAsia="宋体"/>
                <w:b w:val="0"/>
                <w:bCs/>
                <w:color w:val="000000"/>
                <w:sz w:val="24"/>
                <w:lang w:eastAsia="zh-CN"/>
              </w:rPr>
              <w:t>）</w:t>
            </w:r>
            <w:r>
              <w:rPr>
                <w:rFonts w:hint="eastAsia" w:ascii="Times New Roman" w:hAnsi="Times New Roman" w:eastAsia="宋体"/>
                <w:b w:val="0"/>
                <w:bCs/>
                <w:color w:val="000000"/>
                <w:sz w:val="24"/>
              </w:rPr>
              <w:t>进行建设，不新增占地，不存在直接对耕地、植被等造成破坏，不会产生新的生态环境问题，故无需进行生态环境保护措施。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654" w:type="dxa"/>
            <w:noWrap w:val="0"/>
            <w:tcMar>
              <w:left w:w="28" w:type="dxa"/>
              <w:right w:w="28" w:type="dxa"/>
            </w:tcMar>
            <w:vAlign w:val="center"/>
          </w:tcPr>
          <w:p>
            <w:pPr>
              <w:adjustRightInd w:val="0"/>
              <w:snapToGrid w:val="0"/>
              <w:jc w:val="center"/>
              <w:rPr>
                <w:rFonts w:ascii="Times New Roman" w:hAnsi="Times New Roman" w:eastAsia="宋体"/>
                <w:bCs/>
                <w:color w:val="000000"/>
                <w:szCs w:val="21"/>
              </w:rPr>
            </w:pPr>
            <w:r>
              <w:rPr>
                <w:rFonts w:ascii="Times New Roman" w:hAnsi="Times New Roman" w:eastAsia="宋体"/>
                <w:bCs/>
                <w:color w:val="000000"/>
                <w:szCs w:val="21"/>
              </w:rPr>
              <w:t>运营</w:t>
            </w:r>
          </w:p>
          <w:p>
            <w:pPr>
              <w:adjustRightInd w:val="0"/>
              <w:snapToGrid w:val="0"/>
              <w:jc w:val="center"/>
              <w:rPr>
                <w:rFonts w:ascii="Times New Roman" w:hAnsi="Times New Roman" w:eastAsia="宋体"/>
                <w:bCs/>
                <w:color w:val="000000"/>
                <w:szCs w:val="21"/>
              </w:rPr>
            </w:pPr>
            <w:r>
              <w:rPr>
                <w:rFonts w:ascii="Times New Roman" w:hAnsi="Times New Roman" w:eastAsia="宋体"/>
                <w:bCs/>
                <w:color w:val="000000"/>
                <w:szCs w:val="21"/>
              </w:rPr>
              <w:t>期环</w:t>
            </w:r>
          </w:p>
          <w:p>
            <w:pPr>
              <w:adjustRightInd w:val="0"/>
              <w:snapToGrid w:val="0"/>
              <w:jc w:val="center"/>
              <w:rPr>
                <w:rFonts w:ascii="Times New Roman" w:hAnsi="Times New Roman" w:eastAsia="宋体"/>
                <w:bCs/>
                <w:color w:val="000000"/>
                <w:szCs w:val="21"/>
              </w:rPr>
            </w:pPr>
            <w:r>
              <w:rPr>
                <w:rFonts w:ascii="Times New Roman" w:hAnsi="Times New Roman" w:eastAsia="宋体"/>
                <w:bCs/>
                <w:color w:val="000000"/>
                <w:szCs w:val="21"/>
              </w:rPr>
              <w:t>境影</w:t>
            </w:r>
          </w:p>
          <w:p>
            <w:pPr>
              <w:adjustRightInd w:val="0"/>
              <w:snapToGrid w:val="0"/>
              <w:jc w:val="center"/>
              <w:rPr>
                <w:rFonts w:ascii="Times New Roman" w:hAnsi="Times New Roman" w:eastAsia="宋体"/>
                <w:bCs/>
                <w:color w:val="000000"/>
                <w:szCs w:val="21"/>
              </w:rPr>
            </w:pPr>
            <w:r>
              <w:rPr>
                <w:rFonts w:ascii="Times New Roman" w:hAnsi="Times New Roman" w:eastAsia="宋体"/>
                <w:bCs/>
                <w:color w:val="000000"/>
                <w:szCs w:val="21"/>
              </w:rPr>
              <w:t>响和</w:t>
            </w:r>
          </w:p>
          <w:p>
            <w:pPr>
              <w:adjustRightInd w:val="0"/>
              <w:snapToGrid w:val="0"/>
              <w:jc w:val="center"/>
              <w:rPr>
                <w:rFonts w:ascii="Times New Roman" w:hAnsi="Times New Roman" w:eastAsia="宋体"/>
                <w:bCs/>
                <w:color w:val="000000"/>
                <w:szCs w:val="21"/>
              </w:rPr>
            </w:pPr>
            <w:r>
              <w:rPr>
                <w:rFonts w:ascii="Times New Roman" w:hAnsi="Times New Roman" w:eastAsia="宋体"/>
                <w:bCs/>
                <w:color w:val="000000"/>
                <w:szCs w:val="21"/>
              </w:rPr>
              <w:t>保护</w:t>
            </w:r>
          </w:p>
          <w:p>
            <w:pPr>
              <w:adjustRightInd w:val="0"/>
              <w:snapToGrid w:val="0"/>
              <w:jc w:val="center"/>
              <w:rPr>
                <w:rFonts w:ascii="Times New Roman" w:hAnsi="Times New Roman" w:eastAsia="宋体"/>
                <w:bCs/>
                <w:color w:val="000000"/>
                <w:szCs w:val="21"/>
              </w:rPr>
            </w:pPr>
            <w:r>
              <w:rPr>
                <w:rFonts w:ascii="Times New Roman" w:hAnsi="Times New Roman" w:eastAsia="宋体"/>
                <w:bCs/>
                <w:color w:val="000000"/>
                <w:szCs w:val="21"/>
              </w:rPr>
              <w:t>措施</w:t>
            </w:r>
          </w:p>
        </w:tc>
        <w:tc>
          <w:tcPr>
            <w:tcW w:w="8327" w:type="dxa"/>
            <w:noWrap w:val="0"/>
            <w:vAlign w:val="center"/>
          </w:tcPr>
          <w:p>
            <w:pPr>
              <w:numPr>
                <w:ilvl w:val="0"/>
                <w:numId w:val="7"/>
              </w:numPr>
              <w:spacing w:line="360" w:lineRule="auto"/>
              <w:rPr>
                <w:rFonts w:hint="eastAsia"/>
                <w:b/>
                <w:sz w:val="24"/>
              </w:rPr>
            </w:pPr>
            <w:r>
              <w:rPr>
                <w:rFonts w:hint="eastAsia"/>
                <w:b/>
                <w:sz w:val="24"/>
              </w:rPr>
              <w:t>废水</w:t>
            </w:r>
          </w:p>
          <w:p>
            <w:pPr>
              <w:numPr>
                <w:ilvl w:val="0"/>
                <w:numId w:val="0"/>
              </w:numPr>
              <w:spacing w:line="360" w:lineRule="auto"/>
              <w:ind w:firstLine="482" w:firstLineChars="200"/>
              <w:rPr>
                <w:rFonts w:hint="eastAsia" w:eastAsia="宋体"/>
                <w:b/>
                <w:sz w:val="24"/>
                <w:lang w:eastAsia="zh-CN"/>
              </w:rPr>
            </w:pPr>
            <w:r>
              <w:rPr>
                <w:rFonts w:hint="eastAsia"/>
                <w:b/>
                <w:sz w:val="24"/>
                <w:lang w:eastAsia="zh-CN"/>
              </w:rPr>
              <w:t>（一）废水</w:t>
            </w:r>
            <w:r>
              <w:rPr>
                <w:rFonts w:hint="eastAsia"/>
                <w:b/>
                <w:sz w:val="24"/>
              </w:rPr>
              <w:t>污染物</w:t>
            </w:r>
            <w:r>
              <w:rPr>
                <w:rFonts w:hint="eastAsia"/>
                <w:b/>
                <w:sz w:val="24"/>
                <w:lang w:eastAsia="zh-CN"/>
              </w:rPr>
              <w:t>产生、</w:t>
            </w:r>
            <w:r>
              <w:rPr>
                <w:rFonts w:hint="eastAsia"/>
                <w:b/>
                <w:sz w:val="24"/>
              </w:rPr>
              <w:t>治理</w:t>
            </w:r>
            <w:r>
              <w:rPr>
                <w:rFonts w:hint="eastAsia"/>
                <w:b/>
                <w:sz w:val="24"/>
                <w:lang w:eastAsia="zh-CN"/>
              </w:rPr>
              <w:t>及排放</w:t>
            </w:r>
          </w:p>
          <w:p>
            <w:pPr>
              <w:spacing w:line="360" w:lineRule="auto"/>
              <w:ind w:firstLine="480"/>
              <w:rPr>
                <w:rFonts w:hint="eastAsia"/>
                <w:sz w:val="24"/>
              </w:rPr>
            </w:pPr>
            <w:r>
              <w:rPr>
                <w:rFonts w:hint="eastAsia"/>
                <w:sz w:val="24"/>
              </w:rPr>
              <w:t>项目营运期产生的废水主要为医疗废水、浆洗废水、食堂废水、生活污水。医疗废水主要来源于门诊排水、住院病房排水及少量</w:t>
            </w:r>
            <w:r>
              <w:rPr>
                <w:rFonts w:hint="eastAsia"/>
                <w:sz w:val="24"/>
                <w:lang w:eastAsia="zh-CN"/>
              </w:rPr>
              <w:t>检验</w:t>
            </w:r>
            <w:r>
              <w:rPr>
                <w:rFonts w:hint="eastAsia"/>
                <w:sz w:val="24"/>
              </w:rPr>
              <w:t>室排水；洗涤废水来源于洗衣房洗衣废水；食堂废水来源于</w:t>
            </w:r>
            <w:r>
              <w:rPr>
                <w:rFonts w:hint="eastAsia"/>
                <w:sz w:val="24"/>
                <w:lang w:eastAsia="zh-CN"/>
              </w:rPr>
              <w:t>厨房、餐厅</w:t>
            </w:r>
            <w:r>
              <w:rPr>
                <w:rFonts w:hint="eastAsia"/>
                <w:sz w:val="24"/>
              </w:rPr>
              <w:t>；生活污水主要来源于医院职工产生的生活污水，水污染物主要为COD、BOD</w:t>
            </w:r>
            <w:r>
              <w:rPr>
                <w:rFonts w:hint="eastAsia"/>
                <w:sz w:val="24"/>
                <w:vertAlign w:val="subscript"/>
              </w:rPr>
              <w:t>5</w:t>
            </w:r>
            <w:r>
              <w:rPr>
                <w:rFonts w:hint="eastAsia"/>
                <w:sz w:val="24"/>
              </w:rPr>
              <w:t>、氨氮、总氮、动植物油、总余氯、粪大肠菌群等。营运期食堂废水经隔油池预处理后与生活污水、洗涤废水</w:t>
            </w:r>
            <w:r>
              <w:rPr>
                <w:rFonts w:hint="eastAsia"/>
                <w:sz w:val="24"/>
                <w:lang w:eastAsia="zh-CN"/>
              </w:rPr>
              <w:t>、</w:t>
            </w:r>
            <w:r>
              <w:rPr>
                <w:rFonts w:hint="eastAsia"/>
                <w:sz w:val="24"/>
              </w:rPr>
              <w:t>医疗污水通过化粪池排入院内污水处理站处理，达到《医疗机构水污染物排放标准》（GB18466-2005）表2中预处理标准后排入市政污水管网</w:t>
            </w:r>
            <w:r>
              <w:rPr>
                <w:rFonts w:hint="eastAsia"/>
                <w:sz w:val="24"/>
                <w:lang w:eastAsia="zh-CN"/>
              </w:rPr>
              <w:t>，进入乐山市第三污水处理厂处理达标后排放</w:t>
            </w:r>
            <w:r>
              <w:rPr>
                <w:rFonts w:hint="eastAsia" w:hAnsi="宋体"/>
                <w:sz w:val="24"/>
              </w:rPr>
              <w:t>。</w:t>
            </w:r>
          </w:p>
          <w:p>
            <w:pPr>
              <w:spacing w:line="360" w:lineRule="auto"/>
              <w:ind w:firstLine="480"/>
              <w:rPr>
                <w:rFonts w:hint="eastAsia" w:ascii="Times New Roman" w:hAnsi="Times New Roman" w:eastAsia="宋体" w:cs="Times New Roman"/>
                <w:b/>
                <w:color w:val="000000"/>
                <w:kern w:val="2"/>
                <w:sz w:val="24"/>
                <w:szCs w:val="24"/>
                <w:lang w:val="en-US" w:eastAsia="zh-CN" w:bidi="ar-SA"/>
              </w:rPr>
            </w:pPr>
            <w:r>
              <w:rPr>
                <w:rFonts w:hint="eastAsia" w:ascii="Times New Roman" w:hAnsi="Times New Roman" w:eastAsia="宋体" w:cs="Times New Roman"/>
                <w:b/>
                <w:color w:val="000000"/>
                <w:kern w:val="2"/>
                <w:sz w:val="24"/>
                <w:szCs w:val="24"/>
                <w:lang w:val="en-US" w:eastAsia="zh-CN" w:bidi="ar-SA"/>
              </w:rPr>
              <w:t>1、本次新增废水产生情况</w:t>
            </w:r>
          </w:p>
          <w:p>
            <w:pPr>
              <w:spacing w:line="360" w:lineRule="auto"/>
              <w:ind w:firstLine="480"/>
              <w:rPr>
                <w:rFonts w:hint="eastAsia" w:ascii="Times New Roman" w:hAnsi="Times New Roman" w:eastAsia="宋体" w:cs="Times New Roman"/>
                <w:b w:val="0"/>
                <w:bCs/>
                <w:color w:val="000000"/>
                <w:kern w:val="2"/>
                <w:sz w:val="24"/>
                <w:szCs w:val="24"/>
                <w:lang w:val="en-US" w:eastAsia="zh-CN" w:bidi="ar-SA"/>
              </w:rPr>
            </w:pPr>
            <w:r>
              <w:rPr>
                <w:rFonts w:hint="eastAsia" w:ascii="Times New Roman" w:hAnsi="Times New Roman" w:eastAsia="宋体" w:cs="Times New Roman"/>
                <w:b w:val="0"/>
                <w:bCs/>
                <w:color w:val="000000"/>
                <w:kern w:val="2"/>
                <w:sz w:val="24"/>
                <w:szCs w:val="24"/>
                <w:lang w:val="en-US" w:eastAsia="zh-CN" w:bidi="ar-SA"/>
              </w:rPr>
              <w:t>本项目扩建完成后不改变医院诊疗服务项目，仅新增床位和住院病人，以及医院职工。因此本项目建成后，废水主要包括门诊废水、住院病人废水、检验室废水、医院职工生活污水、洗衣房浆洗废水、厨房食堂废水。</w:t>
            </w:r>
          </w:p>
          <w:p>
            <w:pPr>
              <w:spacing w:line="360" w:lineRule="auto"/>
              <w:ind w:firstLine="480"/>
              <w:rPr>
                <w:rFonts w:hint="eastAsia" w:ascii="Times New Roman" w:hAnsi="Times New Roman" w:eastAsia="宋体" w:cs="Times New Roman"/>
                <w:b w:val="0"/>
                <w:bCs/>
                <w:color w:val="000000"/>
                <w:kern w:val="2"/>
                <w:sz w:val="24"/>
                <w:szCs w:val="24"/>
                <w:lang w:val="en-US" w:eastAsia="zh-CN" w:bidi="ar-SA"/>
              </w:rPr>
            </w:pPr>
            <w:r>
              <w:rPr>
                <w:rFonts w:hint="eastAsia" w:ascii="Times New Roman" w:hAnsi="Times New Roman" w:eastAsia="宋体" w:cs="Times New Roman"/>
                <w:b w:val="0"/>
                <w:bCs/>
                <w:color w:val="000000"/>
                <w:kern w:val="2"/>
                <w:sz w:val="24"/>
                <w:szCs w:val="24"/>
                <w:lang w:val="en-US" w:eastAsia="zh-CN" w:bidi="ar-SA"/>
              </w:rPr>
              <w:t>根据前述水平衡分析，本次扩建新增排水量29.312m</w:t>
            </w:r>
            <w:r>
              <w:rPr>
                <w:rFonts w:hint="eastAsia" w:ascii="Times New Roman" w:hAnsi="Times New Roman" w:eastAsia="宋体" w:cs="Times New Roman"/>
                <w:b w:val="0"/>
                <w:bCs/>
                <w:color w:val="000000"/>
                <w:kern w:val="2"/>
                <w:sz w:val="24"/>
                <w:szCs w:val="24"/>
                <w:vertAlign w:val="superscript"/>
                <w:lang w:val="en-US" w:eastAsia="zh-CN" w:bidi="ar-SA"/>
              </w:rPr>
              <w:t>3</w:t>
            </w:r>
            <w:r>
              <w:rPr>
                <w:rFonts w:hint="eastAsia" w:ascii="Times New Roman" w:hAnsi="Times New Roman" w:eastAsia="宋体" w:cs="Times New Roman"/>
                <w:b w:val="0"/>
                <w:bCs/>
                <w:color w:val="000000"/>
                <w:kern w:val="2"/>
                <w:sz w:val="24"/>
                <w:szCs w:val="24"/>
                <w:lang w:val="en-US" w:eastAsia="zh-CN" w:bidi="ar-SA"/>
              </w:rPr>
              <w:t>/d，其中住院病人废水17.6</w:t>
            </w:r>
            <w:r>
              <w:rPr>
                <w:rFonts w:hint="default" w:ascii="Times New Roman" w:hAnsi="Times New Roman" w:eastAsia="宋体"/>
                <w:color w:val="000000"/>
                <w:sz w:val="24"/>
                <w:highlight w:val="none"/>
                <w:lang w:val="en-US"/>
              </w:rPr>
              <w:t>m</w:t>
            </w:r>
            <w:r>
              <w:rPr>
                <w:rFonts w:hint="default" w:ascii="Times New Roman" w:hAnsi="Times New Roman" w:eastAsia="宋体"/>
                <w:color w:val="000000"/>
                <w:sz w:val="24"/>
                <w:highlight w:val="none"/>
                <w:vertAlign w:val="superscript"/>
                <w:lang w:val="en-US"/>
              </w:rPr>
              <w:t>3</w:t>
            </w:r>
            <w:r>
              <w:rPr>
                <w:rFonts w:hint="default" w:ascii="Times New Roman" w:hAnsi="Times New Roman" w:eastAsia="宋体"/>
                <w:color w:val="000000"/>
                <w:sz w:val="24"/>
                <w:highlight w:val="none"/>
                <w:lang w:val="en-US"/>
              </w:rPr>
              <w:t>/d，</w:t>
            </w:r>
            <w:r>
              <w:rPr>
                <w:rFonts w:hint="eastAsia" w:ascii="Times New Roman" w:hAnsi="Times New Roman" w:eastAsia="宋体"/>
                <w:color w:val="000000"/>
                <w:sz w:val="24"/>
                <w:highlight w:val="none"/>
                <w:lang w:val="en-US" w:eastAsia="zh-CN"/>
              </w:rPr>
              <w:t>医院职工生活污水2.08</w:t>
            </w:r>
            <w:r>
              <w:rPr>
                <w:rFonts w:hint="default" w:ascii="Times New Roman" w:hAnsi="Times New Roman" w:eastAsia="宋体"/>
                <w:color w:val="000000"/>
                <w:sz w:val="24"/>
                <w:highlight w:val="none"/>
                <w:lang w:val="en-US"/>
              </w:rPr>
              <w:t>m</w:t>
            </w:r>
            <w:r>
              <w:rPr>
                <w:rFonts w:hint="default" w:ascii="Times New Roman" w:hAnsi="Times New Roman" w:eastAsia="宋体"/>
                <w:color w:val="000000"/>
                <w:sz w:val="24"/>
                <w:highlight w:val="none"/>
                <w:vertAlign w:val="superscript"/>
                <w:lang w:val="en-US"/>
              </w:rPr>
              <w:t>3</w:t>
            </w:r>
            <w:r>
              <w:rPr>
                <w:rFonts w:hint="default" w:ascii="Times New Roman" w:hAnsi="Times New Roman" w:eastAsia="宋体"/>
                <w:color w:val="000000"/>
                <w:sz w:val="24"/>
                <w:highlight w:val="none"/>
                <w:lang w:val="en-US"/>
              </w:rPr>
              <w:t>/d</w:t>
            </w:r>
            <w:r>
              <w:rPr>
                <w:rFonts w:hint="eastAsia" w:ascii="Times New Roman" w:hAnsi="Times New Roman" w:eastAsia="宋体"/>
                <w:color w:val="000000"/>
                <w:sz w:val="24"/>
                <w:highlight w:val="none"/>
                <w:lang w:val="en-US" w:eastAsia="zh-CN"/>
              </w:rPr>
              <w:t>，浆洗废水7.04</w:t>
            </w:r>
            <w:r>
              <w:rPr>
                <w:rFonts w:hint="default" w:ascii="Times New Roman" w:hAnsi="Times New Roman" w:eastAsia="宋体"/>
                <w:color w:val="000000"/>
                <w:sz w:val="24"/>
                <w:highlight w:val="none"/>
                <w:lang w:val="en-US"/>
              </w:rPr>
              <w:t>m</w:t>
            </w:r>
            <w:r>
              <w:rPr>
                <w:rFonts w:hint="default" w:ascii="Times New Roman" w:hAnsi="Times New Roman" w:eastAsia="宋体"/>
                <w:color w:val="000000"/>
                <w:sz w:val="24"/>
                <w:highlight w:val="none"/>
                <w:vertAlign w:val="superscript"/>
                <w:lang w:val="en-US"/>
              </w:rPr>
              <w:t>3</w:t>
            </w:r>
            <w:r>
              <w:rPr>
                <w:rFonts w:hint="default" w:ascii="Times New Roman" w:hAnsi="Times New Roman" w:eastAsia="宋体"/>
                <w:color w:val="000000"/>
                <w:sz w:val="24"/>
                <w:highlight w:val="none"/>
                <w:lang w:val="en-US"/>
              </w:rPr>
              <w:t>/d，</w:t>
            </w:r>
            <w:r>
              <w:rPr>
                <w:rFonts w:hint="eastAsia" w:ascii="Times New Roman" w:hAnsi="Times New Roman" w:eastAsia="宋体"/>
                <w:color w:val="000000"/>
                <w:sz w:val="24"/>
                <w:highlight w:val="none"/>
                <w:lang w:val="en-US" w:eastAsia="zh-CN"/>
              </w:rPr>
              <w:t>食堂废水2.592</w:t>
            </w:r>
            <w:r>
              <w:rPr>
                <w:rFonts w:hint="default" w:ascii="Times New Roman" w:hAnsi="Times New Roman" w:eastAsia="宋体"/>
                <w:color w:val="000000"/>
                <w:sz w:val="24"/>
                <w:highlight w:val="none"/>
                <w:lang w:val="en-US"/>
              </w:rPr>
              <w:t>m</w:t>
            </w:r>
            <w:r>
              <w:rPr>
                <w:rFonts w:hint="default" w:ascii="Times New Roman" w:hAnsi="Times New Roman" w:eastAsia="宋体"/>
                <w:color w:val="000000"/>
                <w:sz w:val="24"/>
                <w:highlight w:val="none"/>
                <w:vertAlign w:val="superscript"/>
                <w:lang w:val="en-US"/>
              </w:rPr>
              <w:t>3</w:t>
            </w:r>
            <w:r>
              <w:rPr>
                <w:rFonts w:hint="default" w:ascii="Times New Roman" w:hAnsi="Times New Roman" w:eastAsia="宋体"/>
                <w:color w:val="000000"/>
                <w:sz w:val="24"/>
                <w:highlight w:val="none"/>
                <w:lang w:val="en-US"/>
              </w:rPr>
              <w:t>/d</w:t>
            </w:r>
            <w:r>
              <w:rPr>
                <w:rFonts w:hint="eastAsia" w:ascii="Times New Roman" w:hAnsi="Times New Roman" w:eastAsia="宋体"/>
                <w:color w:val="000000"/>
                <w:sz w:val="24"/>
                <w:highlight w:val="none"/>
                <w:lang w:val="en-US" w:eastAsia="zh-CN"/>
              </w:rPr>
              <w:t>。建成后全院外排废水量为47.84</w:t>
            </w:r>
            <w:r>
              <w:rPr>
                <w:rFonts w:hint="default" w:ascii="Times New Roman" w:hAnsi="Times New Roman" w:eastAsia="宋体"/>
                <w:color w:val="000000"/>
                <w:sz w:val="24"/>
                <w:highlight w:val="none"/>
                <w:lang w:val="en-US"/>
              </w:rPr>
              <w:t>m</w:t>
            </w:r>
            <w:r>
              <w:rPr>
                <w:rFonts w:hint="default" w:ascii="Times New Roman" w:hAnsi="Times New Roman" w:eastAsia="宋体"/>
                <w:color w:val="000000"/>
                <w:sz w:val="24"/>
                <w:highlight w:val="none"/>
                <w:vertAlign w:val="superscript"/>
                <w:lang w:val="en-US"/>
              </w:rPr>
              <w:t>3</w:t>
            </w:r>
            <w:r>
              <w:rPr>
                <w:rFonts w:hint="default" w:ascii="Times New Roman" w:hAnsi="Times New Roman" w:eastAsia="宋体"/>
                <w:color w:val="000000"/>
                <w:sz w:val="24"/>
                <w:highlight w:val="none"/>
                <w:lang w:val="en-US"/>
              </w:rPr>
              <w:t>/d</w:t>
            </w:r>
            <w:r>
              <w:rPr>
                <w:rFonts w:hint="eastAsia" w:ascii="Times New Roman" w:hAnsi="Times New Roman" w:eastAsia="宋体"/>
                <w:color w:val="000000"/>
                <w:sz w:val="24"/>
                <w:highlight w:val="none"/>
                <w:lang w:val="en-US" w:eastAsia="zh-CN"/>
              </w:rPr>
              <w:t>。</w:t>
            </w:r>
          </w:p>
          <w:p>
            <w:pPr>
              <w:spacing w:line="360" w:lineRule="auto"/>
              <w:ind w:firstLine="480"/>
              <w:rPr>
                <w:rFonts w:hint="eastAsia" w:ascii="Times New Roman" w:hAnsi="Times New Roman" w:eastAsia="宋体" w:cs="Times New Roman"/>
                <w:b w:val="0"/>
                <w:bCs/>
                <w:color w:val="000000"/>
                <w:kern w:val="2"/>
                <w:sz w:val="24"/>
                <w:szCs w:val="24"/>
                <w:lang w:val="en-US" w:eastAsia="zh-CN" w:bidi="ar-SA"/>
              </w:rPr>
            </w:pPr>
            <w:r>
              <w:rPr>
                <w:rFonts w:hint="eastAsia" w:ascii="Times New Roman" w:hAnsi="Times New Roman" w:eastAsia="宋体" w:cs="Times New Roman"/>
                <w:b w:val="0"/>
                <w:bCs/>
                <w:color w:val="000000"/>
                <w:kern w:val="2"/>
                <w:sz w:val="24"/>
                <w:szCs w:val="24"/>
                <w:lang w:val="en-US" w:eastAsia="zh-CN" w:bidi="ar-SA"/>
              </w:rPr>
              <w:t>检验室废水：项目检验科室不开展同位素诊疗诊断的医疗项目，故医院不产生同位素诊疗、诊断放射性废水，也不会产生洗片废水；同时，项目检验科室主要开展血常规的检验，不涉及尿液、粪便、胸、腹水、前列腺液等的检验，检验室仅进行血常规检验，使用试剂无含铬重金属、氰化物，强酸碱。检验室废水经中和预处理后，进入院内污水处理站处理后排入市政污水管网。</w:t>
            </w:r>
          </w:p>
          <w:p>
            <w:pPr>
              <w:pStyle w:val="72"/>
              <w:ind w:firstLine="482"/>
              <w:rPr>
                <w:rFonts w:hint="eastAsia"/>
                <w:b/>
                <w:bCs/>
                <w:szCs w:val="24"/>
              </w:rPr>
            </w:pPr>
            <w:r>
              <w:rPr>
                <w:rFonts w:hint="eastAsia"/>
                <w:b/>
                <w:bCs/>
                <w:szCs w:val="24"/>
              </w:rPr>
              <w:t>2、</w:t>
            </w:r>
            <w:r>
              <w:rPr>
                <w:rFonts w:hint="eastAsia"/>
                <w:b/>
                <w:bCs/>
                <w:szCs w:val="24"/>
                <w:lang w:eastAsia="zh-CN"/>
              </w:rPr>
              <w:t>污水处理方案</w:t>
            </w:r>
          </w:p>
          <w:p>
            <w:pPr>
              <w:pStyle w:val="72"/>
              <w:ind w:firstLine="480"/>
              <w:rPr>
                <w:rFonts w:hint="eastAsia"/>
                <w:b/>
                <w:bCs/>
                <w:lang w:eastAsia="zh-CN"/>
              </w:rPr>
            </w:pPr>
            <w:r>
              <w:rPr>
                <w:rFonts w:hint="eastAsia"/>
                <w:b/>
                <w:bCs/>
                <w:lang w:eastAsia="zh-CN"/>
              </w:rPr>
              <w:t>（</w:t>
            </w:r>
            <w:r>
              <w:rPr>
                <w:rFonts w:hint="eastAsia"/>
                <w:b/>
                <w:bCs/>
                <w:lang w:val="en-US" w:eastAsia="zh-CN"/>
              </w:rPr>
              <w:t>1</w:t>
            </w:r>
            <w:r>
              <w:rPr>
                <w:rFonts w:hint="eastAsia"/>
                <w:b/>
                <w:bCs/>
                <w:lang w:eastAsia="zh-CN"/>
              </w:rPr>
              <w:t>）污水处理措施</w:t>
            </w:r>
          </w:p>
          <w:p>
            <w:pPr>
              <w:pStyle w:val="72"/>
              <w:ind w:firstLine="480"/>
              <w:rPr>
                <w:rFonts w:hint="eastAsia"/>
                <w:lang w:eastAsia="zh-CN"/>
              </w:rPr>
            </w:pPr>
            <w:r>
              <w:rPr>
                <w:rFonts w:hint="eastAsia"/>
                <w:b/>
                <w:bCs/>
                <w:lang w:eastAsia="zh-CN"/>
              </w:rPr>
              <w:t>现有废水处理措施：</w:t>
            </w:r>
            <w:r>
              <w:rPr>
                <w:rFonts w:hint="eastAsia"/>
                <w:lang w:eastAsia="zh-CN"/>
              </w:rPr>
              <w:t>院内现有综合废水通过现有污水处理站“二级生化</w:t>
            </w:r>
            <w:r>
              <w:rPr>
                <w:rFonts w:hint="eastAsia"/>
                <w:lang w:val="en-US" w:eastAsia="zh-CN"/>
              </w:rPr>
              <w:t>+消毒</w:t>
            </w:r>
            <w:r>
              <w:rPr>
                <w:rFonts w:hint="eastAsia"/>
                <w:lang w:eastAsia="zh-CN"/>
              </w:rPr>
              <w:t>”处理后进入市政污水管网；</w:t>
            </w:r>
          </w:p>
          <w:p>
            <w:pPr>
              <w:pStyle w:val="72"/>
              <w:ind w:firstLine="480"/>
            </w:pPr>
            <w:r>
              <w:rPr>
                <w:rFonts w:hint="eastAsia"/>
                <w:lang w:eastAsia="zh-CN"/>
              </w:rPr>
              <w:t>现有</w:t>
            </w:r>
            <w:r>
              <w:rPr>
                <w:rFonts w:hint="eastAsia"/>
              </w:rPr>
              <w:t>污水处理站工艺流程图下图：</w:t>
            </w:r>
          </w:p>
          <w:p>
            <w:pPr>
              <w:pStyle w:val="72"/>
              <w:spacing w:line="240" w:lineRule="auto"/>
              <w:ind w:firstLine="0" w:firstLineChars="0"/>
              <w:jc w:val="center"/>
              <w:rPr>
                <w:rFonts w:hint="eastAsia"/>
              </w:rPr>
            </w:pPr>
            <w:r>
              <mc:AlternateContent>
                <mc:Choice Requires="wpc">
                  <w:drawing>
                    <wp:inline distT="0" distB="0" distL="114300" distR="114300">
                      <wp:extent cx="5066030" cy="2774950"/>
                      <wp:effectExtent l="5080" t="4445" r="15240" b="20955"/>
                      <wp:docPr id="138" name="画布 138"/>
                      <wp:cNvGraphicFramePr/>
                      <a:graphic xmlns:a="http://schemas.openxmlformats.org/drawingml/2006/main">
                        <a:graphicData uri="http://schemas.microsoft.com/office/word/2010/wordprocessingCanvas">
                          <wpc:wpc>
                            <wpc:bg>
                              <a:noFill/>
                            </wpc:bg>
                            <wpc:whole>
                              <a:ln>
                                <a:noFill/>
                              </a:ln>
                            </wpc:whole>
                            <wps:wsp>
                              <wps:cNvPr id="96" name="直接连接符 96"/>
                              <wps:cNvSpPr/>
                              <wps:spPr>
                                <a:xfrm flipV="1">
                                  <a:off x="1512570" y="850265"/>
                                  <a:ext cx="427990" cy="635"/>
                                </a:xfrm>
                                <a:prstGeom prst="line">
                                  <a:avLst/>
                                </a:prstGeom>
                                <a:ln w="9525" cap="flat" cmpd="sng">
                                  <a:solidFill>
                                    <a:srgbClr val="000000"/>
                                  </a:solidFill>
                                  <a:prstDash val="solid"/>
                                  <a:headEnd type="none" w="med" len="med"/>
                                  <a:tailEnd type="triangle" w="med" len="med"/>
                                </a:ln>
                              </wps:spPr>
                              <wps:bodyPr upright="1"/>
                            </wps:wsp>
                            <wps:wsp>
                              <wps:cNvPr id="97" name="直接连接符 97"/>
                              <wps:cNvSpPr/>
                              <wps:spPr>
                                <a:xfrm>
                                  <a:off x="808355" y="1541780"/>
                                  <a:ext cx="421005" cy="11430"/>
                                </a:xfrm>
                                <a:prstGeom prst="line">
                                  <a:avLst/>
                                </a:prstGeom>
                                <a:ln w="9525" cap="flat" cmpd="sng">
                                  <a:solidFill>
                                    <a:srgbClr val="000000"/>
                                  </a:solidFill>
                                  <a:prstDash val="solid"/>
                                  <a:headEnd type="none" w="med" len="med"/>
                                  <a:tailEnd type="triangle" w="med" len="med"/>
                                </a:ln>
                              </wps:spPr>
                              <wps:bodyPr upright="1"/>
                            </wps:wsp>
                            <wps:wsp>
                              <wps:cNvPr id="98" name="矩形 98"/>
                              <wps:cNvSpPr/>
                              <wps:spPr>
                                <a:xfrm>
                                  <a:off x="0" y="714376"/>
                                  <a:ext cx="806450"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生活污水水</w:t>
                                    </w:r>
                                  </w:p>
                                </w:txbxContent>
                              </wps:txbx>
                              <wps:bodyPr upright="1"/>
                            </wps:wsp>
                            <wps:wsp>
                              <wps:cNvPr id="99" name="矩形 99"/>
                              <wps:cNvSpPr/>
                              <wps:spPr>
                                <a:xfrm>
                                  <a:off x="9525" y="364490"/>
                                  <a:ext cx="825500"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医疗废水</w:t>
                                    </w:r>
                                  </w:p>
                                </w:txbxContent>
                              </wps:txbx>
                              <wps:bodyPr upright="1"/>
                            </wps:wsp>
                            <wps:wsp>
                              <wps:cNvPr id="100" name="矩形 100"/>
                              <wps:cNvSpPr/>
                              <wps:spPr>
                                <a:xfrm>
                                  <a:off x="0" y="1068705"/>
                                  <a:ext cx="822325"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洗涤废水</w:t>
                                    </w:r>
                                  </w:p>
                                </w:txbxContent>
                              </wps:txbx>
                              <wps:bodyPr upright="1"/>
                            </wps:wsp>
                            <wps:wsp>
                              <wps:cNvPr id="101" name="矩形 101"/>
                              <wps:cNvSpPr/>
                              <wps:spPr>
                                <a:xfrm>
                                  <a:off x="1212215" y="1400175"/>
                                  <a:ext cx="617220" cy="2597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隔油池</w:t>
                                    </w:r>
                                  </w:p>
                                </w:txbxContent>
                              </wps:txbx>
                              <wps:bodyPr upright="1"/>
                            </wps:wsp>
                            <wps:wsp>
                              <wps:cNvPr id="102" name="直接连接符 102"/>
                              <wps:cNvSpPr/>
                              <wps:spPr>
                                <a:xfrm flipV="1">
                                  <a:off x="883285" y="139065"/>
                                  <a:ext cx="189865" cy="1270"/>
                                </a:xfrm>
                                <a:prstGeom prst="line">
                                  <a:avLst/>
                                </a:prstGeom>
                                <a:ln w="9525" cap="flat" cmpd="sng">
                                  <a:solidFill>
                                    <a:srgbClr val="000000"/>
                                  </a:solidFill>
                                  <a:prstDash val="solid"/>
                                  <a:headEnd type="none" w="med" len="med"/>
                                  <a:tailEnd type="triangle" w="med" len="med"/>
                                </a:ln>
                              </wps:spPr>
                              <wps:bodyPr upright="1"/>
                            </wps:wsp>
                            <wps:wsp>
                              <wps:cNvPr id="103" name="矩形 103"/>
                              <wps:cNvSpPr/>
                              <wps:spPr>
                                <a:xfrm>
                                  <a:off x="4166870" y="2140585"/>
                                  <a:ext cx="843280" cy="633095"/>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乐山市第三污水处理厂</w:t>
                                    </w:r>
                                  </w:p>
                                </w:txbxContent>
                              </wps:txbx>
                              <wps:bodyPr upright="1"/>
                            </wps:wsp>
                            <wps:wsp>
                              <wps:cNvPr id="104" name="矩形 104"/>
                              <wps:cNvSpPr/>
                              <wps:spPr>
                                <a:xfrm>
                                  <a:off x="4160520" y="601345"/>
                                  <a:ext cx="811530" cy="474345"/>
                                </a:xfrm>
                                <a:prstGeom prst="rect">
                                  <a:avLst/>
                                </a:prstGeom>
                                <a:noFill/>
                                <a:ln w="9525" cap="flat" cmpd="sng">
                                  <a:solidFill>
                                    <a:srgbClr val="000000"/>
                                  </a:solidFill>
                                  <a:prstDash val="solid"/>
                                  <a:miter/>
                                  <a:headEnd type="none" w="med" len="med"/>
                                  <a:tailEnd type="none" w="med" len="med"/>
                                </a:ln>
                              </wps:spPr>
                              <wps:txbx>
                                <w:txbxContent>
                                  <w:p>
                                    <w:pPr>
                                      <w:jc w:val="center"/>
                                    </w:pPr>
                                    <w:r>
                                      <w:rPr>
                                        <w:rFonts w:hint="eastAsia"/>
                                      </w:rPr>
                                      <w:t>接触氧化（移动式）</w:t>
                                    </w:r>
                                  </w:p>
                                </w:txbxContent>
                              </wps:txbx>
                              <wps:bodyPr upright="1"/>
                            </wps:wsp>
                            <wps:wsp>
                              <wps:cNvPr id="105" name="直接连接符 105"/>
                              <wps:cNvSpPr/>
                              <wps:spPr>
                                <a:xfrm flipV="1">
                                  <a:off x="3185161" y="1031875"/>
                                  <a:ext cx="970915" cy="635"/>
                                </a:xfrm>
                                <a:prstGeom prst="line">
                                  <a:avLst/>
                                </a:prstGeom>
                                <a:ln w="9525" cap="flat" cmpd="sng">
                                  <a:solidFill>
                                    <a:srgbClr val="000000"/>
                                  </a:solidFill>
                                  <a:prstDash val="dash"/>
                                  <a:headEnd type="none" w="med" len="med"/>
                                  <a:tailEnd type="none" w="med" len="med"/>
                                </a:ln>
                              </wps:spPr>
                              <wps:bodyPr upright="1"/>
                            </wps:wsp>
                            <wps:wsp>
                              <wps:cNvPr id="106" name="直接连接符 106"/>
                              <wps:cNvSpPr/>
                              <wps:spPr>
                                <a:xfrm flipH="1">
                                  <a:off x="1231265" y="285115"/>
                                  <a:ext cx="9525" cy="214630"/>
                                </a:xfrm>
                                <a:prstGeom prst="line">
                                  <a:avLst/>
                                </a:prstGeom>
                                <a:ln w="9525" cap="flat" cmpd="sng">
                                  <a:solidFill>
                                    <a:srgbClr val="000000"/>
                                  </a:solidFill>
                                  <a:prstDash val="solid"/>
                                  <a:headEnd type="none" w="med" len="med"/>
                                  <a:tailEnd type="triangle" w="med" len="med"/>
                                </a:ln>
                              </wps:spPr>
                              <wps:bodyPr upright="1"/>
                            </wps:wsp>
                            <wps:wsp>
                              <wps:cNvPr id="107" name="直接连接符 107"/>
                              <wps:cNvSpPr/>
                              <wps:spPr>
                                <a:xfrm>
                                  <a:off x="831850" y="528320"/>
                                  <a:ext cx="528955" cy="8890"/>
                                </a:xfrm>
                                <a:prstGeom prst="line">
                                  <a:avLst/>
                                </a:prstGeom>
                                <a:ln w="9525" cap="flat" cmpd="sng">
                                  <a:solidFill>
                                    <a:srgbClr val="000000"/>
                                  </a:solidFill>
                                  <a:prstDash val="solid"/>
                                  <a:headEnd type="none" w="med" len="med"/>
                                  <a:tailEnd type="triangle" w="med" len="med"/>
                                </a:ln>
                              </wps:spPr>
                              <wps:bodyPr upright="1"/>
                            </wps:wsp>
                            <wps:wsp>
                              <wps:cNvPr id="108" name="直接连接符 108"/>
                              <wps:cNvSpPr/>
                              <wps:spPr>
                                <a:xfrm>
                                  <a:off x="3746501" y="855345"/>
                                  <a:ext cx="392430" cy="635"/>
                                </a:xfrm>
                                <a:prstGeom prst="line">
                                  <a:avLst/>
                                </a:prstGeom>
                                <a:ln w="9525" cap="flat" cmpd="sng">
                                  <a:solidFill>
                                    <a:srgbClr val="000000"/>
                                  </a:solidFill>
                                  <a:prstDash val="solid"/>
                                  <a:headEnd type="none" w="med" len="med"/>
                                  <a:tailEnd type="triangle" w="med" len="med"/>
                                </a:ln>
                              </wps:spPr>
                              <wps:bodyPr upright="1"/>
                            </wps:wsp>
                            <wps:wsp>
                              <wps:cNvPr id="109" name="矩形 109"/>
                              <wps:cNvSpPr/>
                              <wps:spPr>
                                <a:xfrm>
                                  <a:off x="0" y="0"/>
                                  <a:ext cx="870585" cy="2540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ins w:id="38" w:author="过客" w:date="2023-04-18T16:03:00Z"/>
                                        <w:rFonts w:hint="eastAsia"/>
                                      </w:rPr>
                                    </w:pPr>
                                    <w:r>
                                      <w:rPr>
                                        <w:rFonts w:hint="eastAsia"/>
                                        <w:bCs/>
                                        <w:szCs w:val="21"/>
                                      </w:rPr>
                                      <w:t>检验室废水</w:t>
                                    </w:r>
                                    <w:ins w:id="39" w:author="过客" w:date="2023-04-18T16:03:00Z">
                                      <w:r>
                                        <w:rPr>
                                          <w:rFonts w:hint="eastAsia"/>
                                        </w:rPr>
                                        <w:t>水</w:t>
                                      </w:r>
                                    </w:ins>
                                  </w:p>
                                </w:txbxContent>
                              </wps:txbx>
                              <wps:bodyPr upright="1"/>
                            </wps:wsp>
                            <wps:wsp>
                              <wps:cNvPr id="110" name="矩形 110"/>
                              <wps:cNvSpPr/>
                              <wps:spPr>
                                <a:xfrm>
                                  <a:off x="1052195" y="12065"/>
                                  <a:ext cx="467995"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中和</w:t>
                                    </w:r>
                                  </w:p>
                                </w:txbxContent>
                              </wps:txbx>
                              <wps:bodyPr upright="1"/>
                            </wps:wsp>
                            <wps:wsp>
                              <wps:cNvPr id="111" name="矩形 111"/>
                              <wps:cNvSpPr/>
                              <wps:spPr>
                                <a:xfrm>
                                  <a:off x="0" y="1398905"/>
                                  <a:ext cx="812800"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食堂废水</w:t>
                                    </w:r>
                                  </w:p>
                                </w:txbxContent>
                              </wps:txbx>
                              <wps:bodyPr upright="1"/>
                            </wps:wsp>
                            <wps:wsp>
                              <wps:cNvPr id="112" name="直接连接符 112"/>
                              <wps:cNvSpPr/>
                              <wps:spPr>
                                <a:xfrm flipV="1">
                                  <a:off x="836930" y="1196340"/>
                                  <a:ext cx="513080" cy="2540"/>
                                </a:xfrm>
                                <a:prstGeom prst="line">
                                  <a:avLst/>
                                </a:prstGeom>
                                <a:ln w="9525" cap="flat" cmpd="sng">
                                  <a:solidFill>
                                    <a:srgbClr val="000000"/>
                                  </a:solidFill>
                                  <a:prstDash val="solid"/>
                                  <a:headEnd type="none" w="med" len="med"/>
                                  <a:tailEnd type="triangle" w="med" len="med"/>
                                </a:ln>
                              </wps:spPr>
                              <wps:bodyPr upright="1"/>
                            </wps:wsp>
                            <wps:wsp>
                              <wps:cNvPr id="113" name="直接连接符 113"/>
                              <wps:cNvSpPr/>
                              <wps:spPr>
                                <a:xfrm flipV="1">
                                  <a:off x="817880" y="845820"/>
                                  <a:ext cx="525145" cy="635"/>
                                </a:xfrm>
                                <a:prstGeom prst="line">
                                  <a:avLst/>
                                </a:prstGeom>
                                <a:ln w="9525" cap="flat" cmpd="sng">
                                  <a:solidFill>
                                    <a:srgbClr val="000000"/>
                                  </a:solidFill>
                                  <a:prstDash val="solid"/>
                                  <a:headEnd type="none" w="med" len="med"/>
                                  <a:tailEnd type="triangle" w="med" len="med"/>
                                </a:ln>
                              </wps:spPr>
                              <wps:bodyPr upright="1"/>
                            </wps:wsp>
                            <wps:wsp>
                              <wps:cNvPr id="114" name="直接连接符 114"/>
                              <wps:cNvSpPr/>
                              <wps:spPr>
                                <a:xfrm>
                                  <a:off x="1483995" y="1651635"/>
                                  <a:ext cx="6985" cy="208915"/>
                                </a:xfrm>
                                <a:prstGeom prst="line">
                                  <a:avLst/>
                                </a:prstGeom>
                                <a:ln w="9525" cap="flat" cmpd="sng">
                                  <a:solidFill>
                                    <a:srgbClr val="000000"/>
                                  </a:solidFill>
                                  <a:prstDash val="lgDash"/>
                                  <a:headEnd type="none" w="med" len="med"/>
                                  <a:tailEnd type="triangle" w="med" len="med"/>
                                </a:ln>
                              </wps:spPr>
                              <wps:bodyPr upright="1"/>
                            </wps:wsp>
                            <wps:wsp>
                              <wps:cNvPr id="115" name="直接连接符 115"/>
                              <wps:cNvSpPr/>
                              <wps:spPr>
                                <a:xfrm>
                                  <a:off x="4580256" y="1532255"/>
                                  <a:ext cx="6985" cy="180340"/>
                                </a:xfrm>
                                <a:prstGeom prst="line">
                                  <a:avLst/>
                                </a:prstGeom>
                                <a:ln w="9525" cap="flat" cmpd="sng">
                                  <a:solidFill>
                                    <a:srgbClr val="000000"/>
                                  </a:solidFill>
                                  <a:prstDash val="solid"/>
                                  <a:headEnd type="none" w="med" len="med"/>
                                  <a:tailEnd type="triangle" w="med" len="med"/>
                                </a:ln>
                              </wps:spPr>
                              <wps:bodyPr upright="1"/>
                            </wps:wsp>
                            <wps:wsp>
                              <wps:cNvPr id="116" name="直接连接符 116"/>
                              <wps:cNvSpPr/>
                              <wps:spPr>
                                <a:xfrm flipV="1">
                                  <a:off x="2446655" y="865505"/>
                                  <a:ext cx="254000" cy="0"/>
                                </a:xfrm>
                                <a:prstGeom prst="line">
                                  <a:avLst/>
                                </a:prstGeom>
                                <a:ln w="9525" cap="flat" cmpd="sng">
                                  <a:solidFill>
                                    <a:srgbClr val="000000"/>
                                  </a:solidFill>
                                  <a:prstDash val="solid"/>
                                  <a:headEnd type="none" w="med" len="med"/>
                                  <a:tailEnd type="triangle" w="med" len="med"/>
                                </a:ln>
                              </wps:spPr>
                              <wps:bodyPr upright="1"/>
                            </wps:wsp>
                            <wps:wsp>
                              <wps:cNvPr id="117" name="直接连接符 117"/>
                              <wps:cNvSpPr/>
                              <wps:spPr>
                                <a:xfrm flipV="1">
                                  <a:off x="1522730" y="1217295"/>
                                  <a:ext cx="844550" cy="635"/>
                                </a:xfrm>
                                <a:prstGeom prst="line">
                                  <a:avLst/>
                                </a:prstGeom>
                                <a:ln w="9525" cap="flat" cmpd="sng">
                                  <a:solidFill>
                                    <a:srgbClr val="000000"/>
                                  </a:solidFill>
                                  <a:prstDash val="dash"/>
                                  <a:headEnd type="none" w="med" len="med"/>
                                  <a:tailEnd type="triangle" w="med" len="med"/>
                                </a:ln>
                              </wps:spPr>
                              <wps:bodyPr upright="1"/>
                            </wps:wsp>
                            <wps:wsp>
                              <wps:cNvPr id="118" name="直接连接符 118"/>
                              <wps:cNvSpPr/>
                              <wps:spPr>
                                <a:xfrm flipH="1" flipV="1">
                                  <a:off x="1469390" y="1257300"/>
                                  <a:ext cx="3175" cy="153035"/>
                                </a:xfrm>
                                <a:prstGeom prst="line">
                                  <a:avLst/>
                                </a:prstGeom>
                                <a:ln w="9525" cap="flat" cmpd="sng">
                                  <a:solidFill>
                                    <a:srgbClr val="000000"/>
                                  </a:solidFill>
                                  <a:prstDash val="solid"/>
                                  <a:headEnd type="none" w="med" len="med"/>
                                  <a:tailEnd type="triangle" w="med" len="med"/>
                                </a:ln>
                              </wps:spPr>
                              <wps:bodyPr upright="1"/>
                            </wps:wsp>
                            <wps:wsp>
                              <wps:cNvPr id="119" name="矩形 119"/>
                              <wps:cNvSpPr/>
                              <wps:spPr>
                                <a:xfrm>
                                  <a:off x="2713356" y="722631"/>
                                  <a:ext cx="1028700" cy="2540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调节沉淀池</w:t>
                                    </w:r>
                                  </w:p>
                                </w:txbxContent>
                              </wps:txbx>
                              <wps:bodyPr upright="1"/>
                            </wps:wsp>
                            <wps:wsp>
                              <wps:cNvPr id="120" name="矩形 120"/>
                              <wps:cNvSpPr/>
                              <wps:spPr>
                                <a:xfrm>
                                  <a:off x="1922780" y="722631"/>
                                  <a:ext cx="504190" cy="2540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格栅</w:t>
                                    </w:r>
                                  </w:p>
                                </w:txbxContent>
                              </wps:txbx>
                              <wps:bodyPr upright="1"/>
                            </wps:wsp>
                            <wps:wsp>
                              <wps:cNvPr id="121" name="矩形 121"/>
                              <wps:cNvSpPr/>
                              <wps:spPr>
                                <a:xfrm>
                                  <a:off x="1254125" y="1863090"/>
                                  <a:ext cx="609600" cy="2540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废油渣</w:t>
                                    </w:r>
                                  </w:p>
                                </w:txbxContent>
                              </wps:txbx>
                              <wps:bodyPr upright="1"/>
                            </wps:wsp>
                            <wps:wsp>
                              <wps:cNvPr id="122" name="矩形 122"/>
                              <wps:cNvSpPr/>
                              <wps:spPr>
                                <a:xfrm>
                                  <a:off x="2399030" y="1151255"/>
                                  <a:ext cx="904875" cy="2540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污泥浓缩池</w:t>
                                    </w:r>
                                  </w:p>
                                </w:txbxContent>
                              </wps:txbx>
                              <wps:bodyPr upright="1"/>
                            </wps:wsp>
                            <wps:wsp>
                              <wps:cNvPr id="123" name="直接连接符 123"/>
                              <wps:cNvSpPr/>
                              <wps:spPr>
                                <a:xfrm flipH="1">
                                  <a:off x="3313431" y="1351915"/>
                                  <a:ext cx="943610" cy="8255"/>
                                </a:xfrm>
                                <a:prstGeom prst="line">
                                  <a:avLst/>
                                </a:prstGeom>
                                <a:ln w="9525" cap="flat" cmpd="sng">
                                  <a:solidFill>
                                    <a:srgbClr val="000000"/>
                                  </a:solidFill>
                                  <a:prstDash val="dash"/>
                                  <a:headEnd type="none" w="med" len="med"/>
                                  <a:tailEnd type="triangle" w="med" len="med"/>
                                </a:ln>
                              </wps:spPr>
                              <wps:bodyPr upright="1"/>
                            </wps:wsp>
                            <wps:wsp>
                              <wps:cNvPr id="124" name="直接连接符 124"/>
                              <wps:cNvSpPr/>
                              <wps:spPr>
                                <a:xfrm>
                                  <a:off x="3170556" y="979805"/>
                                  <a:ext cx="635" cy="189865"/>
                                </a:xfrm>
                                <a:prstGeom prst="line">
                                  <a:avLst/>
                                </a:prstGeom>
                                <a:ln w="9525" cap="flat" cmpd="sng">
                                  <a:solidFill>
                                    <a:srgbClr val="000000"/>
                                  </a:solidFill>
                                  <a:prstDash val="dash"/>
                                  <a:headEnd type="none" w="med" len="med"/>
                                  <a:tailEnd type="triangle" w="med" len="med"/>
                                </a:ln>
                              </wps:spPr>
                              <wps:bodyPr upright="1"/>
                            </wps:wsp>
                            <wps:wsp>
                              <wps:cNvPr id="125" name="矩形 125"/>
                              <wps:cNvSpPr/>
                              <wps:spPr>
                                <a:xfrm>
                                  <a:off x="4265931" y="1284605"/>
                                  <a:ext cx="609600" cy="2540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二沉池</w:t>
                                    </w:r>
                                  </w:p>
                                </w:txbxContent>
                              </wps:txbx>
                              <wps:bodyPr upright="1"/>
                            </wps:wsp>
                            <wps:wsp>
                              <wps:cNvPr id="126" name="直接连接符 126"/>
                              <wps:cNvSpPr/>
                              <wps:spPr>
                                <a:xfrm>
                                  <a:off x="4580256" y="1084580"/>
                                  <a:ext cx="0" cy="203200"/>
                                </a:xfrm>
                                <a:prstGeom prst="line">
                                  <a:avLst/>
                                </a:prstGeom>
                                <a:ln w="9525" cap="flat" cmpd="sng">
                                  <a:solidFill>
                                    <a:srgbClr val="000000"/>
                                  </a:solidFill>
                                  <a:prstDash val="solid"/>
                                  <a:headEnd type="none" w="med" len="med"/>
                                  <a:tailEnd type="triangle" w="med" len="med"/>
                                </a:ln>
                              </wps:spPr>
                              <wps:bodyPr upright="1"/>
                            </wps:wsp>
                            <wps:wsp>
                              <wps:cNvPr id="127" name="矩形 127"/>
                              <wps:cNvSpPr/>
                              <wps:spPr>
                                <a:xfrm>
                                  <a:off x="2513330" y="1637030"/>
                                  <a:ext cx="609600" cy="2540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污泥泵</w:t>
                                    </w:r>
                                  </w:p>
                                </w:txbxContent>
                              </wps:txbx>
                              <wps:bodyPr upright="1"/>
                            </wps:wsp>
                            <wps:wsp>
                              <wps:cNvPr id="128" name="直接连接符 128"/>
                              <wps:cNvSpPr/>
                              <wps:spPr>
                                <a:xfrm>
                                  <a:off x="2846706" y="1894205"/>
                                  <a:ext cx="635" cy="403225"/>
                                </a:xfrm>
                                <a:prstGeom prst="line">
                                  <a:avLst/>
                                </a:prstGeom>
                                <a:ln w="9525" cap="flat" cmpd="sng">
                                  <a:solidFill>
                                    <a:srgbClr val="000000"/>
                                  </a:solidFill>
                                  <a:prstDash val="lgDash"/>
                                  <a:headEnd type="none" w="med" len="med"/>
                                  <a:tailEnd type="triangle" w="med" len="med"/>
                                </a:ln>
                              </wps:spPr>
                              <wps:bodyPr upright="1"/>
                            </wps:wsp>
                            <wps:wsp>
                              <wps:cNvPr id="129" name="直接连接符 129"/>
                              <wps:cNvSpPr/>
                              <wps:spPr>
                                <a:xfrm>
                                  <a:off x="2837181" y="1417955"/>
                                  <a:ext cx="0" cy="203200"/>
                                </a:xfrm>
                                <a:prstGeom prst="line">
                                  <a:avLst/>
                                </a:prstGeom>
                                <a:ln w="9525" cap="flat" cmpd="sng">
                                  <a:solidFill>
                                    <a:srgbClr val="000000"/>
                                  </a:solidFill>
                                  <a:prstDash val="lgDash"/>
                                  <a:headEnd type="none" w="med" len="med"/>
                                  <a:tailEnd type="triangle" w="med" len="med"/>
                                </a:ln>
                              </wps:spPr>
                              <wps:bodyPr upright="1"/>
                            </wps:wsp>
                            <wps:wsp>
                              <wps:cNvPr id="130" name="矩形 130"/>
                              <wps:cNvSpPr/>
                              <wps:spPr>
                                <a:xfrm>
                                  <a:off x="4123056" y="1694180"/>
                                  <a:ext cx="924560" cy="2540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接触消毒池</w:t>
                                    </w:r>
                                  </w:p>
                                </w:txbxContent>
                              </wps:txbx>
                              <wps:bodyPr upright="1"/>
                            </wps:wsp>
                            <wps:wsp>
                              <wps:cNvPr id="131" name="直接连接符 131"/>
                              <wps:cNvSpPr/>
                              <wps:spPr>
                                <a:xfrm flipV="1">
                                  <a:off x="3865881" y="1818005"/>
                                  <a:ext cx="254000" cy="0"/>
                                </a:xfrm>
                                <a:prstGeom prst="line">
                                  <a:avLst/>
                                </a:prstGeom>
                                <a:ln w="9525" cap="flat" cmpd="sng">
                                  <a:solidFill>
                                    <a:srgbClr val="000000"/>
                                  </a:solidFill>
                                  <a:prstDash val="solid"/>
                                  <a:headEnd type="none" w="med" len="med"/>
                                  <a:tailEnd type="triangle" w="med" len="med"/>
                                </a:ln>
                              </wps:spPr>
                              <wps:bodyPr upright="1"/>
                            </wps:wsp>
                            <wps:wsp>
                              <wps:cNvPr id="132" name="矩形 132"/>
                              <wps:cNvSpPr/>
                              <wps:spPr>
                                <a:xfrm>
                                  <a:off x="3342006" y="1446530"/>
                                  <a:ext cx="551815" cy="7588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二氧化氯发生器</w:t>
                                    </w:r>
                                  </w:p>
                                </w:txbxContent>
                              </wps:txbx>
                              <wps:bodyPr upright="1"/>
                            </wps:wsp>
                            <wps:wsp>
                              <wps:cNvPr id="133" name="直接连接符 133"/>
                              <wps:cNvSpPr/>
                              <wps:spPr>
                                <a:xfrm>
                                  <a:off x="4599306" y="1951355"/>
                                  <a:ext cx="0" cy="203200"/>
                                </a:xfrm>
                                <a:prstGeom prst="line">
                                  <a:avLst/>
                                </a:prstGeom>
                                <a:ln w="9525" cap="flat" cmpd="sng">
                                  <a:solidFill>
                                    <a:srgbClr val="000000"/>
                                  </a:solidFill>
                                  <a:prstDash val="solid"/>
                                  <a:headEnd type="none" w="med" len="med"/>
                                  <a:tailEnd type="triangle" w="med" len="med"/>
                                </a:ln>
                              </wps:spPr>
                              <wps:bodyPr upright="1"/>
                            </wps:wsp>
                            <wps:wsp>
                              <wps:cNvPr id="134" name="矩形 134"/>
                              <wps:cNvSpPr/>
                              <wps:spPr>
                                <a:xfrm>
                                  <a:off x="2389505" y="2284730"/>
                                  <a:ext cx="869950" cy="419100"/>
                                </a:xfrm>
                                <a:prstGeom prst="rect">
                                  <a:avLst/>
                                </a:prstGeom>
                                <a:noFill/>
                                <a:ln w="9525" cap="flat" cmpd="sng">
                                  <a:solidFill>
                                    <a:srgbClr val="000000"/>
                                  </a:solidFill>
                                  <a:prstDash val="solid"/>
                                  <a:miter/>
                                  <a:headEnd type="none" w="med" len="med"/>
                                  <a:tailEnd type="none" w="med" len="med"/>
                                </a:ln>
                              </wps:spPr>
                              <wps:txbx>
                                <w:txbxContent>
                                  <w:p>
                                    <w:pPr>
                                      <w:jc w:val="center"/>
                                    </w:pPr>
                                    <w:r>
                                      <w:rPr>
                                        <w:rFonts w:hint="eastAsia"/>
                                      </w:rPr>
                                      <w:t>有资质单位收集处理</w:t>
                                    </w:r>
                                  </w:p>
                                </w:txbxContent>
                              </wps:txbx>
                              <wps:bodyPr upright="1"/>
                            </wps:wsp>
                            <wps:wsp>
                              <wps:cNvPr id="135" name="直接连接符 135"/>
                              <wps:cNvSpPr/>
                              <wps:spPr>
                                <a:xfrm>
                                  <a:off x="1388745" y="2126616"/>
                                  <a:ext cx="635" cy="314325"/>
                                </a:xfrm>
                                <a:prstGeom prst="line">
                                  <a:avLst/>
                                </a:prstGeom>
                                <a:ln w="9525" cap="flat" cmpd="sng">
                                  <a:solidFill>
                                    <a:srgbClr val="000000"/>
                                  </a:solidFill>
                                  <a:prstDash val="lgDash"/>
                                  <a:headEnd type="none" w="med" len="med"/>
                                  <a:tailEnd type="none" w="med" len="med"/>
                                </a:ln>
                              </wps:spPr>
                              <wps:bodyPr upright="1"/>
                            </wps:wsp>
                            <wps:wsp>
                              <wps:cNvPr id="136" name="直接连接符 136"/>
                              <wps:cNvSpPr/>
                              <wps:spPr>
                                <a:xfrm>
                                  <a:off x="1388745" y="2440940"/>
                                  <a:ext cx="1009650" cy="635"/>
                                </a:xfrm>
                                <a:prstGeom prst="line">
                                  <a:avLst/>
                                </a:prstGeom>
                                <a:ln w="9525" cap="flat" cmpd="sng">
                                  <a:solidFill>
                                    <a:srgbClr val="000000"/>
                                  </a:solidFill>
                                  <a:prstDash val="lgDash"/>
                                  <a:headEnd type="none" w="med" len="med"/>
                                  <a:tailEnd type="triangle" w="med" len="med"/>
                                </a:ln>
                              </wps:spPr>
                              <wps:bodyPr upright="1"/>
                            </wps:wsp>
                            <wps:wsp>
                              <wps:cNvPr id="137" name="矩形 137"/>
                              <wps:cNvSpPr/>
                              <wps:spPr>
                                <a:xfrm>
                                  <a:off x="1346200" y="460375"/>
                                  <a:ext cx="282575" cy="7950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化粪池</w:t>
                                    </w:r>
                                  </w:p>
                                </w:txbxContent>
                              </wps:txbx>
                              <wps:bodyPr upright="1"/>
                            </wps:wsp>
                          </wpc:wpc>
                        </a:graphicData>
                      </a:graphic>
                    </wp:inline>
                  </w:drawing>
                </mc:Choice>
                <mc:Fallback>
                  <w:pict>
                    <v:group id="_x0000_s1026" o:spid="_x0000_s1026" o:spt="203" style="height:218.5pt;width:398.9pt;" coordsize="5066030,2774950" editas="canvas" o:gfxdata="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">
                      <o:lock v:ext="edit" aspectratio="f"/>
                      <v:rect id="_x0000_s1026" o:spid="_x0000_s1026" o:spt="1" style="position:absolute;left:0;top:0;height:2774950;width:5066030;" filled="f" stroked="f" coordsize="21600,21600" o:gfxdata="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">
                        <v:fill on="f" focussize="0,0"/>
                        <v:stroke on="f"/>
                        <v:imagedata o:title=""/>
                        <o:lock v:ext="edit" rotation="t" aspectratio="f"/>
                      </v:rect>
                      <v:line id="_x0000_s1026" o:spid="_x0000_s1026" o:spt="20" style="position:absolute;left:1512570;top:850264;flip:y;height:635;width:427990;" filled="f" stroked="t" coordsize="21600,21600" o:gfxdata="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MPzSEDXAAAABQEAAA8AAAAAAAAA&#10;AQAgAAAAIgAAAGRycy9kb3ducmV2LnhtbFBLAQIUABQAAAAIAIdO4kBX37v1EgIAAAAEAAAOAAAA&#10;AAAAAAEAIAAAACYBAABkcnMvZTJvRG9jLnhtbFBLBQYAAAAABgAGAFkBAACqBQAAAAA=&#10;">
                        <v:fill on="f" focussize="0,0"/>
                        <v:stroke color="#000000" joinstyle="round" endarrow="block"/>
                        <v:imagedata o:title=""/>
                        <o:lock v:ext="edit" aspectratio="f"/>
                      </v:line>
                      <v:line id="_x0000_s1026" o:spid="_x0000_s1026" o:spt="20" style="position:absolute;left:808355;top:1541780;height:11430;width:421005;" filled="f" stroked="t" coordsize="21600,21600" o:gfxdata="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C5vdE9cAAAAFAQAADwAAAAAAAAABACAAAAAi&#10;AAAAZHJzL2Rvd25yZXYueG1sUEsBAhQAFAAAAAgAh07iQEpTFEELAgAA+AMAAA4AAAAAAAAAAQAg&#10;AAAAJgEAAGRycy9lMm9Eb2MueG1sUEsFBgAAAAAGAAYAWQEAAKMFAAAAAA==&#10;">
                        <v:fill on="f" focussize="0,0"/>
                        <v:stroke color="#000000" joinstyle="round" endarrow="block"/>
                        <v:imagedata o:title=""/>
                        <o:lock v:ext="edit" aspectratio="f"/>
                      </v:line>
                      <v:rect id="_x0000_s1026" o:spid="_x0000_s1026" o:spt="1" style="position:absolute;left:0;top:714375;height:266700;width:806450;"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fill on="t" focussize="0,0"/>
                        <v:stroke color="#000000" joinstyle="miter"/>
                        <v:imagedata o:title=""/>
                        <o:lock v:ext="edit" aspectratio="f"/>
                        <v:textbox>
                          <w:txbxContent>
                            <w:p>
                              <w:pPr>
                                <w:jc w:val="center"/>
                                <w:rPr>
                                  <w:rFonts w:hint="eastAsia"/>
                                </w:rPr>
                              </w:pPr>
                              <w:r>
                                <w:rPr>
                                  <w:rFonts w:hint="eastAsia"/>
                                </w:rPr>
                                <w:t>生活污水水</w:t>
                              </w:r>
                            </w:p>
                          </w:txbxContent>
                        </v:textbox>
                      </v:rect>
                      <v:rect id="_x0000_s1026" o:spid="_x0000_s1026" o:spt="1" style="position:absolute;left:9525;top:364490;height:266700;width:825500;"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fill on="t" focussize="0,0"/>
                        <v:stroke color="#000000" joinstyle="miter"/>
                        <v:imagedata o:title=""/>
                        <o:lock v:ext="edit" aspectratio="f"/>
                        <v:textbox>
                          <w:txbxContent>
                            <w:p>
                              <w:pPr>
                                <w:jc w:val="center"/>
                                <w:rPr>
                                  <w:rFonts w:hint="eastAsia"/>
                                </w:rPr>
                              </w:pPr>
                              <w:r>
                                <w:rPr>
                                  <w:rFonts w:hint="eastAsia"/>
                                </w:rPr>
                                <w:t>医疗废水</w:t>
                              </w:r>
                            </w:p>
                          </w:txbxContent>
                        </v:textbox>
                      </v:rect>
                      <v:rect id="_x0000_s1026" o:spid="_x0000_s1026" o:spt="1" style="position:absolute;left:0;top:1068704;height:266700;width:822325;"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fill on="t" focussize="0,0"/>
                        <v:stroke color="#000000" joinstyle="miter"/>
                        <v:imagedata o:title=""/>
                        <o:lock v:ext="edit" aspectratio="f"/>
                        <v:textbox>
                          <w:txbxContent>
                            <w:p>
                              <w:pPr>
                                <w:jc w:val="center"/>
                                <w:rPr>
                                  <w:rFonts w:hint="eastAsia"/>
                                </w:rPr>
                              </w:pPr>
                              <w:r>
                                <w:rPr>
                                  <w:rFonts w:hint="eastAsia"/>
                                </w:rPr>
                                <w:t>洗涤废水</w:t>
                              </w:r>
                            </w:p>
                          </w:txbxContent>
                        </v:textbox>
                      </v:rect>
                      <v:rect id="_x0000_s1026" o:spid="_x0000_s1026" o:spt="1" style="position:absolute;left:1212215;top:1400175;height:259715;width:617220;"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fill on="t" focussize="0,0"/>
                        <v:stroke color="#000000" joinstyle="miter"/>
                        <v:imagedata o:title=""/>
                        <o:lock v:ext="edit" aspectratio="f"/>
                        <v:textbox>
                          <w:txbxContent>
                            <w:p>
                              <w:pPr>
                                <w:jc w:val="center"/>
                                <w:rPr>
                                  <w:rFonts w:hint="eastAsia"/>
                                </w:rPr>
                              </w:pPr>
                              <w:r>
                                <w:rPr>
                                  <w:rFonts w:hint="eastAsia"/>
                                </w:rPr>
                                <w:t>隔油池</w:t>
                              </w:r>
                            </w:p>
                          </w:txbxContent>
                        </v:textbox>
                      </v:rect>
                      <v:line id="_x0000_s1026" o:spid="_x0000_s1026" o:spt="20" style="position:absolute;left:883285;top:139065;flip:y;height:1270;width:189865;" filled="f" stroked="t" coordsize="21600,21600" o:gfxdata="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MPzSEDXAAAABQEAAA8AAAAAAAAA&#10;AQAgAAAAIgAAAGRycy9kb3ducmV2LnhtbFBLAQIUABQAAAAIAIdO4kCs/BNnEgIAAAIEAAAOAAAA&#10;AAAAAAEAIAAAACYBAABkcnMvZTJvRG9jLnhtbFBLBQYAAAAABgAGAFkBAACqBQAAAAA=&#10;">
                        <v:fill on="f" focussize="0,0"/>
                        <v:stroke color="#000000" joinstyle="round" endarrow="block"/>
                        <v:imagedata o:title=""/>
                        <o:lock v:ext="edit" aspectratio="f"/>
                      </v:line>
                      <v:rect id="_x0000_s1026" o:spid="_x0000_s1026" o:spt="1" style="position:absolute;left:4166869;top:2140584;height:633095;width:843280;" filled="f" stroked="t" coordsize="21600,21600" o:gfxdata="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BqZ03/VAAAABQEAAA8AAAAAAAAAAQAgAAAAIgAA&#10;AGRycy9kb3ducmV2LnhtbFBLAQIUABQAAAAIAIdO4kBZbMgDCwIAAA8EAAAOAAAAAAAAAAEAIAAA&#10;ACQBAABkcnMvZTJvRG9jLnhtbFBLBQYAAAAABgAGAFkBAAChBQAAAAA=&#10;">
                        <v:fill on="f" focussize="0,0"/>
                        <v:stroke color="#000000" joinstyle="miter"/>
                        <v:imagedata o:title=""/>
                        <o:lock v:ext="edit" aspectratio="f"/>
                        <v:textbox>
                          <w:txbxContent>
                            <w:p>
                              <w:pPr>
                                <w:jc w:val="center"/>
                                <w:rPr>
                                  <w:rFonts w:hint="eastAsia" w:eastAsia="宋体"/>
                                  <w:lang w:eastAsia="zh-CN"/>
                                </w:rPr>
                              </w:pPr>
                              <w:r>
                                <w:rPr>
                                  <w:rFonts w:hint="eastAsia"/>
                                  <w:lang w:eastAsia="zh-CN"/>
                                </w:rPr>
                                <w:t>乐山市第三污水处理厂</w:t>
                              </w:r>
                            </w:p>
                          </w:txbxContent>
                        </v:textbox>
                      </v:rect>
                      <v:rect id="_x0000_s1026" o:spid="_x0000_s1026" o:spt="1" style="position:absolute;left:4160519;top:601345;height:474345;width:811530;" filled="f" stroked="t" coordsize="21600,21600" o:gfxdata="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amdN/1QAAAAUBAAAPAAAAAAAAAAEAIAAAACIAAABk&#10;cnMvZG93bnJldi54bWxQSwECFAAUAAAACACHTuJAc2alSwkCAAAOBAAADgAAAAAAAAABACAAAAAk&#10;AQAAZHJzL2Uyb0RvYy54bWxQSwUGAAAAAAYABgBZAQAAnwUAAAAA&#10;">
                        <v:fill on="f" focussize="0,0"/>
                        <v:stroke color="#000000" joinstyle="miter"/>
                        <v:imagedata o:title=""/>
                        <o:lock v:ext="edit" aspectratio="f"/>
                        <v:textbox>
                          <w:txbxContent>
                            <w:p>
                              <w:pPr>
                                <w:jc w:val="center"/>
                              </w:pPr>
                              <w:r>
                                <w:rPr>
                                  <w:rFonts w:hint="eastAsia"/>
                                </w:rPr>
                                <w:t>接触氧化（移动式）</w:t>
                              </w:r>
                            </w:p>
                          </w:txbxContent>
                        </v:textbox>
                      </v:rect>
                      <v:line id="_x0000_s1026" o:spid="_x0000_s1026" o:spt="20" style="position:absolute;left:3185160;top:1031874;flip:y;height:635;width:970915;" filled="f" stroked="t" coordsize="21600,21600" o:gfxdata="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HAIwzTAAAABQEAAA8AAAAAAAAAAQAgAAAAIgAAAGRy&#10;cy9kb3ducmV2LnhtbFBLAQIUABQAAAAIAIdO4kCfmd10CgIAAP4DAAAOAAAAAAAAAAEAIAAAACIB&#10;AABkcnMvZTJvRG9jLnhtbFBLBQYAAAAABgAGAFkBAACeBQAAAAA=&#10;">
                        <v:fill on="f" focussize="0,0"/>
                        <v:stroke color="#000000" joinstyle="round" dashstyle="dash"/>
                        <v:imagedata o:title=""/>
                        <o:lock v:ext="edit" aspectratio="f"/>
                      </v:line>
                      <v:line id="_x0000_s1026" o:spid="_x0000_s1026" o:spt="20" style="position:absolute;left:1231265;top:285115;flip:x;height:214630;width:9525;" filled="f" stroked="t" coordsize="21600,21600" o:gfxdata="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PzSEDXAAAABQEAAA8AAAAAAAAAAQAg&#10;AAAAIgAAAGRycy9kb3ducmV2LnhtbFBLAQIUABQAAAAIAIdO4kA8igJHDwIAAAMEAAAOAAAAAAAA&#10;AAEAIAAAACYBAABkcnMvZTJvRG9jLnhtbFBLBQYAAAAABgAGAFkBAACnBQAAAAA=&#10;">
                        <v:fill on="f" focussize="0,0"/>
                        <v:stroke color="#000000" joinstyle="round" endarrow="block"/>
                        <v:imagedata o:title=""/>
                        <o:lock v:ext="edit" aspectratio="f"/>
                      </v:line>
                      <v:line id="_x0000_s1026" o:spid="_x0000_s1026" o:spt="20" style="position:absolute;left:831850;top:528320;height:8890;width:528955;" filled="f" stroked="t" coordsize="21600,21600" o:gfxdata="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Lm90T1wAAAAUBAAAPAAAAAAAAAAEAIAAAACIA&#10;AABkcnMvZG93bnJldi54bWxQSwECFAAUAAAACACHTuJAMuFxTgoCAAD4AwAADgAAAAAAAAABACAA&#10;AAAmAQAAZHJzL2Uyb0RvYy54bWxQSwUGAAAAAAYABgBZAQAAogUAAAAA&#10;">
                        <v:fill on="f" focussize="0,0"/>
                        <v:stroke color="#000000" joinstyle="round" endarrow="block"/>
                        <v:imagedata o:title=""/>
                        <o:lock v:ext="edit" aspectratio="f"/>
                      </v:line>
                      <v:line id="_x0000_s1026" o:spid="_x0000_s1026" o:spt="20" style="position:absolute;left:3746500;top:855344;height:635;width:392430;" filled="f" stroked="t" coordsize="21600,21600" o:gfxdata="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Lm90T1wAAAAUBAAAPAAAAAAAAAAEAIAAA&#10;ACIAAABkcnMvZG93bnJldi54bWxQSwECFAAUAAAACACHTuJA+26Eaw0CAAD4AwAADgAAAAAAAAAB&#10;ACAAAAAmAQAAZHJzL2Uyb0RvYy54bWxQSwUGAAAAAAYABgBZAQAApQUAAAAA&#10;">
                        <v:fill on="f" focussize="0,0"/>
                        <v:stroke color="#000000" joinstyle="round" endarrow="block"/>
                        <v:imagedata o:title=""/>
                        <o:lock v:ext="edit" aspectratio="f"/>
                      </v:line>
                      <v:rect id="_x0000_s1026" o:spid="_x0000_s1026" o:spt="1" style="position:absolute;left:0;top:0;height:254000;width:870585;" fillcolor="#FFFFFF" filled="t" stroked="t" coordsize="21600,21600" o:gfxdata="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OLWtnVAAAABQEAAA8AAAAAAAAAAQAgAAAAIgAAAGRycy9k&#10;b3ducmV2LnhtbFBLAQIUABQAAAAIAIdO4kDHwH7fBQIAACwEAAAOAAAAAAAAAAEAIAAAACQBAABk&#10;cnMvZTJvRG9jLnhtbFBLBQYAAAAABgAGAFkBAACbBQAAAAA=&#10;">
                        <v:fill on="t" focussize="0,0"/>
                        <v:stroke color="#000000" joinstyle="miter"/>
                        <v:imagedata o:title=""/>
                        <o:lock v:ext="edit" aspectratio="f"/>
                        <v:textbox>
                          <w:txbxContent>
                            <w:p>
                              <w:pPr>
                                <w:jc w:val="center"/>
                                <w:rPr>
                                  <w:ins w:id="40" w:author="过客" w:date="2023-04-18T16:03:00Z"/>
                                  <w:rFonts w:hint="eastAsia"/>
                                </w:rPr>
                              </w:pPr>
                              <w:r>
                                <w:rPr>
                                  <w:rFonts w:hint="eastAsia"/>
                                  <w:bCs/>
                                  <w:szCs w:val="21"/>
                                </w:rPr>
                                <w:t>检验室废水</w:t>
                              </w:r>
                              <w:ins w:id="41" w:author="过客" w:date="2023-04-18T16:03:00Z">
                                <w:r>
                                  <w:rPr>
                                    <w:rFonts w:hint="eastAsia"/>
                                  </w:rPr>
                                  <w:t>水</w:t>
                                </w:r>
                              </w:ins>
                            </w:p>
                          </w:txbxContent>
                        </v:textbox>
                      </v:rect>
                      <v:rect id="_x0000_s1026" o:spid="_x0000_s1026" o:spt="1" style="position:absolute;left:1052195;top:12065;height:266700;width:467995;"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fill on="t" focussize="0,0"/>
                        <v:stroke color="#000000" joinstyle="miter"/>
                        <v:imagedata o:title=""/>
                        <o:lock v:ext="edit" aspectratio="f"/>
                        <v:textbox>
                          <w:txbxContent>
                            <w:p>
                              <w:pPr>
                                <w:jc w:val="center"/>
                                <w:rPr>
                                  <w:rFonts w:hint="eastAsia"/>
                                </w:rPr>
                              </w:pPr>
                              <w:r>
                                <w:rPr>
                                  <w:rFonts w:hint="eastAsia"/>
                                </w:rPr>
                                <w:t>中和</w:t>
                              </w:r>
                            </w:p>
                          </w:txbxContent>
                        </v:textbox>
                      </v:rect>
                      <v:rect id="_x0000_s1026" o:spid="_x0000_s1026" o:spt="1" style="position:absolute;left:0;top:1398905;height:266700;width:812800;"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fill on="t" focussize="0,0"/>
                        <v:stroke color="#000000" joinstyle="miter"/>
                        <v:imagedata o:title=""/>
                        <o:lock v:ext="edit" aspectratio="f"/>
                        <v:textbox>
                          <w:txbxContent>
                            <w:p>
                              <w:pPr>
                                <w:jc w:val="center"/>
                                <w:rPr>
                                  <w:rFonts w:hint="eastAsia"/>
                                </w:rPr>
                              </w:pPr>
                              <w:r>
                                <w:rPr>
                                  <w:rFonts w:hint="eastAsia"/>
                                </w:rPr>
                                <w:t>食堂废水</w:t>
                              </w:r>
                            </w:p>
                          </w:txbxContent>
                        </v:textbox>
                      </v:rect>
                      <v:line id="_x0000_s1026" o:spid="_x0000_s1026" o:spt="20" style="position:absolute;left:836930;top:1196339;flip:y;height:2540;width:513080;" filled="f" stroked="t" coordsize="21600,21600" o:gfxdata="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w/NIQNcAAAAFAQAADwAAAAAAAAAB&#10;ACAAAAAiAAAAZHJzL2Rvd25yZXYueG1sUEsBAhQAFAAAAAgAh07iQFZvlLIRAgAAAwQAAA4AAAAA&#10;AAAAAQAgAAAAJgEAAGRycy9lMm9Eb2MueG1sUEsFBgAAAAAGAAYAWQEAAKkFAAAAAA==&#10;">
                        <v:fill on="f" focussize="0,0"/>
                        <v:stroke color="#000000" joinstyle="round" endarrow="block"/>
                        <v:imagedata o:title=""/>
                        <o:lock v:ext="edit" aspectratio="f"/>
                      </v:line>
                      <v:line id="_x0000_s1026" o:spid="_x0000_s1026" o:spt="20" style="position:absolute;left:817880;top:845819;flip:y;height:635;width:525145;" filled="f" stroked="t" coordsize="21600,21600" o:gfxdata="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PzSEDXAAAABQEAAA8AAAAAAAAAAQAg&#10;AAAAIgAAAGRycy9kb3ducmV2LnhtbFBLAQIUABQAAAAIAIdO4kAz2uE5DwIAAAEEAAAOAAAAAAAA&#10;AAEAIAAAACYBAABkcnMvZTJvRG9jLnhtbFBLBQYAAAAABgAGAFkBAACnBQAAAAA=&#10;">
                        <v:fill on="f" focussize="0,0"/>
                        <v:stroke color="#000000" joinstyle="round" endarrow="block"/>
                        <v:imagedata o:title=""/>
                        <o:lock v:ext="edit" aspectratio="f"/>
                      </v:line>
                      <v:line id="_x0000_s1026" o:spid="_x0000_s1026" o:spt="20" style="position:absolute;left:1483995;top:1651635;height:208915;width:6985;" filled="f" stroked="t" coordsize="21600,21600" o:gfxdata="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pou+j1AAAAAUBAAAPAAAAAAAAAAEAIAAAACIA&#10;AABkcnMvZG93bnJldi54bWxQSwECFAAUAAAACACHTuJAKoJz+w0CAAD7AwAADgAAAAAAAAABACAA&#10;AAAjAQAAZHJzL2Uyb0RvYy54bWxQSwUGAAAAAAYABgBZAQAAogUAAAAA&#10;">
                        <v:fill on="f" focussize="0,0"/>
                        <v:stroke color="#000000" joinstyle="round" dashstyle="longDash" endarrow="block"/>
                        <v:imagedata o:title=""/>
                        <o:lock v:ext="edit" aspectratio="f"/>
                      </v:line>
                      <v:line id="_x0000_s1026" o:spid="_x0000_s1026" o:spt="20" style="position:absolute;left:4580255;top:1532255;height:180340;width:6985;" filled="f" stroked="t" coordsize="21600,21600" o:gfxdata="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5vdE9cAAAAFAQAADwAAAAAAAAABACAA&#10;AAAiAAAAZHJzL2Rvd25yZXYueG1sUEsBAhQAFAAAAAgAh07iQEyd6nMOAgAA+gMAAA4AAAAAAAAA&#10;AQAgAAAAJgEAAGRycy9lMm9Eb2MueG1sUEsFBgAAAAAGAAYAWQEAAKYFAAAAAA==&#10;">
                        <v:fill on="f" focussize="0,0"/>
                        <v:stroke color="#000000" joinstyle="round" endarrow="block"/>
                        <v:imagedata o:title=""/>
                        <o:lock v:ext="edit" aspectratio="f"/>
                      </v:line>
                      <v:line id="_x0000_s1026" o:spid="_x0000_s1026" o:spt="20" style="position:absolute;left:2446655;top:865504;flip:y;height:0;width:254000;" filled="f" stroked="t" coordsize="21600,21600" o:gfxdata="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PzSEDXAAAABQEAAA8AAAAAAAAAAQAg&#10;AAAAIgAAAGRycy9kb3ducmV2LnhtbFBLAQIUABQAAAAIAIdO4kBUZPqPDwIAAAAEAAAOAAAAAAAA&#10;AAEAIAAAACYBAABkcnMvZTJvRG9jLnhtbFBLBQYAAAAABgAGAFkBAACnBQAAAAA=&#10;">
                        <v:fill on="f" focussize="0,0"/>
                        <v:stroke color="#000000" joinstyle="round" endarrow="block"/>
                        <v:imagedata o:title=""/>
                        <o:lock v:ext="edit" aspectratio="f"/>
                      </v:line>
                      <v:line id="_x0000_s1026" o:spid="_x0000_s1026" o:spt="20" style="position:absolute;left:1522730;top:1217294;flip:y;height:635;width:844550;" filled="f" stroked="t" coordsize="21600,21600" o:gfxdata="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SIenF0wAAAAUBAAAPAAAAAAAAAAEA&#10;IAAAACIAAABkcnMvZG93bnJldi54bWxQSwECFAAUAAAACACHTuJAodyuFhQCAAACBAAADgAAAAAA&#10;AAABACAAAAAiAQAAZHJzL2Uyb0RvYy54bWxQSwUGAAAAAAYABgBZAQAAqAUAAAAA&#10;">
                        <v:fill on="f" focussize="0,0"/>
                        <v:stroke color="#000000" joinstyle="round" dashstyle="dash" endarrow="block"/>
                        <v:imagedata o:title=""/>
                        <o:lock v:ext="edit" aspectratio="f"/>
                      </v:line>
                      <v:line id="_x0000_s1026" o:spid="_x0000_s1026" o:spt="20" style="position:absolute;left:1469390;top:1257299;flip:x y;height:153035;width:3175;" filled="f" stroked="t" coordsize="21600,21600" o:gfxdata="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LSQxttYAAAAFAQAADwAAAAAA&#10;AAABACAAAAAiAAAAZHJzL2Rvd25yZXYueG1sUEsBAhQAFAAAAAgAh07iQK7b+4QVAgAADgQAAA4A&#10;AAAAAAAAAQAgAAAAJQEAAGRycy9lMm9Eb2MueG1sUEsFBgAAAAAGAAYAWQEAAKwFAAAAAA==&#10;">
                        <v:fill on="f" focussize="0,0"/>
                        <v:stroke color="#000000" joinstyle="round" endarrow="block"/>
                        <v:imagedata o:title=""/>
                        <o:lock v:ext="edit" aspectratio="f"/>
                      </v:line>
                      <v:rect id="_x0000_s1026" o:spid="_x0000_s1026" o:spt="1" style="position:absolute;left:2713355;top:722630;height:254000;width:1028700;"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fill on="t" focussize="0,0"/>
                        <v:stroke color="#000000" joinstyle="miter"/>
                        <v:imagedata o:title=""/>
                        <o:lock v:ext="edit" aspectratio="f"/>
                        <v:textbox>
                          <w:txbxContent>
                            <w:p>
                              <w:pPr>
                                <w:jc w:val="center"/>
                                <w:rPr>
                                  <w:rFonts w:hint="eastAsia"/>
                                </w:rPr>
                              </w:pPr>
                              <w:r>
                                <w:rPr>
                                  <w:rFonts w:hint="eastAsia"/>
                                </w:rPr>
                                <w:t>调节沉淀池</w:t>
                              </w:r>
                            </w:p>
                          </w:txbxContent>
                        </v:textbox>
                      </v:rect>
                      <v:rect id="_x0000_s1026" o:spid="_x0000_s1026" o:spt="1" style="position:absolute;left:1922780;top:722630;height:254000;width:504190;"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fill on="t" focussize="0,0"/>
                        <v:stroke color="#000000" joinstyle="miter"/>
                        <v:imagedata o:title=""/>
                        <o:lock v:ext="edit" aspectratio="f"/>
                        <v:textbox>
                          <w:txbxContent>
                            <w:p>
                              <w:pPr>
                                <w:jc w:val="center"/>
                                <w:rPr>
                                  <w:rFonts w:hint="eastAsia"/>
                                </w:rPr>
                              </w:pPr>
                              <w:r>
                                <w:rPr>
                                  <w:rFonts w:hint="eastAsia"/>
                                </w:rPr>
                                <w:t>格栅</w:t>
                              </w:r>
                            </w:p>
                          </w:txbxContent>
                        </v:textbox>
                      </v:rect>
                      <v:rect id="_x0000_s1026" o:spid="_x0000_s1026" o:spt="1" style="position:absolute;left:1254125;top:1863090;height:254000;width:609600;"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fill on="t" focussize="0,0"/>
                        <v:stroke color="#000000" joinstyle="miter"/>
                        <v:imagedata o:title=""/>
                        <o:lock v:ext="edit" aspectratio="f"/>
                        <v:textbox>
                          <w:txbxContent>
                            <w:p>
                              <w:pPr>
                                <w:jc w:val="center"/>
                                <w:rPr>
                                  <w:rFonts w:hint="eastAsia"/>
                                </w:rPr>
                              </w:pPr>
                              <w:r>
                                <w:rPr>
                                  <w:rFonts w:hint="eastAsia"/>
                                </w:rPr>
                                <w:t>废油渣</w:t>
                              </w:r>
                            </w:p>
                          </w:txbxContent>
                        </v:textbox>
                      </v:rect>
                      <v:rect id="_x0000_s1026" o:spid="_x0000_s1026" o:spt="1" style="position:absolute;left:2399030;top:1151254;height:254000;width:904875;"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fill on="t" focussize="0,0"/>
                        <v:stroke color="#000000" joinstyle="miter"/>
                        <v:imagedata o:title=""/>
                        <o:lock v:ext="edit" aspectratio="f"/>
                        <v:textbox>
                          <w:txbxContent>
                            <w:p>
                              <w:pPr>
                                <w:jc w:val="center"/>
                                <w:rPr>
                                  <w:rFonts w:hint="eastAsia"/>
                                </w:rPr>
                              </w:pPr>
                              <w:r>
                                <w:rPr>
                                  <w:rFonts w:hint="eastAsia"/>
                                </w:rPr>
                                <w:t>污泥浓缩池</w:t>
                              </w:r>
                            </w:p>
                          </w:txbxContent>
                        </v:textbox>
                      </v:rect>
                      <v:line id="_x0000_s1026" o:spid="_x0000_s1026" o:spt="20" style="position:absolute;left:3313430;top:1351914;flip:x;height:8255;width:943610;" filled="f" stroked="t" coordsize="21600,21600" o:gfxdata="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BIh6cXTAAAABQEAAA8AAAAAAAAA&#10;AQAgAAAAIgAAAGRycy9kb3ducmV2LnhtbFBLAQIUABQAAAAIAIdO4kDpWeDTFgIAAAMEAAAOAAAA&#10;AAAAAAEAIAAAACIBAABkcnMvZTJvRG9jLnhtbFBLBQYAAAAABgAGAFkBAACqBQAAAAA=&#10;">
                        <v:fill on="f" focussize="0,0"/>
                        <v:stroke color="#000000" joinstyle="round" dashstyle="dash" endarrow="block"/>
                        <v:imagedata o:title=""/>
                        <o:lock v:ext="edit" aspectratio="f"/>
                      </v:line>
                      <v:line id="_x0000_s1026" o:spid="_x0000_s1026" o:spt="20" style="position:absolute;left:3170555;top:979804;height:189865;width:635;" filled="f" stroked="t" coordsize="21600,21600" o:gfxdata="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TIzvN9gAAAAFAQAADwAAAAAAAAABACAA&#10;AAAiAAAAZHJzL2Rvd25yZXYueG1sUEsBAhQAFAAAAAgAh07iQGt1pl0NAgAA9wMAAA4AAAAAAAAA&#10;AQAgAAAAJwEAAGRycy9lMm9Eb2MueG1sUEsFBgAAAAAGAAYAWQEAAKYFAAAAAA==&#10;">
                        <v:fill on="f" focussize="0,0"/>
                        <v:stroke color="#000000" joinstyle="round" dashstyle="dash" endarrow="block"/>
                        <v:imagedata o:title=""/>
                        <o:lock v:ext="edit" aspectratio="f"/>
                      </v:line>
                      <v:rect id="_x0000_s1026" o:spid="_x0000_s1026" o:spt="1" style="position:absolute;left:4265930;top:1284604;height:254000;width:609600;"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fill on="t" focussize="0,0"/>
                        <v:stroke color="#000000" joinstyle="miter"/>
                        <v:imagedata o:title=""/>
                        <o:lock v:ext="edit" aspectratio="f"/>
                        <v:textbox>
                          <w:txbxContent>
                            <w:p>
                              <w:pPr>
                                <w:jc w:val="center"/>
                                <w:rPr>
                                  <w:rFonts w:hint="eastAsia"/>
                                </w:rPr>
                              </w:pPr>
                              <w:r>
                                <w:rPr>
                                  <w:rFonts w:hint="eastAsia"/>
                                </w:rPr>
                                <w:t>二沉池</w:t>
                              </w:r>
                            </w:p>
                          </w:txbxContent>
                        </v:textbox>
                      </v:rect>
                      <v:line id="_x0000_s1026" o:spid="_x0000_s1026" o:spt="20" style="position:absolute;left:4580255;top:1084579;height:203200;width:0;" filled="f" stroked="t" coordsize="21600,21600" o:gfxdata="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&#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ub3RPXAAAABQEAAA8AAAAAAAAAAQAgAAAAIgAAAGRy&#10;cy9kb3ducmV2LnhtbFBLAQIUABQAAAAIAIdO4kCKPqCmBgIAAPcDAAAOAAAAAAAAAAEAIAAAACYB&#10;AABkcnMvZTJvRG9jLnhtbFBLBQYAAAAABgAGAFkBAACeBQAAAAA=&#10;">
                        <v:fill on="f" focussize="0,0"/>
                        <v:stroke color="#000000" joinstyle="round" endarrow="block"/>
                        <v:imagedata o:title=""/>
                        <o:lock v:ext="edit" aspectratio="f"/>
                      </v:line>
                      <v:rect id="_x0000_s1026" o:spid="_x0000_s1026" o:spt="1" style="position:absolute;left:2513330;top:1637030;height:254000;width:609600;"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fill on="t" focussize="0,0"/>
                        <v:stroke color="#000000" joinstyle="miter"/>
                        <v:imagedata o:title=""/>
                        <o:lock v:ext="edit" aspectratio="f"/>
                        <v:textbox>
                          <w:txbxContent>
                            <w:p>
                              <w:pPr>
                                <w:jc w:val="center"/>
                                <w:rPr>
                                  <w:rFonts w:hint="eastAsia"/>
                                </w:rPr>
                              </w:pPr>
                              <w:r>
                                <w:rPr>
                                  <w:rFonts w:hint="eastAsia"/>
                                </w:rPr>
                                <w:t>污泥泵</w:t>
                              </w:r>
                            </w:p>
                          </w:txbxContent>
                        </v:textbox>
                      </v:rect>
                      <v:line id="_x0000_s1026" o:spid="_x0000_s1026" o:spt="20" style="position:absolute;left:2846705;top:1894205;height:403225;width:635;" filled="f" stroked="t" coordsize="21600,21600" o:gfxdata="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Omi76PUAAAABQEAAA8AAAAAAAAAAQAgAAAA&#10;IgAAAGRycy9kb3ducmV2LnhtbFBLAQIUABQAAAAIAIdO4kAXY5jPDwIAAPoDAAAOAAAAAAAAAAEA&#10;IAAAACMBAABkcnMvZTJvRG9jLnhtbFBLBQYAAAAABgAGAFkBAACkBQAAAAA=&#10;">
                        <v:fill on="f" focussize="0,0"/>
                        <v:stroke color="#000000" joinstyle="round" dashstyle="longDash" endarrow="block"/>
                        <v:imagedata o:title=""/>
                        <o:lock v:ext="edit" aspectratio="f"/>
                      </v:line>
                      <v:line id="_x0000_s1026" o:spid="_x0000_s1026" o:spt="20" style="position:absolute;left:2837180;top:1417955;height:203200;width:0;" filled="f" stroked="t" coordsize="21600,21600" o:gfxdata="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6aLvo9QAAAAFAQAADwAAAAAAAAABACAAAAAiAAAA&#10;ZHJzL2Rvd25yZXYueG1sUEsBAhQAFAAAAAgAh07iQF25VbsLAgAA+AMAAA4AAAAAAAAAAQAgAAAA&#10;IwEAAGRycy9lMm9Eb2MueG1sUEsFBgAAAAAGAAYAWQEAAKAFAAAAAA==&#10;">
                        <v:fill on="f" focussize="0,0"/>
                        <v:stroke color="#000000" joinstyle="round" dashstyle="longDash" endarrow="block"/>
                        <v:imagedata o:title=""/>
                        <o:lock v:ext="edit" aspectratio="f"/>
                      </v:line>
                      <v:rect id="_x0000_s1026" o:spid="_x0000_s1026" o:spt="1" style="position:absolute;left:4123055;top:1694180;height:254000;width:924560;"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fill on="t" focussize="0,0"/>
                        <v:stroke color="#000000" joinstyle="miter"/>
                        <v:imagedata o:title=""/>
                        <o:lock v:ext="edit" aspectratio="f"/>
                        <v:textbox>
                          <w:txbxContent>
                            <w:p>
                              <w:pPr>
                                <w:jc w:val="center"/>
                                <w:rPr>
                                  <w:rFonts w:hint="eastAsia"/>
                                </w:rPr>
                              </w:pPr>
                              <w:r>
                                <w:rPr>
                                  <w:rFonts w:hint="eastAsia"/>
                                </w:rPr>
                                <w:t>接触消毒池</w:t>
                              </w:r>
                            </w:p>
                          </w:txbxContent>
                        </v:textbox>
                      </v:rect>
                      <v:line id="_x0000_s1026" o:spid="_x0000_s1026" o:spt="20" style="position:absolute;left:3865880;top:1818005;flip:y;height:0;width:254000;" filled="f" stroked="t" coordsize="21600,21600" o:gfxdata="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w/NIQNcAAAAFAQAADwAAAAAAAAAB&#10;ACAAAAAiAAAAZHJzL2Rvd25yZXYueG1sUEsBAhQAFAAAAAgAh07iQD8FfzURAgAAAQQAAA4AAAAA&#10;AAAAAQAgAAAAJgEAAGRycy9lMm9Eb2MueG1sUEsFBgAAAAAGAAYAWQEAAKkFAAAAAA==&#10;">
                        <v:fill on="f" focussize="0,0"/>
                        <v:stroke color="#000000" joinstyle="round" endarrow="block"/>
                        <v:imagedata o:title=""/>
                        <o:lock v:ext="edit" aspectratio="f"/>
                      </v:line>
                      <v:rect id="_x0000_s1026" o:spid="_x0000_s1026" o:spt="1" style="position:absolute;left:3342005;top:1446530;height:758824;width:551815;"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fill on="t" focussize="0,0"/>
                        <v:stroke color="#000000" joinstyle="miter"/>
                        <v:imagedata o:title=""/>
                        <o:lock v:ext="edit" aspectratio="f"/>
                        <v:textbox>
                          <w:txbxContent>
                            <w:p>
                              <w:pPr>
                                <w:jc w:val="center"/>
                                <w:rPr>
                                  <w:rFonts w:hint="eastAsia"/>
                                </w:rPr>
                              </w:pPr>
                              <w:r>
                                <w:rPr>
                                  <w:rFonts w:hint="eastAsia"/>
                                </w:rPr>
                                <w:t>二氧化氯发生器</w:t>
                              </w:r>
                            </w:p>
                          </w:txbxContent>
                        </v:textbox>
                      </v:rect>
                      <v:line id="_x0000_s1026" o:spid="_x0000_s1026" o:spt="20" style="position:absolute;left:4599305;top:1951355;height:203200;width:0;" filled="f" stroked="t" coordsize="21600,21600" o:gfxdata="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C5vdE9cAAAAFAQAADwAAAAAAAAABACAAAAAiAAAA&#10;ZHJzL2Rvd25yZXYueG1sUEsBAhQAFAAAAAgAh07iQPSpZm8IAgAA9wMAAA4AAAAAAAAAAQAgAAAA&#10;JgEAAGRycy9lMm9Eb2MueG1sUEsFBgAAAAAGAAYAWQEAAKAFAAAAAA==&#10;">
                        <v:fill on="f" focussize="0,0"/>
                        <v:stroke color="#000000" joinstyle="round" endarrow="block"/>
                        <v:imagedata o:title=""/>
                        <o:lock v:ext="edit" aspectratio="f"/>
                      </v:line>
                      <v:rect id="_x0000_s1026" o:spid="_x0000_s1026" o:spt="1" style="position:absolute;left:2389505;top:2284729;height:419100;width:869950;" filled="f" stroked="t" coordsize="21600,21600" o:gfxdata="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GpnTf9UAAAAFAQAADwAAAAAAAAABACAAAAAiAAAA&#10;ZHJzL2Rvd25yZXYueG1sUEsBAhQAFAAAAAgAh07iQEFnYbMKAgAADwQAAA4AAAAAAAAAAQAgAAAA&#10;JAEAAGRycy9lMm9Eb2MueG1sUEsFBgAAAAAGAAYAWQEAAKAFAAAAAA==&#10;">
                        <v:fill on="f" focussize="0,0"/>
                        <v:stroke color="#000000" joinstyle="miter"/>
                        <v:imagedata o:title=""/>
                        <o:lock v:ext="edit" aspectratio="f"/>
                        <v:textbox>
                          <w:txbxContent>
                            <w:p>
                              <w:pPr>
                                <w:jc w:val="center"/>
                              </w:pPr>
                              <w:r>
                                <w:rPr>
                                  <w:rFonts w:hint="eastAsia"/>
                                </w:rPr>
                                <w:t>有资质单位收集处理</w:t>
                              </w:r>
                            </w:p>
                          </w:txbxContent>
                        </v:textbox>
                      </v:rect>
                      <v:line id="_x0000_s1026" o:spid="_x0000_s1026" o:spt="20" style="position:absolute;left:1388745;top:2126615;height:314325;width:635;" filled="f" stroked="t" coordsize="21600,21600" o:gfxdata="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xUZX60wAAAAUBAAAPAAAAAAAAAAEAIAAAACIAAABkcnMvZG93&#10;bnJldi54bWxQSwECFAAUAAAACACHTuJAR3cdYAUCAAD2AwAADgAAAAAAAAABACAAAAAiAQAAZHJz&#10;L2Uyb0RvYy54bWxQSwUGAAAAAAYABgBZAQAAmQUAAAAA&#10;">
                        <v:fill on="f" focussize="0,0"/>
                        <v:stroke color="#000000" joinstyle="round" dashstyle="longDash"/>
                        <v:imagedata o:title=""/>
                        <o:lock v:ext="edit" aspectratio="f"/>
                      </v:line>
                      <v:line id="_x0000_s1026" o:spid="_x0000_s1026" o:spt="20" style="position:absolute;left:1388745;top:2440939;height:635;width:1009650;" filled="f" stroked="t" coordsize="21600,21600" o:gfxdata="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6aLvo9QAAAAFAQAADwAAAAAAAAABACAAAAAiAAAA&#10;ZHJzL2Rvd25yZXYueG1sUEsBAhQAFAAAAAgAh07iQNyVQgsLAgAA+wMAAA4AAAAAAAAAAQAgAAAA&#10;IwEAAGRycy9lMm9Eb2MueG1sUEsFBgAAAAAGAAYAWQEAAKAFAAAAAA==&#10;">
                        <v:fill on="f" focussize="0,0"/>
                        <v:stroke color="#000000" joinstyle="round" dashstyle="longDash" endarrow="block"/>
                        <v:imagedata o:title=""/>
                        <o:lock v:ext="edit" aspectratio="f"/>
                      </v:line>
                      <v:rect id="_x0000_s1026" o:spid="_x0000_s1026" o:spt="1" style="position:absolute;left:1346200;top:460375;height:795019;width:282575;" fillcolor="#FFFFFF" filled="t" stroked="t" coordsize="21600,21600" o:gfxdata="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Di1rZ1QAAAAUBAAAPAAAAAAAAAAEAIAAA&#10;ACIAAABkcnMvZG93bnJldi54bWxQSwECFAAUAAAACACHTuJA0B2gfQ8CAAA3BAAADgAAAAAAAAAB&#10;ACAAAAAkAQAAZHJzL2Uyb0RvYy54bWxQSwUGAAAAAAYABgBZAQAApQUAAAAA&#10;">
                        <v:fill on="t" focussize="0,0"/>
                        <v:stroke color="#000000" joinstyle="miter"/>
                        <v:imagedata o:title=""/>
                        <o:lock v:ext="edit" aspectratio="f"/>
                        <v:textbox>
                          <w:txbxContent>
                            <w:p>
                              <w:pPr>
                                <w:jc w:val="center"/>
                              </w:pPr>
                              <w:r>
                                <w:rPr>
                                  <w:rFonts w:hint="eastAsia"/>
                                </w:rPr>
                                <w:t>化粪池</w:t>
                              </w:r>
                            </w:p>
                          </w:txbxContent>
                        </v:textbox>
                      </v:rect>
                      <w10:wrap type="none"/>
                      <w10:anchorlock/>
                    </v:group>
                  </w:pict>
                </mc:Fallback>
              </mc:AlternateContent>
            </w:r>
          </w:p>
          <w:p>
            <w:pPr>
              <w:pStyle w:val="165"/>
              <w:spacing w:line="240" w:lineRule="auto"/>
              <w:rPr>
                <w:rFonts w:hint="eastAsia"/>
              </w:rPr>
            </w:pPr>
            <w:r>
              <w:rPr>
                <w:rFonts w:hint="default"/>
                <w:b/>
                <w:bCs/>
                <w:sz w:val="21"/>
                <w:szCs w:val="21"/>
              </w:rPr>
              <w:t>图4-</w:t>
            </w:r>
            <w:r>
              <w:rPr>
                <w:rFonts w:hint="eastAsia"/>
                <w:b/>
                <w:bCs/>
                <w:szCs w:val="21"/>
              </w:rPr>
              <w:t>2</w:t>
            </w:r>
            <w:r>
              <w:rPr>
                <w:rFonts w:hint="default"/>
                <w:b/>
                <w:bCs/>
                <w:sz w:val="21"/>
                <w:szCs w:val="21"/>
              </w:rPr>
              <w:t xml:space="preserve"> </w:t>
            </w:r>
            <w:r>
              <w:rPr>
                <w:b/>
                <w:bCs/>
                <w:szCs w:val="21"/>
              </w:rPr>
              <w:t>项目</w:t>
            </w:r>
            <w:r>
              <w:rPr>
                <w:rFonts w:hint="eastAsia"/>
                <w:b/>
                <w:bCs/>
                <w:szCs w:val="21"/>
                <w:lang w:eastAsia="zh-CN"/>
              </w:rPr>
              <w:t>现有</w:t>
            </w:r>
            <w:r>
              <w:rPr>
                <w:rFonts w:hint="eastAsia"/>
                <w:b/>
                <w:bCs/>
                <w:szCs w:val="21"/>
              </w:rPr>
              <w:t>污水处理站</w:t>
            </w:r>
            <w:r>
              <w:rPr>
                <w:b/>
                <w:bCs/>
                <w:szCs w:val="21"/>
              </w:rPr>
              <w:t>工艺流程图</w:t>
            </w:r>
          </w:p>
          <w:p>
            <w:pPr>
              <w:pStyle w:val="72"/>
              <w:ind w:firstLine="482"/>
              <w:rPr>
                <w:rFonts w:hint="eastAsia"/>
                <w:b/>
                <w:bCs/>
              </w:rPr>
            </w:pPr>
            <w:r>
              <w:rPr>
                <w:rFonts w:hint="eastAsia"/>
                <w:b/>
                <w:bCs/>
              </w:rPr>
              <w:t>工艺流程说明：</w:t>
            </w:r>
          </w:p>
          <w:p>
            <w:pPr>
              <w:pStyle w:val="72"/>
              <w:ind w:firstLine="480"/>
              <w:rPr>
                <w:rFonts w:hint="eastAsia"/>
              </w:rPr>
            </w:pPr>
            <w:r>
              <w:rPr>
                <w:rFonts w:hint="eastAsia"/>
              </w:rPr>
              <w:t>食堂废水经隔油池处理后和生活污水、洗涤废水</w:t>
            </w:r>
            <w:r>
              <w:rPr>
                <w:rFonts w:hint="eastAsia"/>
                <w:lang w:eastAsia="zh-CN"/>
              </w:rPr>
              <w:t>、医疗废水</w:t>
            </w:r>
            <w:r>
              <w:rPr>
                <w:rFonts w:hint="eastAsia"/>
              </w:rPr>
              <w:t>一起进入化粪池处理后，进入调节池。医院污染水的水质、水量波动很大，必须通过调节池对水质、水量进行调节，以保证后续单元连续、稳定的运行；再经污水泵提升至调节池，池内悬挂弹性填料，促进污水中部分有机污染的水解、酸化，从而使大分子有机物转化为易于好氧处理的小分子有机物。经过调节池后的污水流至生物接触氧化池，而后，污水中所含绝大部分有机物得到充分降解，然而污水中还含有少量老化、脱落的生物膜碎片、悬浮物、小颗粒等污物，还需进行固液分离，所以，生物接触氧化池的出水又自流进入二沉池进行净化处理。净化后的水，再进入消毒池消毒灭菌，经脱氯井脱氯，最后经排放口外排。</w:t>
            </w:r>
          </w:p>
          <w:p>
            <w:pPr>
              <w:pStyle w:val="72"/>
              <w:ind w:firstLine="480"/>
              <w:rPr>
                <w:rFonts w:hint="eastAsia"/>
              </w:rPr>
            </w:pPr>
            <w:r>
              <w:rPr>
                <w:rFonts w:hint="eastAsia"/>
              </w:rPr>
              <w:t>生物接触氧化池采用射流曝气方式。射流曝气是水泵工作后产生的水流经过喷嘴后形成的高速水流，在混合室内由于喷嘴周围形成负压而吸入空气，空气与高速水流相遇，被撕碎成微气泡与水形成汽水混合液，高速喷射而出。夹带大量气泡的水流在较大范围内，产生强有力的单向液流。射流曝气具有曝气、搅拌、推流等功能，从而使后续处理单元更加稳定、可靠的运行。</w:t>
            </w:r>
          </w:p>
          <w:p>
            <w:pPr>
              <w:pStyle w:val="72"/>
              <w:ind w:firstLine="480"/>
              <w:rPr>
                <w:rFonts w:hint="eastAsia"/>
                <w:lang w:eastAsia="zh-CN"/>
              </w:rPr>
            </w:pPr>
            <w:r>
              <w:rPr>
                <w:rFonts w:hint="eastAsia"/>
              </w:rPr>
              <w:t>污水处理系统为无人自动控制：当调节池水位升至上限水位时，潜水泵自动开启，与此同时，二氧化氯投加系统也同步启动运行；当调节池的水位降至下限水位时，潜水泵自动关机停止运行，与此同时，二氧化氯投加系统均同步关机停止运行。污水处理站采用二氧化氯发生器处理污水，该发生器由供料系统和投加系统及温控系统组成。其原料采用二氧化氯片，经过计量后，进入投料机。调节池、二沉池内的污泥处理，是通过潜污泵抽入污泥干化池，用二氧化氯</w:t>
            </w:r>
            <w:r>
              <w:rPr>
                <w:rFonts w:hint="eastAsia" w:ascii="Times New Roman" w:hAnsi="Times New Roman" w:eastAsia="宋体" w:cs="Times New Roman"/>
                <w:sz w:val="24"/>
                <w:lang w:val="en-US" w:eastAsia="zh-CN" w:bidi="ar-SA"/>
              </w:rPr>
              <w:t>液消毒，滤液排入二沉池，干泥作为医疗废物交由有资质单位收集处置。</w:t>
            </w:r>
          </w:p>
          <w:p>
            <w:pPr>
              <w:pStyle w:val="72"/>
              <w:ind w:firstLine="480"/>
              <w:rPr>
                <w:rFonts w:hint="eastAsia" w:eastAsia="宋体"/>
                <w:lang w:eastAsia="zh-CN"/>
              </w:rPr>
            </w:pPr>
            <w:r>
              <w:rPr>
                <w:rFonts w:hint="eastAsia"/>
                <w:b/>
                <w:bCs/>
                <w:lang w:eastAsia="zh-CN"/>
              </w:rPr>
              <w:t>存在问题：</w:t>
            </w:r>
            <w:r>
              <w:rPr>
                <w:rFonts w:hint="eastAsia"/>
                <w:lang w:eastAsia="zh-CN"/>
              </w:rPr>
              <w:t>废水处理能力不满足扩建后项目废水处理要求。</w:t>
            </w:r>
          </w:p>
          <w:p>
            <w:pPr>
              <w:pStyle w:val="72"/>
              <w:ind w:firstLine="480"/>
              <w:rPr>
                <w:rFonts w:hint="eastAsia" w:eastAsia="宋体"/>
                <w:lang w:val="en-US" w:eastAsia="zh-CN"/>
              </w:rPr>
            </w:pPr>
            <w:r>
              <w:rPr>
                <w:rFonts w:hint="eastAsia"/>
                <w:b/>
                <w:bCs/>
                <w:lang w:eastAsia="zh-CN"/>
              </w:rPr>
              <w:t>本次整改措施：</w:t>
            </w:r>
            <w:r>
              <w:rPr>
                <w:rFonts w:hint="eastAsia"/>
                <w:lang w:eastAsia="zh-CN"/>
              </w:rPr>
              <w:t>本次将空置化粪池投入使用，同时加大消毒药剂的投加量增加院内污水处理的处理能力</w:t>
            </w:r>
            <w:r>
              <w:rPr>
                <w:rFonts w:hint="eastAsia"/>
                <w:lang w:val="en-US" w:eastAsia="zh-CN"/>
              </w:rPr>
              <w:t>。根据</w:t>
            </w:r>
            <w:r>
              <w:rPr>
                <w:rFonts w:hint="eastAsia" w:ascii="Times New Roman" w:hAnsi="Times New Roman" w:eastAsia="宋体" w:cs="Times New Roman"/>
                <w:kern w:val="0"/>
                <w:sz w:val="24"/>
              </w:rPr>
              <w:t>《</w:t>
            </w:r>
            <w:r>
              <w:rPr>
                <w:rFonts w:ascii="Times New Roman" w:hAnsi="Times New Roman" w:eastAsia="宋体" w:cs="Times New Roman"/>
                <w:kern w:val="0"/>
                <w:sz w:val="24"/>
              </w:rPr>
              <w:fldChar w:fldCharType="begin"/>
            </w:r>
            <w:r>
              <w:rPr>
                <w:rFonts w:ascii="Times New Roman" w:hAnsi="Times New Roman" w:eastAsia="宋体" w:cs="Times New Roman"/>
                <w:kern w:val="0"/>
                <w:sz w:val="24"/>
              </w:rPr>
              <w:instrText xml:space="preserve"> HYPERLINK "https://www.mee.gov.cn/ywgz/fgbz/bz/bzwb/pwxk/202003/W020200304706391366827.pdf" </w:instrText>
            </w:r>
            <w:r>
              <w:rPr>
                <w:rFonts w:ascii="Times New Roman" w:hAnsi="Times New Roman" w:eastAsia="宋体" w:cs="Times New Roman"/>
                <w:kern w:val="0"/>
                <w:sz w:val="24"/>
              </w:rPr>
              <w:fldChar w:fldCharType="separate"/>
            </w:r>
            <w:r>
              <w:rPr>
                <w:rFonts w:hint="eastAsia" w:ascii="Times New Roman" w:hAnsi="Times New Roman" w:eastAsia="宋体" w:cs="Times New Roman"/>
                <w:kern w:val="0"/>
                <w:sz w:val="24"/>
              </w:rPr>
              <w:t>排污许可证申请与核发技术规范 医疗机构（HJ 1105—2020）</w:t>
            </w:r>
            <w:r>
              <w:rPr>
                <w:rFonts w:ascii="Times New Roman" w:hAnsi="Times New Roman" w:eastAsia="宋体" w:cs="Times New Roman"/>
                <w:kern w:val="0"/>
                <w:sz w:val="24"/>
              </w:rPr>
              <w:fldChar w:fldCharType="end"/>
            </w:r>
            <w:r>
              <w:rPr>
                <w:rFonts w:hint="eastAsia" w:ascii="Times New Roman" w:hAnsi="Times New Roman" w:eastAsia="宋体" w:cs="Times New Roman"/>
                <w:kern w:val="0"/>
                <w:sz w:val="24"/>
              </w:rPr>
              <w:t>》</w:t>
            </w:r>
            <w:r>
              <w:rPr>
                <w:rFonts w:hint="eastAsia" w:cs="Times New Roman"/>
                <w:kern w:val="0"/>
                <w:sz w:val="24"/>
                <w:lang w:eastAsia="zh-CN"/>
              </w:rPr>
              <w:t>自行监测要求，应在废水排放口处增设流量自动监测设备。</w:t>
            </w:r>
          </w:p>
          <w:p>
            <w:pPr>
              <w:pStyle w:val="72"/>
              <w:ind w:firstLine="480"/>
              <w:rPr>
                <w:rFonts w:hint="default" w:ascii="Times New Roman" w:hAnsi="Times New Roman" w:eastAsia="宋体" w:cs="Times New Roman"/>
                <w:b/>
                <w:bCs/>
                <w:sz w:val="24"/>
                <w:lang w:val="en-US" w:eastAsia="zh-CN" w:bidi="ar-SA"/>
              </w:rPr>
            </w:pPr>
            <w:r>
              <w:rPr>
                <w:rFonts w:hint="eastAsia" w:cs="Times New Roman"/>
                <w:b/>
                <w:bCs/>
                <w:sz w:val="24"/>
                <w:lang w:val="en-US" w:eastAsia="zh-CN" w:bidi="ar-SA"/>
              </w:rPr>
              <w:t>（2）可行性分析</w:t>
            </w:r>
          </w:p>
          <w:p>
            <w:pPr>
              <w:spacing w:line="360" w:lineRule="auto"/>
              <w:ind w:firstLine="480" w:firstLineChars="200"/>
              <w:rPr>
                <w:kern w:val="0"/>
                <w:sz w:val="24"/>
              </w:rPr>
            </w:pPr>
            <w:r>
              <w:rPr>
                <w:rFonts w:hint="eastAsia" w:ascii="宋体" w:hAnsi="宋体" w:cs="宋体"/>
                <w:kern w:val="0"/>
                <w:sz w:val="24"/>
              </w:rPr>
              <w:t>①</w:t>
            </w:r>
            <w:r>
              <w:rPr>
                <w:kern w:val="0"/>
                <w:sz w:val="24"/>
              </w:rPr>
              <w:t>工艺可行性</w:t>
            </w:r>
          </w:p>
          <w:p>
            <w:pPr>
              <w:pStyle w:val="72"/>
              <w:bidi w:val="0"/>
              <w:rPr>
                <w:rFonts w:hint="eastAsia" w:ascii="宋体" w:hAnsi="宋体" w:cs="宋体"/>
                <w:kern w:val="0"/>
                <w:sz w:val="24"/>
              </w:rPr>
            </w:pPr>
            <w:r>
              <w:rPr>
                <w:rFonts w:hint="eastAsia" w:ascii="宋体" w:hAnsi="宋体" w:cs="宋体"/>
                <w:kern w:val="0"/>
                <w:sz w:val="24"/>
                <w:lang w:val="en-US" w:eastAsia="zh-CN"/>
              </w:rPr>
              <w:t>经现场调查，本项目医院设有污水处理站，处理工艺为“二级生化+消毒”，由于污水处理站设计资料不足，具体设计处理能力不详，但</w:t>
            </w:r>
            <w:r>
              <w:rPr>
                <w:rFonts w:hint="eastAsia" w:ascii="Times New Roman" w:hAnsi="Times New Roman" w:eastAsia="宋体" w:cs="Times New Roman"/>
                <w:kern w:val="0"/>
                <w:sz w:val="24"/>
                <w:lang w:eastAsia="zh-CN"/>
              </w:rPr>
              <w:t>根据</w:t>
            </w:r>
            <w:r>
              <w:rPr>
                <w:kern w:val="0"/>
                <w:sz w:val="24"/>
              </w:rPr>
              <w:t>《医院污水处理工程技术规范》（HJ2029-2013）中6.1.3非传染病医院污水，若处理出水直接或间接排入地表水体或海域时，应采用二级处理+消毒工艺或二级处理+深度处理+消毒工艺；若处理出水排入终端已建有正常运行的二级污水处理厂的城市污水管网时，可采用一级强化处理+消毒工艺。本项目属于非传染病医院</w:t>
            </w:r>
            <w:r>
              <w:rPr>
                <w:rFonts w:hint="eastAsia"/>
                <w:kern w:val="0"/>
                <w:sz w:val="24"/>
                <w:lang w:eastAsia="zh-CN"/>
              </w:rPr>
              <w:t>且排入已建成运行的乐山市第三污水处理厂处理</w:t>
            </w:r>
            <w:r>
              <w:rPr>
                <w:rFonts w:ascii="Times New Roman" w:hAnsi="Times New Roman" w:eastAsia="宋体" w:cs="Times New Roman"/>
                <w:kern w:val="0"/>
                <w:sz w:val="24"/>
              </w:rPr>
              <w:t>，</w:t>
            </w:r>
            <w:r>
              <w:rPr>
                <w:rFonts w:hint="eastAsia" w:ascii="Times New Roman" w:hAnsi="Times New Roman" w:eastAsia="宋体" w:cs="Times New Roman"/>
                <w:kern w:val="0"/>
                <w:sz w:val="24"/>
              </w:rPr>
              <w:t>且参照《</w:t>
            </w:r>
            <w:r>
              <w:rPr>
                <w:rFonts w:ascii="Times New Roman" w:hAnsi="Times New Roman" w:eastAsia="宋体" w:cs="Times New Roman"/>
                <w:kern w:val="0"/>
                <w:sz w:val="24"/>
              </w:rPr>
              <w:fldChar w:fldCharType="begin"/>
            </w:r>
            <w:r>
              <w:rPr>
                <w:rFonts w:ascii="Times New Roman" w:hAnsi="Times New Roman" w:eastAsia="宋体" w:cs="Times New Roman"/>
                <w:kern w:val="0"/>
                <w:sz w:val="24"/>
              </w:rPr>
              <w:instrText xml:space="preserve"> HYPERLINK "https://www.mee.gov.cn/ywgz/fgbz/bz/bzwb/pwxk/202003/W020200304706391366827.pdf" </w:instrText>
            </w:r>
            <w:r>
              <w:rPr>
                <w:rFonts w:ascii="Times New Roman" w:hAnsi="Times New Roman" w:eastAsia="宋体" w:cs="Times New Roman"/>
                <w:kern w:val="0"/>
                <w:sz w:val="24"/>
              </w:rPr>
              <w:fldChar w:fldCharType="separate"/>
            </w:r>
            <w:r>
              <w:rPr>
                <w:rFonts w:hint="eastAsia" w:ascii="Times New Roman" w:hAnsi="Times New Roman" w:eastAsia="宋体" w:cs="Times New Roman"/>
                <w:kern w:val="0"/>
                <w:sz w:val="24"/>
              </w:rPr>
              <w:t>排污许可证申请与核发技术规范 医疗机构（HJ 1105—2020）</w:t>
            </w:r>
            <w:r>
              <w:rPr>
                <w:rFonts w:ascii="Times New Roman" w:hAnsi="Times New Roman" w:eastAsia="宋体" w:cs="Times New Roman"/>
                <w:kern w:val="0"/>
                <w:sz w:val="24"/>
              </w:rPr>
              <w:fldChar w:fldCharType="end"/>
            </w:r>
            <w:r>
              <w:rPr>
                <w:rFonts w:hint="eastAsia" w:ascii="Times New Roman" w:hAnsi="Times New Roman" w:eastAsia="宋体" w:cs="Times New Roman"/>
                <w:kern w:val="0"/>
                <w:sz w:val="24"/>
              </w:rPr>
              <w:t>》</w:t>
            </w:r>
            <w:r>
              <w:rPr>
                <w:rFonts w:hint="eastAsia" w:cs="Times New Roman"/>
                <w:kern w:val="0"/>
                <w:sz w:val="24"/>
                <w:lang w:eastAsia="zh-CN"/>
              </w:rPr>
              <w:t>，</w:t>
            </w:r>
            <w:r>
              <w:rPr>
                <w:rFonts w:hint="eastAsia" w:cs="Times New Roman"/>
                <w:kern w:val="0"/>
                <w:sz w:val="24"/>
                <w:lang w:val="en-US" w:eastAsia="zh-CN"/>
              </w:rPr>
              <w:t>仅设置</w:t>
            </w:r>
            <w:r>
              <w:rPr>
                <w:rFonts w:hint="eastAsia" w:ascii="Times New Roman" w:hAnsi="Times New Roman" w:eastAsia="宋体" w:cs="Times New Roman"/>
                <w:kern w:val="0"/>
                <w:sz w:val="24"/>
                <w:lang w:eastAsia="zh-CN"/>
              </w:rPr>
              <w:t>“</w:t>
            </w:r>
            <w:r>
              <w:rPr>
                <w:rFonts w:hint="eastAsia" w:cs="Times New Roman"/>
                <w:kern w:val="0"/>
                <w:sz w:val="24"/>
                <w:lang w:val="en-US" w:eastAsia="zh-CN"/>
              </w:rPr>
              <w:t>化粪池</w:t>
            </w:r>
            <w:r>
              <w:rPr>
                <w:rFonts w:hint="eastAsia" w:ascii="Times New Roman" w:hAnsi="Times New Roman" w:eastAsia="宋体" w:cs="Times New Roman"/>
                <w:kern w:val="0"/>
                <w:sz w:val="24"/>
                <w:lang w:val="en-US" w:eastAsia="zh-CN"/>
              </w:rPr>
              <w:t>+消毒</w:t>
            </w:r>
            <w:r>
              <w:rPr>
                <w:rFonts w:hint="eastAsia" w:ascii="Times New Roman" w:hAnsi="Times New Roman" w:eastAsia="宋体" w:cs="Times New Roman"/>
                <w:kern w:val="0"/>
                <w:sz w:val="24"/>
                <w:lang w:eastAsia="zh-CN"/>
              </w:rPr>
              <w:t>”</w:t>
            </w:r>
            <w:r>
              <w:rPr>
                <w:rFonts w:hint="eastAsia" w:cs="Times New Roman"/>
                <w:kern w:val="0"/>
                <w:sz w:val="24"/>
                <w:lang w:val="en-US" w:eastAsia="zh-CN"/>
              </w:rPr>
              <w:t>是</w:t>
            </w:r>
            <w:r>
              <w:rPr>
                <w:rFonts w:hint="eastAsia" w:ascii="Times New Roman" w:hAnsi="Times New Roman" w:eastAsia="宋体" w:cs="Times New Roman"/>
                <w:kern w:val="0"/>
                <w:sz w:val="24"/>
              </w:rPr>
              <w:t>可行</w:t>
            </w:r>
            <w:r>
              <w:rPr>
                <w:rFonts w:hint="eastAsia" w:cs="Times New Roman"/>
                <w:kern w:val="0"/>
                <w:sz w:val="24"/>
                <w:lang w:val="en-US" w:eastAsia="zh-CN"/>
              </w:rPr>
              <w:t>的</w:t>
            </w:r>
            <w:r>
              <w:rPr>
                <w:rFonts w:hint="eastAsia" w:ascii="宋体" w:hAnsi="宋体" w:cs="宋体"/>
                <w:kern w:val="0"/>
                <w:sz w:val="24"/>
              </w:rPr>
              <w:t>。</w:t>
            </w:r>
          </w:p>
          <w:p>
            <w:pPr>
              <w:pStyle w:val="72"/>
              <w:bidi w:val="0"/>
              <w:rPr>
                <w:rFonts w:hint="default" w:ascii="Times New Roman" w:hAnsi="Times New Roman" w:eastAsia="宋体" w:cs="Times New Roman"/>
                <w:kern w:val="0"/>
                <w:sz w:val="24"/>
                <w:lang w:val="en-US" w:eastAsia="zh-CN"/>
              </w:rPr>
            </w:pPr>
            <w:r>
              <w:rPr>
                <w:rFonts w:hint="eastAsia" w:ascii="宋体" w:hAnsi="宋体" w:cs="宋体"/>
                <w:kern w:val="0"/>
                <w:sz w:val="24"/>
                <w:lang w:val="en-US" w:eastAsia="zh-CN"/>
              </w:rPr>
              <w:t>本</w:t>
            </w:r>
            <w:r>
              <w:rPr>
                <w:rFonts w:hint="eastAsia" w:ascii="Times New Roman" w:hAnsi="Times New Roman" w:eastAsia="宋体" w:cs="Times New Roman"/>
                <w:kern w:val="0"/>
                <w:sz w:val="24"/>
                <w:lang w:val="en-US" w:eastAsia="zh-CN"/>
              </w:rPr>
              <w:t>项目扩建后共有3座化粪池投入使用，加大消毒设施消毒能力，，能够满足本院的污水处理需求，</w:t>
            </w:r>
            <w:r>
              <w:rPr>
                <w:rFonts w:hint="eastAsia" w:cs="Times New Roman"/>
                <w:kern w:val="0"/>
                <w:sz w:val="24"/>
                <w:lang w:val="en-US" w:eastAsia="zh-CN"/>
              </w:rPr>
              <w:t>建成后根据监测数据是否满足水质要求，若满足则不需整改，若不满足则根据监测数据调整消毒设施的消毒能力。</w:t>
            </w:r>
          </w:p>
          <w:p>
            <w:pPr>
              <w:pStyle w:val="72"/>
              <w:bidi w:val="0"/>
            </w:pPr>
            <w:r>
              <w:rPr>
                <w:rFonts w:hint="eastAsia" w:ascii="宋体" w:hAnsi="宋体" w:cs="宋体"/>
                <w:kern w:val="0"/>
                <w:sz w:val="24"/>
              </w:rPr>
              <w:t>②</w:t>
            </w:r>
            <w:r>
              <w:rPr>
                <w:rFonts w:hint="eastAsia"/>
              </w:rPr>
              <w:t>综合废水处理可行性分析</w:t>
            </w:r>
          </w:p>
          <w:p>
            <w:pPr>
              <w:pStyle w:val="72"/>
              <w:bidi w:val="0"/>
            </w:pPr>
            <w:r>
              <w:rPr>
                <w:rFonts w:hint="eastAsia"/>
              </w:rPr>
              <w:t>污水在化粪池中进行水解酸化反应，停留时间大于36h，污水中COD等污染物去除率约为20%～30%，项目污水处理站处理工艺为地埋式一体化生化处理工艺，具有良好的污染物去除率及消毒效果。根据同类工程处理效果分析，本工艺总体流程CODCr去除率85%、BOD</w:t>
            </w:r>
            <w:r>
              <w:rPr>
                <w:rFonts w:hint="eastAsia"/>
                <w:vertAlign w:val="subscript"/>
              </w:rPr>
              <w:t>5</w:t>
            </w:r>
            <w:r>
              <w:rPr>
                <w:rFonts w:hint="eastAsia"/>
              </w:rPr>
              <w:t>去除率85%、氨氮去除率60%、SS去除率90%，在消毒接触池中，只要消毒剂按时按量投加，并在出水口进行余氯监测（余氯控制在3～10mg/L），处理后的废水能满足《医疗机构水污染物排放标准》（GB18466-2005）</w:t>
            </w:r>
            <w:r>
              <w:rPr>
                <w:rFonts w:hint="eastAsia"/>
                <w:lang w:eastAsia="zh-CN"/>
              </w:rPr>
              <w:t>预处理</w:t>
            </w:r>
            <w:r>
              <w:rPr>
                <w:rFonts w:hint="eastAsia"/>
              </w:rPr>
              <w:t>排放标准的要求。</w:t>
            </w:r>
          </w:p>
          <w:p>
            <w:pPr>
              <w:pStyle w:val="72"/>
              <w:ind w:firstLine="480"/>
              <w:rPr>
                <w:rFonts w:hint="eastAsia"/>
                <w:b/>
                <w:bCs/>
              </w:rPr>
            </w:pPr>
            <w:r>
              <w:rPr>
                <w:rFonts w:hint="eastAsia"/>
              </w:rPr>
              <w:t>根据乐山三友室内空气监测服务有限责任公司2022年7月对院内污水处理站排放口水质的监测报告，各监测因子监测值均满足达到《医疗机构水污染物排放标准》（GB1846-2005）表2中预处理标准限值要求。</w:t>
            </w:r>
            <w:r>
              <w:rPr>
                <w:rFonts w:hint="eastAsia"/>
                <w:b/>
                <w:bCs/>
              </w:rPr>
              <w:t>因此，本项目依托院内原有污水处理站可行</w:t>
            </w:r>
            <w:r>
              <w:rPr>
                <w:rFonts w:hint="eastAsia"/>
                <w:b/>
                <w:bCs/>
                <w:lang w:eastAsia="zh-CN"/>
              </w:rPr>
              <w:t>，无需整改</w:t>
            </w:r>
            <w:r>
              <w:rPr>
                <w:rFonts w:hint="eastAsia"/>
                <w:b/>
                <w:bCs/>
              </w:rPr>
              <w:t>。</w:t>
            </w:r>
          </w:p>
          <w:p>
            <w:pPr>
              <w:jc w:val="center"/>
              <w:rPr>
                <w:rFonts w:hint="eastAsia"/>
                <w:b/>
                <w:szCs w:val="21"/>
              </w:rPr>
            </w:pPr>
            <w:r>
              <w:rPr>
                <w:rFonts w:hint="eastAsia"/>
                <w:b/>
                <w:szCs w:val="21"/>
              </w:rPr>
              <w:t>表4-1 废水检测结果表</w:t>
            </w:r>
          </w:p>
          <w:tbl>
            <w:tblPr>
              <w:tblStyle w:val="41"/>
              <w:tblW w:w="801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5"/>
              <w:gridCol w:w="411"/>
              <w:gridCol w:w="1107"/>
              <w:gridCol w:w="911"/>
              <w:gridCol w:w="857"/>
              <w:gridCol w:w="893"/>
              <w:gridCol w:w="857"/>
              <w:gridCol w:w="875"/>
              <w:gridCol w:w="679"/>
              <w:gridCol w:w="69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458" w:type="pct"/>
                  <w:vMerge w:val="restart"/>
                  <w:tcBorders>
                    <w:top w:val="single" w:color="auto" w:sz="12" w:space="0"/>
                  </w:tcBorders>
                  <w:noWrap w:val="0"/>
                  <w:vAlign w:val="center"/>
                </w:tcPr>
                <w:p>
                  <w:pPr>
                    <w:jc w:val="center"/>
                    <w:rPr>
                      <w:b/>
                      <w:bCs/>
                      <w:sz w:val="21"/>
                      <w:szCs w:val="21"/>
                    </w:rPr>
                  </w:pPr>
                  <w:r>
                    <w:rPr>
                      <w:rFonts w:hint="eastAsia"/>
                      <w:b/>
                      <w:bCs/>
                      <w:sz w:val="21"/>
                      <w:szCs w:val="21"/>
                    </w:rPr>
                    <w:t>采样日期</w:t>
                  </w:r>
                </w:p>
              </w:tc>
              <w:tc>
                <w:tcPr>
                  <w:tcW w:w="256" w:type="pct"/>
                  <w:vMerge w:val="restart"/>
                  <w:tcBorders>
                    <w:top w:val="single" w:color="auto" w:sz="12" w:space="0"/>
                  </w:tcBorders>
                  <w:noWrap w:val="0"/>
                  <w:vAlign w:val="center"/>
                </w:tcPr>
                <w:p>
                  <w:pPr>
                    <w:jc w:val="center"/>
                    <w:rPr>
                      <w:b/>
                      <w:bCs/>
                      <w:sz w:val="21"/>
                      <w:szCs w:val="21"/>
                    </w:rPr>
                  </w:pPr>
                  <w:r>
                    <w:rPr>
                      <w:rFonts w:hint="eastAsia"/>
                      <w:b/>
                      <w:bCs/>
                      <w:sz w:val="21"/>
                      <w:szCs w:val="21"/>
                    </w:rPr>
                    <w:t>检测点位</w:t>
                  </w:r>
                </w:p>
              </w:tc>
              <w:tc>
                <w:tcPr>
                  <w:tcW w:w="690" w:type="pct"/>
                  <w:vMerge w:val="restart"/>
                  <w:tcBorders>
                    <w:top w:val="single" w:color="auto" w:sz="12" w:space="0"/>
                  </w:tcBorders>
                  <w:noWrap w:val="0"/>
                  <w:vAlign w:val="center"/>
                </w:tcPr>
                <w:p>
                  <w:pPr>
                    <w:jc w:val="center"/>
                    <w:rPr>
                      <w:b/>
                      <w:bCs/>
                      <w:sz w:val="21"/>
                      <w:szCs w:val="21"/>
                    </w:rPr>
                  </w:pPr>
                  <w:r>
                    <w:rPr>
                      <w:rFonts w:hint="eastAsia"/>
                      <w:b/>
                      <w:bCs/>
                      <w:sz w:val="21"/>
                      <w:szCs w:val="21"/>
                    </w:rPr>
                    <w:t>监测项目</w:t>
                  </w:r>
                </w:p>
              </w:tc>
              <w:tc>
                <w:tcPr>
                  <w:tcW w:w="568" w:type="pct"/>
                  <w:vMerge w:val="restart"/>
                  <w:tcBorders>
                    <w:top w:val="single" w:color="auto" w:sz="12" w:space="0"/>
                  </w:tcBorders>
                  <w:noWrap w:val="0"/>
                  <w:vAlign w:val="center"/>
                </w:tcPr>
                <w:p>
                  <w:pPr>
                    <w:jc w:val="center"/>
                    <w:rPr>
                      <w:b/>
                      <w:bCs/>
                      <w:sz w:val="21"/>
                      <w:szCs w:val="21"/>
                    </w:rPr>
                  </w:pPr>
                  <w:r>
                    <w:rPr>
                      <w:rFonts w:hint="eastAsia"/>
                      <w:b/>
                      <w:bCs/>
                      <w:sz w:val="21"/>
                      <w:szCs w:val="21"/>
                    </w:rPr>
                    <w:t>单位</w:t>
                  </w:r>
                </w:p>
              </w:tc>
              <w:tc>
                <w:tcPr>
                  <w:tcW w:w="2171" w:type="pct"/>
                  <w:gridSpan w:val="4"/>
                  <w:tcBorders>
                    <w:top w:val="single" w:color="auto" w:sz="12" w:space="0"/>
                  </w:tcBorders>
                  <w:noWrap w:val="0"/>
                  <w:vAlign w:val="center"/>
                </w:tcPr>
                <w:p>
                  <w:pPr>
                    <w:jc w:val="center"/>
                    <w:rPr>
                      <w:b/>
                      <w:bCs/>
                      <w:sz w:val="21"/>
                      <w:szCs w:val="21"/>
                    </w:rPr>
                  </w:pPr>
                  <w:r>
                    <w:rPr>
                      <w:rFonts w:hint="eastAsia"/>
                      <w:b/>
                      <w:bCs/>
                      <w:sz w:val="21"/>
                      <w:szCs w:val="21"/>
                    </w:rPr>
                    <w:t>监测结果</w:t>
                  </w:r>
                </w:p>
              </w:tc>
              <w:tc>
                <w:tcPr>
                  <w:tcW w:w="423" w:type="pct"/>
                  <w:vMerge w:val="restart"/>
                  <w:tcBorders>
                    <w:top w:val="single" w:color="auto" w:sz="12" w:space="0"/>
                  </w:tcBorders>
                  <w:noWrap w:val="0"/>
                  <w:vAlign w:val="center"/>
                </w:tcPr>
                <w:p>
                  <w:pPr>
                    <w:jc w:val="center"/>
                    <w:rPr>
                      <w:rFonts w:hint="eastAsia"/>
                      <w:b/>
                      <w:bCs/>
                      <w:sz w:val="21"/>
                      <w:szCs w:val="21"/>
                    </w:rPr>
                  </w:pPr>
                  <w:r>
                    <w:rPr>
                      <w:rFonts w:hint="eastAsia"/>
                      <w:b/>
                      <w:bCs/>
                      <w:sz w:val="21"/>
                      <w:szCs w:val="21"/>
                    </w:rPr>
                    <w:t>标准</w:t>
                  </w:r>
                </w:p>
                <w:p>
                  <w:pPr>
                    <w:jc w:val="center"/>
                    <w:rPr>
                      <w:b/>
                      <w:bCs/>
                      <w:sz w:val="21"/>
                      <w:szCs w:val="21"/>
                    </w:rPr>
                  </w:pPr>
                  <w:r>
                    <w:rPr>
                      <w:rFonts w:hint="eastAsia"/>
                      <w:b/>
                      <w:bCs/>
                      <w:sz w:val="21"/>
                      <w:szCs w:val="21"/>
                    </w:rPr>
                    <w:t>限值</w:t>
                  </w:r>
                </w:p>
              </w:tc>
              <w:tc>
                <w:tcPr>
                  <w:tcW w:w="431" w:type="pct"/>
                  <w:vMerge w:val="restart"/>
                  <w:tcBorders>
                    <w:top w:val="single" w:color="auto" w:sz="12" w:space="0"/>
                  </w:tcBorders>
                  <w:noWrap w:val="0"/>
                  <w:vAlign w:val="center"/>
                </w:tcPr>
                <w:p>
                  <w:pPr>
                    <w:jc w:val="center"/>
                    <w:rPr>
                      <w:b/>
                      <w:bCs/>
                      <w:sz w:val="21"/>
                      <w:szCs w:val="21"/>
                    </w:rPr>
                  </w:pPr>
                  <w:r>
                    <w:rPr>
                      <w:rFonts w:hint="eastAsia"/>
                      <w:b/>
                      <w:bCs/>
                      <w:sz w:val="21"/>
                      <w:szCs w:val="21"/>
                    </w:rPr>
                    <w:t>达标判定</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458" w:type="pct"/>
                  <w:vMerge w:val="continue"/>
                  <w:noWrap w:val="0"/>
                  <w:vAlign w:val="center"/>
                </w:tcPr>
                <w:p>
                  <w:pPr>
                    <w:jc w:val="center"/>
                    <w:rPr>
                      <w:rFonts w:hint="eastAsia"/>
                      <w:sz w:val="21"/>
                      <w:szCs w:val="21"/>
                    </w:rPr>
                  </w:pPr>
                </w:p>
              </w:tc>
              <w:tc>
                <w:tcPr>
                  <w:tcW w:w="256" w:type="pct"/>
                  <w:vMerge w:val="continue"/>
                  <w:noWrap w:val="0"/>
                  <w:vAlign w:val="center"/>
                </w:tcPr>
                <w:p>
                  <w:pPr>
                    <w:jc w:val="center"/>
                    <w:rPr>
                      <w:rFonts w:hint="eastAsia"/>
                      <w:sz w:val="21"/>
                      <w:szCs w:val="21"/>
                    </w:rPr>
                  </w:pPr>
                </w:p>
              </w:tc>
              <w:tc>
                <w:tcPr>
                  <w:tcW w:w="690" w:type="pct"/>
                  <w:vMerge w:val="continue"/>
                  <w:noWrap w:val="0"/>
                  <w:vAlign w:val="center"/>
                </w:tcPr>
                <w:p>
                  <w:pPr>
                    <w:jc w:val="center"/>
                    <w:rPr>
                      <w:rFonts w:hint="eastAsia"/>
                      <w:sz w:val="21"/>
                      <w:szCs w:val="21"/>
                    </w:rPr>
                  </w:pPr>
                </w:p>
              </w:tc>
              <w:tc>
                <w:tcPr>
                  <w:tcW w:w="568" w:type="pct"/>
                  <w:vMerge w:val="continue"/>
                  <w:noWrap w:val="0"/>
                  <w:vAlign w:val="center"/>
                </w:tcPr>
                <w:p>
                  <w:pPr>
                    <w:jc w:val="center"/>
                    <w:rPr>
                      <w:rFonts w:hint="eastAsia"/>
                      <w:sz w:val="21"/>
                      <w:szCs w:val="21"/>
                    </w:rPr>
                  </w:pPr>
                </w:p>
              </w:tc>
              <w:tc>
                <w:tcPr>
                  <w:tcW w:w="534" w:type="pct"/>
                  <w:noWrap w:val="0"/>
                  <w:vAlign w:val="center"/>
                </w:tcPr>
                <w:p>
                  <w:pPr>
                    <w:jc w:val="center"/>
                    <w:rPr>
                      <w:b/>
                      <w:bCs/>
                      <w:sz w:val="21"/>
                      <w:szCs w:val="21"/>
                    </w:rPr>
                  </w:pPr>
                  <w:r>
                    <w:rPr>
                      <w:rFonts w:hint="eastAsia"/>
                      <w:b/>
                      <w:bCs/>
                      <w:sz w:val="21"/>
                      <w:szCs w:val="21"/>
                    </w:rPr>
                    <w:t>第一次</w:t>
                  </w:r>
                </w:p>
              </w:tc>
              <w:tc>
                <w:tcPr>
                  <w:tcW w:w="557" w:type="pct"/>
                  <w:noWrap w:val="0"/>
                  <w:vAlign w:val="center"/>
                </w:tcPr>
                <w:p>
                  <w:pPr>
                    <w:jc w:val="center"/>
                    <w:rPr>
                      <w:b/>
                      <w:bCs/>
                      <w:sz w:val="21"/>
                      <w:szCs w:val="21"/>
                    </w:rPr>
                  </w:pPr>
                  <w:r>
                    <w:rPr>
                      <w:rFonts w:hint="eastAsia"/>
                      <w:b/>
                      <w:bCs/>
                      <w:sz w:val="21"/>
                      <w:szCs w:val="21"/>
                    </w:rPr>
                    <w:t>第二次</w:t>
                  </w:r>
                </w:p>
              </w:tc>
              <w:tc>
                <w:tcPr>
                  <w:tcW w:w="534" w:type="pct"/>
                  <w:noWrap w:val="0"/>
                  <w:vAlign w:val="center"/>
                </w:tcPr>
                <w:p>
                  <w:pPr>
                    <w:jc w:val="center"/>
                    <w:rPr>
                      <w:b/>
                      <w:bCs/>
                      <w:sz w:val="21"/>
                      <w:szCs w:val="21"/>
                    </w:rPr>
                  </w:pPr>
                  <w:r>
                    <w:rPr>
                      <w:rFonts w:hint="eastAsia"/>
                      <w:b/>
                      <w:bCs/>
                      <w:sz w:val="21"/>
                      <w:szCs w:val="21"/>
                    </w:rPr>
                    <w:t>第三次</w:t>
                  </w:r>
                </w:p>
              </w:tc>
              <w:tc>
                <w:tcPr>
                  <w:tcW w:w="545" w:type="pct"/>
                  <w:noWrap w:val="0"/>
                  <w:vAlign w:val="center"/>
                </w:tcPr>
                <w:p>
                  <w:pPr>
                    <w:jc w:val="center"/>
                    <w:rPr>
                      <w:b/>
                      <w:bCs/>
                      <w:sz w:val="21"/>
                      <w:szCs w:val="21"/>
                    </w:rPr>
                  </w:pPr>
                  <w:r>
                    <w:rPr>
                      <w:rFonts w:hint="eastAsia"/>
                      <w:b/>
                      <w:bCs/>
                      <w:sz w:val="21"/>
                      <w:szCs w:val="21"/>
                    </w:rPr>
                    <w:t>平均值</w:t>
                  </w:r>
                </w:p>
              </w:tc>
              <w:tc>
                <w:tcPr>
                  <w:tcW w:w="423" w:type="pct"/>
                  <w:vMerge w:val="continue"/>
                  <w:noWrap w:val="0"/>
                  <w:vAlign w:val="center"/>
                </w:tcPr>
                <w:p>
                  <w:pPr>
                    <w:jc w:val="center"/>
                    <w:rPr>
                      <w:sz w:val="21"/>
                      <w:szCs w:val="21"/>
                    </w:rPr>
                  </w:pPr>
                </w:p>
              </w:tc>
              <w:tc>
                <w:tcPr>
                  <w:tcW w:w="431" w:type="pct"/>
                  <w:vMerge w:val="continue"/>
                  <w:noWrap w:val="0"/>
                  <w:vAlign w:val="center"/>
                </w:tcPr>
                <w:p>
                  <w:pPr>
                    <w:jc w:val="center"/>
                    <w:rPr>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458" w:type="pct"/>
                  <w:vMerge w:val="restart"/>
                  <w:noWrap w:val="0"/>
                  <w:vAlign w:val="center"/>
                </w:tcPr>
                <w:p>
                  <w:pPr>
                    <w:jc w:val="center"/>
                    <w:rPr>
                      <w:sz w:val="21"/>
                      <w:szCs w:val="21"/>
                    </w:rPr>
                  </w:pPr>
                  <w:r>
                    <w:rPr>
                      <w:rFonts w:hint="eastAsia"/>
                      <w:sz w:val="21"/>
                      <w:szCs w:val="21"/>
                    </w:rPr>
                    <w:t>2022.06.28</w:t>
                  </w:r>
                </w:p>
              </w:tc>
              <w:tc>
                <w:tcPr>
                  <w:tcW w:w="256" w:type="pct"/>
                  <w:vMerge w:val="restart"/>
                  <w:noWrap w:val="0"/>
                  <w:vAlign w:val="center"/>
                </w:tcPr>
                <w:p>
                  <w:pPr>
                    <w:jc w:val="center"/>
                    <w:rPr>
                      <w:sz w:val="21"/>
                      <w:szCs w:val="21"/>
                    </w:rPr>
                  </w:pPr>
                  <w:r>
                    <w:rPr>
                      <w:rFonts w:hint="eastAsia"/>
                      <w:sz w:val="21"/>
                      <w:szCs w:val="21"/>
                    </w:rPr>
                    <w:t>污水处理器排放口</w:t>
                  </w:r>
                </w:p>
              </w:tc>
              <w:tc>
                <w:tcPr>
                  <w:tcW w:w="690" w:type="pct"/>
                  <w:noWrap w:val="0"/>
                  <w:vAlign w:val="center"/>
                </w:tcPr>
                <w:p>
                  <w:pPr>
                    <w:jc w:val="center"/>
                    <w:rPr>
                      <w:sz w:val="21"/>
                      <w:szCs w:val="21"/>
                    </w:rPr>
                  </w:pPr>
                  <w:r>
                    <w:rPr>
                      <w:rFonts w:hint="eastAsia"/>
                      <w:sz w:val="21"/>
                      <w:szCs w:val="21"/>
                    </w:rPr>
                    <w:t>PH</w:t>
                  </w:r>
                </w:p>
              </w:tc>
              <w:tc>
                <w:tcPr>
                  <w:tcW w:w="568" w:type="pct"/>
                  <w:noWrap w:val="0"/>
                  <w:vAlign w:val="center"/>
                </w:tcPr>
                <w:p>
                  <w:pPr>
                    <w:jc w:val="center"/>
                    <w:rPr>
                      <w:sz w:val="21"/>
                      <w:szCs w:val="21"/>
                    </w:rPr>
                  </w:pPr>
                  <w:r>
                    <w:rPr>
                      <w:rFonts w:hint="eastAsia"/>
                      <w:sz w:val="21"/>
                      <w:szCs w:val="21"/>
                    </w:rPr>
                    <w:t>/</w:t>
                  </w:r>
                </w:p>
              </w:tc>
              <w:tc>
                <w:tcPr>
                  <w:tcW w:w="534" w:type="pct"/>
                  <w:noWrap w:val="0"/>
                  <w:vAlign w:val="center"/>
                </w:tcPr>
                <w:p>
                  <w:pPr>
                    <w:jc w:val="center"/>
                    <w:rPr>
                      <w:sz w:val="21"/>
                      <w:szCs w:val="21"/>
                    </w:rPr>
                  </w:pPr>
                  <w:r>
                    <w:rPr>
                      <w:rFonts w:hint="eastAsia"/>
                      <w:sz w:val="21"/>
                      <w:szCs w:val="21"/>
                    </w:rPr>
                    <w:t>7.0</w:t>
                  </w:r>
                </w:p>
              </w:tc>
              <w:tc>
                <w:tcPr>
                  <w:tcW w:w="557" w:type="pct"/>
                  <w:noWrap w:val="0"/>
                  <w:vAlign w:val="center"/>
                </w:tcPr>
                <w:p>
                  <w:pPr>
                    <w:jc w:val="center"/>
                    <w:rPr>
                      <w:sz w:val="21"/>
                      <w:szCs w:val="21"/>
                    </w:rPr>
                  </w:pPr>
                  <w:r>
                    <w:rPr>
                      <w:rFonts w:hint="eastAsia"/>
                      <w:sz w:val="21"/>
                      <w:szCs w:val="21"/>
                    </w:rPr>
                    <w:t>7.2</w:t>
                  </w:r>
                </w:p>
              </w:tc>
              <w:tc>
                <w:tcPr>
                  <w:tcW w:w="534" w:type="pct"/>
                  <w:noWrap w:val="0"/>
                  <w:vAlign w:val="center"/>
                </w:tcPr>
                <w:p>
                  <w:pPr>
                    <w:jc w:val="center"/>
                    <w:rPr>
                      <w:sz w:val="21"/>
                      <w:szCs w:val="21"/>
                    </w:rPr>
                  </w:pPr>
                  <w:r>
                    <w:rPr>
                      <w:rFonts w:hint="eastAsia"/>
                      <w:sz w:val="21"/>
                      <w:szCs w:val="21"/>
                    </w:rPr>
                    <w:t>6.9</w:t>
                  </w:r>
                </w:p>
              </w:tc>
              <w:tc>
                <w:tcPr>
                  <w:tcW w:w="545" w:type="pct"/>
                  <w:noWrap w:val="0"/>
                  <w:vAlign w:val="center"/>
                </w:tcPr>
                <w:p>
                  <w:pPr>
                    <w:jc w:val="center"/>
                    <w:rPr>
                      <w:sz w:val="21"/>
                      <w:szCs w:val="21"/>
                    </w:rPr>
                  </w:pPr>
                  <w:r>
                    <w:rPr>
                      <w:rFonts w:hint="eastAsia"/>
                      <w:sz w:val="21"/>
                      <w:szCs w:val="21"/>
                    </w:rPr>
                    <w:t>7.0</w:t>
                  </w:r>
                </w:p>
              </w:tc>
              <w:tc>
                <w:tcPr>
                  <w:tcW w:w="423" w:type="pct"/>
                  <w:noWrap w:val="0"/>
                  <w:vAlign w:val="center"/>
                </w:tcPr>
                <w:p>
                  <w:pPr>
                    <w:jc w:val="center"/>
                    <w:rPr>
                      <w:sz w:val="21"/>
                      <w:szCs w:val="21"/>
                    </w:rPr>
                  </w:pPr>
                  <w:r>
                    <w:rPr>
                      <w:rFonts w:hint="eastAsia"/>
                      <w:sz w:val="21"/>
                      <w:szCs w:val="21"/>
                    </w:rPr>
                    <w:t>6～9</w:t>
                  </w:r>
                </w:p>
              </w:tc>
              <w:tc>
                <w:tcPr>
                  <w:tcW w:w="431" w:type="pct"/>
                  <w:noWrap w:val="0"/>
                  <w:vAlign w:val="center"/>
                </w:tcPr>
                <w:p>
                  <w:pPr>
                    <w:jc w:val="center"/>
                    <w:rPr>
                      <w:sz w:val="21"/>
                      <w:szCs w:val="21"/>
                    </w:rPr>
                  </w:pPr>
                  <w:r>
                    <w:rPr>
                      <w:rFonts w:hint="eastAsia"/>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458" w:type="pct"/>
                  <w:vMerge w:val="continue"/>
                  <w:noWrap w:val="0"/>
                  <w:vAlign w:val="center"/>
                </w:tcPr>
                <w:p>
                  <w:pPr>
                    <w:jc w:val="center"/>
                    <w:rPr>
                      <w:sz w:val="21"/>
                      <w:szCs w:val="21"/>
                    </w:rPr>
                  </w:pPr>
                </w:p>
              </w:tc>
              <w:tc>
                <w:tcPr>
                  <w:tcW w:w="256" w:type="pct"/>
                  <w:vMerge w:val="continue"/>
                  <w:noWrap w:val="0"/>
                  <w:vAlign w:val="center"/>
                </w:tcPr>
                <w:p>
                  <w:pPr>
                    <w:jc w:val="center"/>
                    <w:rPr>
                      <w:sz w:val="21"/>
                      <w:szCs w:val="21"/>
                    </w:rPr>
                  </w:pPr>
                </w:p>
              </w:tc>
              <w:tc>
                <w:tcPr>
                  <w:tcW w:w="690" w:type="pct"/>
                  <w:noWrap w:val="0"/>
                  <w:vAlign w:val="center"/>
                </w:tcPr>
                <w:p>
                  <w:pPr>
                    <w:jc w:val="center"/>
                    <w:rPr>
                      <w:sz w:val="21"/>
                      <w:szCs w:val="21"/>
                    </w:rPr>
                  </w:pPr>
                  <w:r>
                    <w:rPr>
                      <w:rFonts w:hint="eastAsia"/>
                      <w:sz w:val="21"/>
                      <w:szCs w:val="21"/>
                    </w:rPr>
                    <w:t>色度</w:t>
                  </w:r>
                </w:p>
              </w:tc>
              <w:tc>
                <w:tcPr>
                  <w:tcW w:w="568" w:type="pct"/>
                  <w:noWrap w:val="0"/>
                  <w:vAlign w:val="center"/>
                </w:tcPr>
                <w:p>
                  <w:pPr>
                    <w:jc w:val="center"/>
                    <w:rPr>
                      <w:sz w:val="21"/>
                      <w:szCs w:val="21"/>
                    </w:rPr>
                  </w:pPr>
                  <w:r>
                    <w:rPr>
                      <w:rFonts w:hint="eastAsia"/>
                      <w:sz w:val="21"/>
                      <w:szCs w:val="21"/>
                    </w:rPr>
                    <w:t>/</w:t>
                  </w:r>
                </w:p>
              </w:tc>
              <w:tc>
                <w:tcPr>
                  <w:tcW w:w="534" w:type="pct"/>
                  <w:noWrap w:val="0"/>
                  <w:vAlign w:val="center"/>
                </w:tcPr>
                <w:p>
                  <w:pPr>
                    <w:jc w:val="center"/>
                    <w:rPr>
                      <w:sz w:val="21"/>
                      <w:szCs w:val="21"/>
                    </w:rPr>
                  </w:pPr>
                  <w:r>
                    <w:rPr>
                      <w:rFonts w:hint="eastAsia"/>
                      <w:sz w:val="21"/>
                      <w:szCs w:val="21"/>
                    </w:rPr>
                    <w:t>15</w:t>
                  </w:r>
                </w:p>
              </w:tc>
              <w:tc>
                <w:tcPr>
                  <w:tcW w:w="557" w:type="pct"/>
                  <w:noWrap w:val="0"/>
                  <w:vAlign w:val="center"/>
                </w:tcPr>
                <w:p>
                  <w:pPr>
                    <w:jc w:val="center"/>
                    <w:rPr>
                      <w:sz w:val="21"/>
                      <w:szCs w:val="21"/>
                    </w:rPr>
                  </w:pPr>
                  <w:r>
                    <w:rPr>
                      <w:rFonts w:hint="eastAsia"/>
                      <w:sz w:val="21"/>
                      <w:szCs w:val="21"/>
                    </w:rPr>
                    <w:t>15</w:t>
                  </w:r>
                </w:p>
              </w:tc>
              <w:tc>
                <w:tcPr>
                  <w:tcW w:w="534" w:type="pct"/>
                  <w:noWrap w:val="0"/>
                  <w:vAlign w:val="center"/>
                </w:tcPr>
                <w:p>
                  <w:pPr>
                    <w:jc w:val="center"/>
                    <w:rPr>
                      <w:sz w:val="21"/>
                      <w:szCs w:val="21"/>
                    </w:rPr>
                  </w:pPr>
                  <w:r>
                    <w:rPr>
                      <w:rFonts w:hint="eastAsia"/>
                      <w:sz w:val="21"/>
                      <w:szCs w:val="21"/>
                    </w:rPr>
                    <w:t>15</w:t>
                  </w:r>
                </w:p>
              </w:tc>
              <w:tc>
                <w:tcPr>
                  <w:tcW w:w="545" w:type="pct"/>
                  <w:noWrap w:val="0"/>
                  <w:vAlign w:val="center"/>
                </w:tcPr>
                <w:p>
                  <w:pPr>
                    <w:jc w:val="center"/>
                    <w:rPr>
                      <w:sz w:val="21"/>
                      <w:szCs w:val="21"/>
                    </w:rPr>
                  </w:pPr>
                  <w:r>
                    <w:rPr>
                      <w:rFonts w:hint="eastAsia"/>
                      <w:sz w:val="21"/>
                      <w:szCs w:val="21"/>
                    </w:rPr>
                    <w:t>15</w:t>
                  </w:r>
                </w:p>
              </w:tc>
              <w:tc>
                <w:tcPr>
                  <w:tcW w:w="423" w:type="pct"/>
                  <w:noWrap w:val="0"/>
                  <w:vAlign w:val="center"/>
                </w:tcPr>
                <w:p>
                  <w:pPr>
                    <w:jc w:val="center"/>
                    <w:rPr>
                      <w:sz w:val="21"/>
                      <w:szCs w:val="21"/>
                    </w:rPr>
                  </w:pPr>
                  <w:r>
                    <w:rPr>
                      <w:rFonts w:hint="eastAsia"/>
                      <w:sz w:val="21"/>
                      <w:szCs w:val="21"/>
                    </w:rPr>
                    <w:t>-</w:t>
                  </w:r>
                </w:p>
              </w:tc>
              <w:tc>
                <w:tcPr>
                  <w:tcW w:w="431" w:type="pct"/>
                  <w:noWrap w:val="0"/>
                  <w:vAlign w:val="center"/>
                </w:tcPr>
                <w:p>
                  <w:pPr>
                    <w:jc w:val="center"/>
                    <w:rPr>
                      <w:sz w:val="21"/>
                      <w:szCs w:val="21"/>
                    </w:rPr>
                  </w:pPr>
                  <w:r>
                    <w:rPr>
                      <w:rFonts w:hint="eastAsia"/>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458" w:type="pct"/>
                  <w:vMerge w:val="continue"/>
                  <w:noWrap w:val="0"/>
                  <w:vAlign w:val="center"/>
                </w:tcPr>
                <w:p>
                  <w:pPr>
                    <w:jc w:val="center"/>
                    <w:rPr>
                      <w:sz w:val="21"/>
                      <w:szCs w:val="21"/>
                    </w:rPr>
                  </w:pPr>
                </w:p>
              </w:tc>
              <w:tc>
                <w:tcPr>
                  <w:tcW w:w="256" w:type="pct"/>
                  <w:vMerge w:val="continue"/>
                  <w:noWrap w:val="0"/>
                  <w:vAlign w:val="center"/>
                </w:tcPr>
                <w:p>
                  <w:pPr>
                    <w:jc w:val="center"/>
                    <w:rPr>
                      <w:sz w:val="21"/>
                      <w:szCs w:val="21"/>
                    </w:rPr>
                  </w:pPr>
                </w:p>
              </w:tc>
              <w:tc>
                <w:tcPr>
                  <w:tcW w:w="690" w:type="pct"/>
                  <w:noWrap w:val="0"/>
                  <w:vAlign w:val="center"/>
                </w:tcPr>
                <w:p>
                  <w:pPr>
                    <w:jc w:val="center"/>
                    <w:rPr>
                      <w:sz w:val="21"/>
                      <w:szCs w:val="21"/>
                    </w:rPr>
                  </w:pPr>
                  <w:r>
                    <w:rPr>
                      <w:rFonts w:hint="eastAsia"/>
                      <w:sz w:val="21"/>
                      <w:szCs w:val="21"/>
                    </w:rPr>
                    <w:t>化学需氧量</w:t>
                  </w:r>
                </w:p>
              </w:tc>
              <w:tc>
                <w:tcPr>
                  <w:tcW w:w="568" w:type="pct"/>
                  <w:noWrap w:val="0"/>
                  <w:vAlign w:val="center"/>
                </w:tcPr>
                <w:p>
                  <w:pPr>
                    <w:jc w:val="center"/>
                    <w:rPr>
                      <w:sz w:val="21"/>
                      <w:szCs w:val="21"/>
                    </w:rPr>
                  </w:pPr>
                  <w:r>
                    <w:rPr>
                      <w:rFonts w:hint="eastAsia"/>
                      <w:sz w:val="21"/>
                      <w:szCs w:val="21"/>
                    </w:rPr>
                    <w:t>mg/L</w:t>
                  </w:r>
                </w:p>
              </w:tc>
              <w:tc>
                <w:tcPr>
                  <w:tcW w:w="534" w:type="pct"/>
                  <w:noWrap w:val="0"/>
                  <w:vAlign w:val="center"/>
                </w:tcPr>
                <w:p>
                  <w:pPr>
                    <w:jc w:val="center"/>
                    <w:rPr>
                      <w:sz w:val="21"/>
                      <w:szCs w:val="21"/>
                    </w:rPr>
                  </w:pPr>
                  <w:r>
                    <w:rPr>
                      <w:rFonts w:hint="eastAsia"/>
                      <w:sz w:val="21"/>
                      <w:szCs w:val="21"/>
                    </w:rPr>
                    <w:t>41</w:t>
                  </w:r>
                </w:p>
              </w:tc>
              <w:tc>
                <w:tcPr>
                  <w:tcW w:w="557" w:type="pct"/>
                  <w:noWrap w:val="0"/>
                  <w:vAlign w:val="center"/>
                </w:tcPr>
                <w:p>
                  <w:pPr>
                    <w:jc w:val="center"/>
                    <w:rPr>
                      <w:sz w:val="21"/>
                      <w:szCs w:val="21"/>
                    </w:rPr>
                  </w:pPr>
                  <w:r>
                    <w:rPr>
                      <w:rFonts w:hint="eastAsia"/>
                      <w:sz w:val="21"/>
                      <w:szCs w:val="21"/>
                    </w:rPr>
                    <w:t>34</w:t>
                  </w:r>
                </w:p>
              </w:tc>
              <w:tc>
                <w:tcPr>
                  <w:tcW w:w="534" w:type="pct"/>
                  <w:noWrap w:val="0"/>
                  <w:vAlign w:val="center"/>
                </w:tcPr>
                <w:p>
                  <w:pPr>
                    <w:jc w:val="center"/>
                    <w:rPr>
                      <w:sz w:val="21"/>
                      <w:szCs w:val="21"/>
                    </w:rPr>
                  </w:pPr>
                  <w:r>
                    <w:rPr>
                      <w:rFonts w:hint="eastAsia"/>
                      <w:sz w:val="21"/>
                      <w:szCs w:val="21"/>
                    </w:rPr>
                    <w:t>42</w:t>
                  </w:r>
                </w:p>
              </w:tc>
              <w:tc>
                <w:tcPr>
                  <w:tcW w:w="545" w:type="pct"/>
                  <w:noWrap w:val="0"/>
                  <w:vAlign w:val="center"/>
                </w:tcPr>
                <w:p>
                  <w:pPr>
                    <w:jc w:val="center"/>
                    <w:rPr>
                      <w:sz w:val="21"/>
                      <w:szCs w:val="21"/>
                    </w:rPr>
                  </w:pPr>
                  <w:r>
                    <w:rPr>
                      <w:rFonts w:hint="eastAsia"/>
                      <w:sz w:val="21"/>
                      <w:szCs w:val="21"/>
                    </w:rPr>
                    <w:t>39</w:t>
                  </w:r>
                </w:p>
              </w:tc>
              <w:tc>
                <w:tcPr>
                  <w:tcW w:w="423" w:type="pct"/>
                  <w:noWrap w:val="0"/>
                  <w:vAlign w:val="center"/>
                </w:tcPr>
                <w:p>
                  <w:pPr>
                    <w:jc w:val="center"/>
                    <w:rPr>
                      <w:sz w:val="21"/>
                      <w:szCs w:val="21"/>
                    </w:rPr>
                  </w:pPr>
                  <w:r>
                    <w:rPr>
                      <w:rFonts w:hint="eastAsia"/>
                      <w:sz w:val="21"/>
                      <w:szCs w:val="21"/>
                    </w:rPr>
                    <w:t>250</w:t>
                  </w:r>
                </w:p>
              </w:tc>
              <w:tc>
                <w:tcPr>
                  <w:tcW w:w="431" w:type="pct"/>
                  <w:noWrap w:val="0"/>
                  <w:vAlign w:val="center"/>
                </w:tcPr>
                <w:p>
                  <w:pPr>
                    <w:jc w:val="center"/>
                    <w:rPr>
                      <w:sz w:val="21"/>
                      <w:szCs w:val="21"/>
                    </w:rPr>
                  </w:pPr>
                  <w:r>
                    <w:rPr>
                      <w:rFonts w:hint="eastAsia"/>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458" w:type="pct"/>
                  <w:vMerge w:val="continue"/>
                  <w:noWrap w:val="0"/>
                  <w:vAlign w:val="center"/>
                </w:tcPr>
                <w:p>
                  <w:pPr>
                    <w:jc w:val="center"/>
                    <w:rPr>
                      <w:sz w:val="21"/>
                      <w:szCs w:val="21"/>
                    </w:rPr>
                  </w:pPr>
                </w:p>
              </w:tc>
              <w:tc>
                <w:tcPr>
                  <w:tcW w:w="256" w:type="pct"/>
                  <w:vMerge w:val="continue"/>
                  <w:noWrap w:val="0"/>
                  <w:vAlign w:val="center"/>
                </w:tcPr>
                <w:p>
                  <w:pPr>
                    <w:jc w:val="center"/>
                    <w:rPr>
                      <w:sz w:val="21"/>
                      <w:szCs w:val="21"/>
                    </w:rPr>
                  </w:pPr>
                </w:p>
              </w:tc>
              <w:tc>
                <w:tcPr>
                  <w:tcW w:w="690" w:type="pct"/>
                  <w:noWrap w:val="0"/>
                  <w:vAlign w:val="center"/>
                </w:tcPr>
                <w:p>
                  <w:pPr>
                    <w:jc w:val="center"/>
                    <w:rPr>
                      <w:sz w:val="21"/>
                      <w:szCs w:val="21"/>
                    </w:rPr>
                  </w:pPr>
                  <w:r>
                    <w:rPr>
                      <w:rFonts w:hint="eastAsia"/>
                      <w:sz w:val="21"/>
                      <w:szCs w:val="21"/>
                    </w:rPr>
                    <w:t>五日生化需氧量</w:t>
                  </w:r>
                </w:p>
              </w:tc>
              <w:tc>
                <w:tcPr>
                  <w:tcW w:w="568" w:type="pct"/>
                  <w:noWrap w:val="0"/>
                  <w:vAlign w:val="center"/>
                </w:tcPr>
                <w:p>
                  <w:pPr>
                    <w:jc w:val="center"/>
                    <w:rPr>
                      <w:sz w:val="21"/>
                      <w:szCs w:val="21"/>
                    </w:rPr>
                  </w:pPr>
                  <w:r>
                    <w:rPr>
                      <w:rFonts w:hint="eastAsia"/>
                      <w:sz w:val="21"/>
                      <w:szCs w:val="21"/>
                    </w:rPr>
                    <w:t>mg/L</w:t>
                  </w:r>
                </w:p>
              </w:tc>
              <w:tc>
                <w:tcPr>
                  <w:tcW w:w="534" w:type="pct"/>
                  <w:noWrap w:val="0"/>
                  <w:vAlign w:val="center"/>
                </w:tcPr>
                <w:p>
                  <w:pPr>
                    <w:jc w:val="center"/>
                    <w:rPr>
                      <w:sz w:val="21"/>
                      <w:szCs w:val="21"/>
                    </w:rPr>
                  </w:pPr>
                  <w:r>
                    <w:rPr>
                      <w:rFonts w:hint="eastAsia"/>
                      <w:sz w:val="21"/>
                      <w:szCs w:val="21"/>
                    </w:rPr>
                    <w:t>17</w:t>
                  </w:r>
                </w:p>
              </w:tc>
              <w:tc>
                <w:tcPr>
                  <w:tcW w:w="557" w:type="pct"/>
                  <w:noWrap w:val="0"/>
                  <w:vAlign w:val="center"/>
                </w:tcPr>
                <w:p>
                  <w:pPr>
                    <w:jc w:val="center"/>
                    <w:rPr>
                      <w:sz w:val="21"/>
                      <w:szCs w:val="21"/>
                    </w:rPr>
                  </w:pPr>
                  <w:r>
                    <w:rPr>
                      <w:rFonts w:hint="eastAsia"/>
                      <w:sz w:val="21"/>
                      <w:szCs w:val="21"/>
                    </w:rPr>
                    <w:t>20</w:t>
                  </w:r>
                </w:p>
              </w:tc>
              <w:tc>
                <w:tcPr>
                  <w:tcW w:w="534" w:type="pct"/>
                  <w:noWrap w:val="0"/>
                  <w:vAlign w:val="center"/>
                </w:tcPr>
                <w:p>
                  <w:pPr>
                    <w:jc w:val="center"/>
                    <w:rPr>
                      <w:sz w:val="21"/>
                      <w:szCs w:val="21"/>
                    </w:rPr>
                  </w:pPr>
                  <w:r>
                    <w:rPr>
                      <w:rFonts w:hint="eastAsia"/>
                      <w:sz w:val="21"/>
                      <w:szCs w:val="21"/>
                    </w:rPr>
                    <w:t>19</w:t>
                  </w:r>
                </w:p>
              </w:tc>
              <w:tc>
                <w:tcPr>
                  <w:tcW w:w="545" w:type="pct"/>
                  <w:noWrap w:val="0"/>
                  <w:vAlign w:val="center"/>
                </w:tcPr>
                <w:p>
                  <w:pPr>
                    <w:jc w:val="center"/>
                    <w:rPr>
                      <w:sz w:val="21"/>
                      <w:szCs w:val="21"/>
                    </w:rPr>
                  </w:pPr>
                  <w:r>
                    <w:rPr>
                      <w:rFonts w:hint="eastAsia"/>
                      <w:sz w:val="21"/>
                      <w:szCs w:val="21"/>
                    </w:rPr>
                    <w:t>19</w:t>
                  </w:r>
                </w:p>
              </w:tc>
              <w:tc>
                <w:tcPr>
                  <w:tcW w:w="423" w:type="pct"/>
                  <w:noWrap w:val="0"/>
                  <w:vAlign w:val="center"/>
                </w:tcPr>
                <w:p>
                  <w:pPr>
                    <w:jc w:val="center"/>
                    <w:rPr>
                      <w:sz w:val="21"/>
                      <w:szCs w:val="21"/>
                    </w:rPr>
                  </w:pPr>
                  <w:r>
                    <w:rPr>
                      <w:rFonts w:hint="eastAsia"/>
                      <w:sz w:val="21"/>
                      <w:szCs w:val="21"/>
                    </w:rPr>
                    <w:t>100</w:t>
                  </w:r>
                </w:p>
              </w:tc>
              <w:tc>
                <w:tcPr>
                  <w:tcW w:w="431" w:type="pct"/>
                  <w:noWrap w:val="0"/>
                  <w:vAlign w:val="center"/>
                </w:tcPr>
                <w:p>
                  <w:pPr>
                    <w:jc w:val="center"/>
                    <w:rPr>
                      <w:sz w:val="21"/>
                      <w:szCs w:val="21"/>
                    </w:rPr>
                  </w:pPr>
                  <w:r>
                    <w:rPr>
                      <w:rFonts w:hint="eastAsia"/>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458" w:type="pct"/>
                  <w:vMerge w:val="continue"/>
                  <w:noWrap w:val="0"/>
                  <w:vAlign w:val="center"/>
                </w:tcPr>
                <w:p>
                  <w:pPr>
                    <w:jc w:val="center"/>
                    <w:rPr>
                      <w:sz w:val="21"/>
                      <w:szCs w:val="21"/>
                    </w:rPr>
                  </w:pPr>
                </w:p>
              </w:tc>
              <w:tc>
                <w:tcPr>
                  <w:tcW w:w="256" w:type="pct"/>
                  <w:vMerge w:val="continue"/>
                  <w:noWrap w:val="0"/>
                  <w:vAlign w:val="center"/>
                </w:tcPr>
                <w:p>
                  <w:pPr>
                    <w:jc w:val="center"/>
                    <w:rPr>
                      <w:sz w:val="21"/>
                      <w:szCs w:val="21"/>
                    </w:rPr>
                  </w:pPr>
                </w:p>
              </w:tc>
              <w:tc>
                <w:tcPr>
                  <w:tcW w:w="690" w:type="pct"/>
                  <w:noWrap w:val="0"/>
                  <w:vAlign w:val="center"/>
                </w:tcPr>
                <w:p>
                  <w:pPr>
                    <w:jc w:val="center"/>
                    <w:rPr>
                      <w:sz w:val="21"/>
                      <w:szCs w:val="21"/>
                    </w:rPr>
                  </w:pPr>
                  <w:r>
                    <w:rPr>
                      <w:rFonts w:hint="eastAsia"/>
                      <w:sz w:val="21"/>
                      <w:szCs w:val="21"/>
                    </w:rPr>
                    <w:t>悬浮物</w:t>
                  </w:r>
                </w:p>
              </w:tc>
              <w:tc>
                <w:tcPr>
                  <w:tcW w:w="568" w:type="pct"/>
                  <w:noWrap w:val="0"/>
                  <w:vAlign w:val="center"/>
                </w:tcPr>
                <w:p>
                  <w:pPr>
                    <w:jc w:val="center"/>
                    <w:rPr>
                      <w:sz w:val="21"/>
                      <w:szCs w:val="21"/>
                    </w:rPr>
                  </w:pPr>
                  <w:r>
                    <w:rPr>
                      <w:rFonts w:hint="eastAsia"/>
                      <w:sz w:val="21"/>
                      <w:szCs w:val="21"/>
                    </w:rPr>
                    <w:t>mg/L</w:t>
                  </w:r>
                </w:p>
              </w:tc>
              <w:tc>
                <w:tcPr>
                  <w:tcW w:w="534" w:type="pct"/>
                  <w:noWrap w:val="0"/>
                  <w:vAlign w:val="center"/>
                </w:tcPr>
                <w:p>
                  <w:pPr>
                    <w:jc w:val="center"/>
                    <w:rPr>
                      <w:sz w:val="21"/>
                      <w:szCs w:val="21"/>
                    </w:rPr>
                  </w:pPr>
                  <w:r>
                    <w:rPr>
                      <w:rFonts w:hint="eastAsia"/>
                      <w:sz w:val="21"/>
                      <w:szCs w:val="21"/>
                    </w:rPr>
                    <w:t>13</w:t>
                  </w:r>
                </w:p>
              </w:tc>
              <w:tc>
                <w:tcPr>
                  <w:tcW w:w="557" w:type="pct"/>
                  <w:noWrap w:val="0"/>
                  <w:vAlign w:val="center"/>
                </w:tcPr>
                <w:p>
                  <w:pPr>
                    <w:jc w:val="center"/>
                    <w:rPr>
                      <w:sz w:val="21"/>
                      <w:szCs w:val="21"/>
                    </w:rPr>
                  </w:pPr>
                  <w:r>
                    <w:rPr>
                      <w:rFonts w:hint="eastAsia"/>
                      <w:sz w:val="21"/>
                      <w:szCs w:val="21"/>
                    </w:rPr>
                    <w:t>16</w:t>
                  </w:r>
                </w:p>
              </w:tc>
              <w:tc>
                <w:tcPr>
                  <w:tcW w:w="534" w:type="pct"/>
                  <w:noWrap w:val="0"/>
                  <w:vAlign w:val="center"/>
                </w:tcPr>
                <w:p>
                  <w:pPr>
                    <w:jc w:val="center"/>
                    <w:rPr>
                      <w:sz w:val="21"/>
                      <w:szCs w:val="21"/>
                    </w:rPr>
                  </w:pPr>
                  <w:r>
                    <w:rPr>
                      <w:rFonts w:hint="eastAsia"/>
                      <w:sz w:val="21"/>
                      <w:szCs w:val="21"/>
                    </w:rPr>
                    <w:t>12</w:t>
                  </w:r>
                </w:p>
              </w:tc>
              <w:tc>
                <w:tcPr>
                  <w:tcW w:w="545" w:type="pct"/>
                  <w:noWrap w:val="0"/>
                  <w:vAlign w:val="center"/>
                </w:tcPr>
                <w:p>
                  <w:pPr>
                    <w:jc w:val="center"/>
                    <w:rPr>
                      <w:sz w:val="21"/>
                      <w:szCs w:val="21"/>
                    </w:rPr>
                  </w:pPr>
                  <w:r>
                    <w:rPr>
                      <w:rFonts w:hint="eastAsia"/>
                      <w:sz w:val="21"/>
                      <w:szCs w:val="21"/>
                    </w:rPr>
                    <w:t>14</w:t>
                  </w:r>
                </w:p>
              </w:tc>
              <w:tc>
                <w:tcPr>
                  <w:tcW w:w="423" w:type="pct"/>
                  <w:noWrap w:val="0"/>
                  <w:vAlign w:val="center"/>
                </w:tcPr>
                <w:p>
                  <w:pPr>
                    <w:jc w:val="center"/>
                    <w:rPr>
                      <w:sz w:val="21"/>
                      <w:szCs w:val="21"/>
                    </w:rPr>
                  </w:pPr>
                  <w:r>
                    <w:rPr>
                      <w:rFonts w:hint="eastAsia"/>
                      <w:sz w:val="21"/>
                      <w:szCs w:val="21"/>
                    </w:rPr>
                    <w:t>60</w:t>
                  </w:r>
                </w:p>
              </w:tc>
              <w:tc>
                <w:tcPr>
                  <w:tcW w:w="431" w:type="pct"/>
                  <w:noWrap w:val="0"/>
                  <w:vAlign w:val="center"/>
                </w:tcPr>
                <w:p>
                  <w:pPr>
                    <w:jc w:val="center"/>
                    <w:rPr>
                      <w:sz w:val="21"/>
                      <w:szCs w:val="21"/>
                    </w:rPr>
                  </w:pPr>
                  <w:r>
                    <w:rPr>
                      <w:rFonts w:hint="eastAsia"/>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458" w:type="pct"/>
                  <w:vMerge w:val="continue"/>
                  <w:noWrap w:val="0"/>
                  <w:vAlign w:val="center"/>
                </w:tcPr>
                <w:p>
                  <w:pPr>
                    <w:jc w:val="center"/>
                    <w:rPr>
                      <w:sz w:val="21"/>
                      <w:szCs w:val="21"/>
                    </w:rPr>
                  </w:pPr>
                </w:p>
              </w:tc>
              <w:tc>
                <w:tcPr>
                  <w:tcW w:w="256" w:type="pct"/>
                  <w:vMerge w:val="continue"/>
                  <w:noWrap w:val="0"/>
                  <w:vAlign w:val="center"/>
                </w:tcPr>
                <w:p>
                  <w:pPr>
                    <w:jc w:val="center"/>
                    <w:rPr>
                      <w:sz w:val="21"/>
                      <w:szCs w:val="21"/>
                    </w:rPr>
                  </w:pPr>
                </w:p>
              </w:tc>
              <w:tc>
                <w:tcPr>
                  <w:tcW w:w="690" w:type="pct"/>
                  <w:noWrap w:val="0"/>
                  <w:vAlign w:val="center"/>
                </w:tcPr>
                <w:p>
                  <w:pPr>
                    <w:jc w:val="center"/>
                    <w:rPr>
                      <w:sz w:val="21"/>
                      <w:szCs w:val="21"/>
                    </w:rPr>
                  </w:pPr>
                  <w:r>
                    <w:rPr>
                      <w:rFonts w:hint="eastAsia"/>
                      <w:sz w:val="21"/>
                      <w:szCs w:val="21"/>
                    </w:rPr>
                    <w:t>总余氯</w:t>
                  </w:r>
                </w:p>
              </w:tc>
              <w:tc>
                <w:tcPr>
                  <w:tcW w:w="568" w:type="pct"/>
                  <w:noWrap w:val="0"/>
                  <w:vAlign w:val="center"/>
                </w:tcPr>
                <w:p>
                  <w:pPr>
                    <w:jc w:val="center"/>
                    <w:rPr>
                      <w:sz w:val="21"/>
                      <w:szCs w:val="21"/>
                    </w:rPr>
                  </w:pPr>
                  <w:r>
                    <w:rPr>
                      <w:rFonts w:hint="eastAsia"/>
                      <w:sz w:val="21"/>
                      <w:szCs w:val="21"/>
                    </w:rPr>
                    <w:t>mg/L</w:t>
                  </w:r>
                </w:p>
              </w:tc>
              <w:tc>
                <w:tcPr>
                  <w:tcW w:w="534" w:type="pct"/>
                  <w:noWrap w:val="0"/>
                  <w:vAlign w:val="center"/>
                </w:tcPr>
                <w:p>
                  <w:pPr>
                    <w:jc w:val="center"/>
                    <w:rPr>
                      <w:sz w:val="21"/>
                      <w:szCs w:val="21"/>
                    </w:rPr>
                  </w:pPr>
                  <w:r>
                    <w:rPr>
                      <w:rFonts w:hint="eastAsia"/>
                      <w:sz w:val="21"/>
                      <w:szCs w:val="21"/>
                    </w:rPr>
                    <w:t>4</w:t>
                  </w:r>
                </w:p>
              </w:tc>
              <w:tc>
                <w:tcPr>
                  <w:tcW w:w="557" w:type="pct"/>
                  <w:noWrap w:val="0"/>
                  <w:vAlign w:val="center"/>
                </w:tcPr>
                <w:p>
                  <w:pPr>
                    <w:jc w:val="center"/>
                    <w:rPr>
                      <w:sz w:val="21"/>
                      <w:szCs w:val="21"/>
                    </w:rPr>
                  </w:pPr>
                  <w:r>
                    <w:rPr>
                      <w:rFonts w:hint="eastAsia"/>
                      <w:sz w:val="21"/>
                      <w:szCs w:val="21"/>
                    </w:rPr>
                    <w:t>3</w:t>
                  </w:r>
                </w:p>
              </w:tc>
              <w:tc>
                <w:tcPr>
                  <w:tcW w:w="534" w:type="pct"/>
                  <w:noWrap w:val="0"/>
                  <w:vAlign w:val="center"/>
                </w:tcPr>
                <w:p>
                  <w:pPr>
                    <w:jc w:val="center"/>
                    <w:rPr>
                      <w:sz w:val="21"/>
                      <w:szCs w:val="21"/>
                    </w:rPr>
                  </w:pPr>
                  <w:r>
                    <w:rPr>
                      <w:rFonts w:hint="eastAsia"/>
                      <w:sz w:val="21"/>
                      <w:szCs w:val="21"/>
                    </w:rPr>
                    <w:t>4</w:t>
                  </w:r>
                </w:p>
              </w:tc>
              <w:tc>
                <w:tcPr>
                  <w:tcW w:w="545" w:type="pct"/>
                  <w:noWrap w:val="0"/>
                  <w:vAlign w:val="center"/>
                </w:tcPr>
                <w:p>
                  <w:pPr>
                    <w:jc w:val="center"/>
                    <w:rPr>
                      <w:sz w:val="21"/>
                      <w:szCs w:val="21"/>
                    </w:rPr>
                  </w:pPr>
                  <w:r>
                    <w:rPr>
                      <w:rFonts w:hint="eastAsia"/>
                      <w:sz w:val="21"/>
                      <w:szCs w:val="21"/>
                    </w:rPr>
                    <w:t>4</w:t>
                  </w:r>
                </w:p>
              </w:tc>
              <w:tc>
                <w:tcPr>
                  <w:tcW w:w="423" w:type="pct"/>
                  <w:noWrap w:val="0"/>
                  <w:vAlign w:val="center"/>
                </w:tcPr>
                <w:p>
                  <w:pPr>
                    <w:jc w:val="center"/>
                    <w:rPr>
                      <w:sz w:val="21"/>
                      <w:szCs w:val="21"/>
                    </w:rPr>
                  </w:pPr>
                  <w:r>
                    <w:rPr>
                      <w:rFonts w:hint="eastAsia"/>
                      <w:sz w:val="21"/>
                      <w:szCs w:val="21"/>
                    </w:rPr>
                    <w:t>2-8</w:t>
                  </w:r>
                </w:p>
              </w:tc>
              <w:tc>
                <w:tcPr>
                  <w:tcW w:w="431" w:type="pct"/>
                  <w:noWrap w:val="0"/>
                  <w:vAlign w:val="center"/>
                </w:tcPr>
                <w:p>
                  <w:pPr>
                    <w:jc w:val="center"/>
                    <w:rPr>
                      <w:sz w:val="21"/>
                      <w:szCs w:val="21"/>
                    </w:rPr>
                  </w:pPr>
                  <w:r>
                    <w:rPr>
                      <w:rFonts w:hint="eastAsia"/>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458" w:type="pct"/>
                  <w:vMerge w:val="continue"/>
                  <w:noWrap w:val="0"/>
                  <w:vAlign w:val="center"/>
                </w:tcPr>
                <w:p>
                  <w:pPr>
                    <w:jc w:val="center"/>
                    <w:rPr>
                      <w:sz w:val="21"/>
                      <w:szCs w:val="21"/>
                    </w:rPr>
                  </w:pPr>
                </w:p>
              </w:tc>
              <w:tc>
                <w:tcPr>
                  <w:tcW w:w="256" w:type="pct"/>
                  <w:vMerge w:val="continue"/>
                  <w:noWrap w:val="0"/>
                  <w:vAlign w:val="center"/>
                </w:tcPr>
                <w:p>
                  <w:pPr>
                    <w:jc w:val="center"/>
                    <w:rPr>
                      <w:sz w:val="21"/>
                      <w:szCs w:val="21"/>
                    </w:rPr>
                  </w:pPr>
                </w:p>
              </w:tc>
              <w:tc>
                <w:tcPr>
                  <w:tcW w:w="690" w:type="pct"/>
                  <w:noWrap w:val="0"/>
                  <w:vAlign w:val="center"/>
                </w:tcPr>
                <w:p>
                  <w:pPr>
                    <w:jc w:val="center"/>
                    <w:rPr>
                      <w:rFonts w:hint="eastAsia"/>
                      <w:sz w:val="21"/>
                      <w:szCs w:val="21"/>
                    </w:rPr>
                  </w:pPr>
                  <w:r>
                    <w:rPr>
                      <w:rFonts w:hint="eastAsia"/>
                      <w:sz w:val="21"/>
                      <w:szCs w:val="21"/>
                    </w:rPr>
                    <w:t>沙门氏菌</w:t>
                  </w:r>
                </w:p>
              </w:tc>
              <w:tc>
                <w:tcPr>
                  <w:tcW w:w="568" w:type="pct"/>
                  <w:noWrap w:val="0"/>
                  <w:vAlign w:val="center"/>
                </w:tcPr>
                <w:p>
                  <w:pPr>
                    <w:jc w:val="center"/>
                    <w:rPr>
                      <w:sz w:val="21"/>
                      <w:szCs w:val="21"/>
                    </w:rPr>
                  </w:pPr>
                  <w:r>
                    <w:rPr>
                      <w:rFonts w:hint="eastAsia"/>
                      <w:sz w:val="21"/>
                      <w:szCs w:val="21"/>
                    </w:rPr>
                    <w:t>/</w:t>
                  </w:r>
                </w:p>
              </w:tc>
              <w:tc>
                <w:tcPr>
                  <w:tcW w:w="534" w:type="pct"/>
                  <w:noWrap w:val="0"/>
                  <w:vAlign w:val="center"/>
                </w:tcPr>
                <w:p>
                  <w:pPr>
                    <w:jc w:val="center"/>
                    <w:rPr>
                      <w:sz w:val="21"/>
                      <w:szCs w:val="21"/>
                    </w:rPr>
                  </w:pPr>
                  <w:r>
                    <w:rPr>
                      <w:rFonts w:hint="eastAsia"/>
                      <w:sz w:val="21"/>
                      <w:szCs w:val="21"/>
                    </w:rPr>
                    <w:t>未检出</w:t>
                  </w:r>
                </w:p>
              </w:tc>
              <w:tc>
                <w:tcPr>
                  <w:tcW w:w="557" w:type="pct"/>
                  <w:noWrap w:val="0"/>
                  <w:vAlign w:val="center"/>
                </w:tcPr>
                <w:p>
                  <w:pPr>
                    <w:jc w:val="center"/>
                    <w:rPr>
                      <w:sz w:val="21"/>
                      <w:szCs w:val="21"/>
                    </w:rPr>
                  </w:pPr>
                  <w:r>
                    <w:rPr>
                      <w:rFonts w:hint="eastAsia"/>
                      <w:sz w:val="21"/>
                      <w:szCs w:val="21"/>
                    </w:rPr>
                    <w:t>未检出</w:t>
                  </w:r>
                </w:p>
              </w:tc>
              <w:tc>
                <w:tcPr>
                  <w:tcW w:w="534" w:type="pct"/>
                  <w:noWrap w:val="0"/>
                  <w:vAlign w:val="center"/>
                </w:tcPr>
                <w:p>
                  <w:pPr>
                    <w:jc w:val="center"/>
                    <w:rPr>
                      <w:sz w:val="21"/>
                      <w:szCs w:val="21"/>
                    </w:rPr>
                  </w:pPr>
                  <w:r>
                    <w:rPr>
                      <w:rFonts w:hint="eastAsia"/>
                      <w:sz w:val="21"/>
                      <w:szCs w:val="21"/>
                    </w:rPr>
                    <w:t>未检出</w:t>
                  </w:r>
                </w:p>
              </w:tc>
              <w:tc>
                <w:tcPr>
                  <w:tcW w:w="545" w:type="pct"/>
                  <w:noWrap w:val="0"/>
                  <w:vAlign w:val="center"/>
                </w:tcPr>
                <w:p>
                  <w:pPr>
                    <w:jc w:val="center"/>
                    <w:rPr>
                      <w:sz w:val="21"/>
                      <w:szCs w:val="21"/>
                    </w:rPr>
                  </w:pPr>
                  <w:r>
                    <w:rPr>
                      <w:rFonts w:hint="eastAsia"/>
                      <w:sz w:val="21"/>
                      <w:szCs w:val="21"/>
                    </w:rPr>
                    <w:t>/</w:t>
                  </w:r>
                </w:p>
              </w:tc>
              <w:tc>
                <w:tcPr>
                  <w:tcW w:w="423" w:type="pct"/>
                  <w:noWrap w:val="0"/>
                  <w:vAlign w:val="center"/>
                </w:tcPr>
                <w:p>
                  <w:pPr>
                    <w:jc w:val="center"/>
                    <w:rPr>
                      <w:sz w:val="21"/>
                      <w:szCs w:val="21"/>
                    </w:rPr>
                  </w:pPr>
                  <w:r>
                    <w:rPr>
                      <w:rFonts w:hint="eastAsia"/>
                      <w:sz w:val="21"/>
                      <w:szCs w:val="21"/>
                    </w:rPr>
                    <w:t>-</w:t>
                  </w:r>
                </w:p>
              </w:tc>
              <w:tc>
                <w:tcPr>
                  <w:tcW w:w="431" w:type="pct"/>
                  <w:noWrap w:val="0"/>
                  <w:vAlign w:val="center"/>
                </w:tcPr>
                <w:p>
                  <w:pPr>
                    <w:jc w:val="center"/>
                    <w:rPr>
                      <w:rFonts w:hint="eastAsia"/>
                      <w:sz w:val="21"/>
                      <w:szCs w:val="21"/>
                    </w:rPr>
                  </w:pPr>
                  <w:r>
                    <w:rPr>
                      <w:rFonts w:hint="eastAsia"/>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458" w:type="pct"/>
                  <w:vMerge w:val="continue"/>
                  <w:tcBorders>
                    <w:bottom w:val="single" w:color="auto" w:sz="12" w:space="0"/>
                  </w:tcBorders>
                  <w:noWrap w:val="0"/>
                  <w:vAlign w:val="center"/>
                </w:tcPr>
                <w:p>
                  <w:pPr>
                    <w:jc w:val="center"/>
                    <w:rPr>
                      <w:sz w:val="21"/>
                      <w:szCs w:val="21"/>
                    </w:rPr>
                  </w:pPr>
                </w:p>
              </w:tc>
              <w:tc>
                <w:tcPr>
                  <w:tcW w:w="256" w:type="pct"/>
                  <w:vMerge w:val="continue"/>
                  <w:tcBorders>
                    <w:bottom w:val="single" w:color="auto" w:sz="12" w:space="0"/>
                  </w:tcBorders>
                  <w:noWrap w:val="0"/>
                  <w:vAlign w:val="center"/>
                </w:tcPr>
                <w:p>
                  <w:pPr>
                    <w:jc w:val="center"/>
                    <w:rPr>
                      <w:sz w:val="21"/>
                      <w:szCs w:val="21"/>
                    </w:rPr>
                  </w:pPr>
                </w:p>
              </w:tc>
              <w:tc>
                <w:tcPr>
                  <w:tcW w:w="690" w:type="pct"/>
                  <w:tcBorders>
                    <w:bottom w:val="single" w:color="auto" w:sz="12" w:space="0"/>
                  </w:tcBorders>
                  <w:noWrap w:val="0"/>
                  <w:vAlign w:val="center"/>
                </w:tcPr>
                <w:p>
                  <w:pPr>
                    <w:jc w:val="center"/>
                    <w:rPr>
                      <w:sz w:val="21"/>
                      <w:szCs w:val="21"/>
                    </w:rPr>
                  </w:pPr>
                  <w:r>
                    <w:rPr>
                      <w:rFonts w:hint="eastAsia"/>
                      <w:sz w:val="21"/>
                      <w:szCs w:val="21"/>
                    </w:rPr>
                    <w:t>粪大肠菌群</w:t>
                  </w:r>
                </w:p>
              </w:tc>
              <w:tc>
                <w:tcPr>
                  <w:tcW w:w="568" w:type="pct"/>
                  <w:tcBorders>
                    <w:bottom w:val="single" w:color="auto" w:sz="12" w:space="0"/>
                  </w:tcBorders>
                  <w:noWrap w:val="0"/>
                  <w:vAlign w:val="center"/>
                </w:tcPr>
                <w:p>
                  <w:pPr>
                    <w:jc w:val="center"/>
                    <w:rPr>
                      <w:rFonts w:hint="eastAsia"/>
                      <w:sz w:val="21"/>
                      <w:szCs w:val="21"/>
                    </w:rPr>
                  </w:pPr>
                  <w:r>
                    <w:rPr>
                      <w:rFonts w:hint="eastAsia"/>
                      <w:sz w:val="21"/>
                      <w:szCs w:val="21"/>
                    </w:rPr>
                    <w:t>MPN/L</w:t>
                  </w:r>
                </w:p>
              </w:tc>
              <w:tc>
                <w:tcPr>
                  <w:tcW w:w="534" w:type="pct"/>
                  <w:tcBorders>
                    <w:bottom w:val="single" w:color="auto" w:sz="12" w:space="0"/>
                  </w:tcBorders>
                  <w:noWrap w:val="0"/>
                  <w:vAlign w:val="center"/>
                </w:tcPr>
                <w:p>
                  <w:pPr>
                    <w:jc w:val="center"/>
                    <w:rPr>
                      <w:sz w:val="21"/>
                      <w:szCs w:val="21"/>
                    </w:rPr>
                  </w:pPr>
                  <w:r>
                    <w:rPr>
                      <w:rFonts w:hint="eastAsia"/>
                      <w:sz w:val="21"/>
                      <w:szCs w:val="21"/>
                    </w:rPr>
                    <w:t>1800</w:t>
                  </w:r>
                </w:p>
              </w:tc>
              <w:tc>
                <w:tcPr>
                  <w:tcW w:w="557" w:type="pct"/>
                  <w:tcBorders>
                    <w:bottom w:val="single" w:color="auto" w:sz="12" w:space="0"/>
                  </w:tcBorders>
                  <w:noWrap w:val="0"/>
                  <w:vAlign w:val="center"/>
                </w:tcPr>
                <w:p>
                  <w:pPr>
                    <w:jc w:val="center"/>
                    <w:rPr>
                      <w:sz w:val="21"/>
                      <w:szCs w:val="21"/>
                    </w:rPr>
                  </w:pPr>
                  <w:r>
                    <w:rPr>
                      <w:rFonts w:hint="eastAsia"/>
                      <w:sz w:val="21"/>
                      <w:szCs w:val="21"/>
                    </w:rPr>
                    <w:t>1700</w:t>
                  </w:r>
                </w:p>
              </w:tc>
              <w:tc>
                <w:tcPr>
                  <w:tcW w:w="534" w:type="pct"/>
                  <w:tcBorders>
                    <w:bottom w:val="single" w:color="auto" w:sz="12" w:space="0"/>
                  </w:tcBorders>
                  <w:noWrap w:val="0"/>
                  <w:vAlign w:val="center"/>
                </w:tcPr>
                <w:p>
                  <w:pPr>
                    <w:jc w:val="center"/>
                    <w:rPr>
                      <w:sz w:val="21"/>
                      <w:szCs w:val="21"/>
                    </w:rPr>
                  </w:pPr>
                  <w:r>
                    <w:rPr>
                      <w:rFonts w:hint="eastAsia"/>
                      <w:sz w:val="21"/>
                      <w:szCs w:val="21"/>
                    </w:rPr>
                    <w:t>2800</w:t>
                  </w:r>
                </w:p>
              </w:tc>
              <w:tc>
                <w:tcPr>
                  <w:tcW w:w="545" w:type="pct"/>
                  <w:tcBorders>
                    <w:bottom w:val="single" w:color="auto" w:sz="12" w:space="0"/>
                  </w:tcBorders>
                  <w:noWrap w:val="0"/>
                  <w:vAlign w:val="center"/>
                </w:tcPr>
                <w:p>
                  <w:pPr>
                    <w:jc w:val="center"/>
                    <w:rPr>
                      <w:sz w:val="21"/>
                      <w:szCs w:val="21"/>
                    </w:rPr>
                  </w:pPr>
                  <w:r>
                    <w:rPr>
                      <w:rFonts w:hint="eastAsia"/>
                      <w:sz w:val="21"/>
                      <w:szCs w:val="21"/>
                    </w:rPr>
                    <w:t>2100</w:t>
                  </w:r>
                </w:p>
              </w:tc>
              <w:tc>
                <w:tcPr>
                  <w:tcW w:w="423" w:type="pct"/>
                  <w:tcBorders>
                    <w:bottom w:val="single" w:color="auto" w:sz="12" w:space="0"/>
                  </w:tcBorders>
                  <w:noWrap w:val="0"/>
                  <w:vAlign w:val="center"/>
                </w:tcPr>
                <w:p>
                  <w:pPr>
                    <w:jc w:val="center"/>
                    <w:rPr>
                      <w:sz w:val="21"/>
                      <w:szCs w:val="21"/>
                    </w:rPr>
                  </w:pPr>
                  <w:r>
                    <w:rPr>
                      <w:rFonts w:hint="eastAsia"/>
                      <w:sz w:val="21"/>
                      <w:szCs w:val="21"/>
                    </w:rPr>
                    <w:t>5000</w:t>
                  </w:r>
                </w:p>
              </w:tc>
              <w:tc>
                <w:tcPr>
                  <w:tcW w:w="431" w:type="pct"/>
                  <w:tcBorders>
                    <w:bottom w:val="single" w:color="auto" w:sz="12" w:space="0"/>
                  </w:tcBorders>
                  <w:noWrap w:val="0"/>
                  <w:vAlign w:val="center"/>
                </w:tcPr>
                <w:p>
                  <w:pPr>
                    <w:jc w:val="center"/>
                    <w:rPr>
                      <w:rFonts w:hint="eastAsia"/>
                      <w:sz w:val="21"/>
                      <w:szCs w:val="21"/>
                    </w:rPr>
                  </w:pPr>
                  <w:r>
                    <w:rPr>
                      <w:rFonts w:hint="eastAsia"/>
                      <w:sz w:val="21"/>
                      <w:szCs w:val="21"/>
                    </w:rPr>
                    <w:t>达标</w:t>
                  </w:r>
                </w:p>
              </w:tc>
            </w:tr>
          </w:tbl>
          <w:p>
            <w:pPr>
              <w:spacing w:line="360" w:lineRule="auto"/>
              <w:ind w:firstLine="482" w:firstLineChars="200"/>
              <w:rPr>
                <w:b/>
                <w:bCs/>
                <w:kern w:val="0"/>
                <w:sz w:val="24"/>
              </w:rPr>
            </w:pPr>
            <w:r>
              <w:rPr>
                <w:b/>
                <w:bCs/>
                <w:kern w:val="0"/>
                <w:sz w:val="24"/>
              </w:rPr>
              <w:t>3、依托污水处理厂可行性分析</w:t>
            </w:r>
          </w:p>
          <w:p>
            <w:pPr>
              <w:spacing w:line="360" w:lineRule="auto"/>
              <w:ind w:firstLine="480" w:firstLineChars="200"/>
              <w:rPr>
                <w:kern w:val="0"/>
                <w:sz w:val="24"/>
              </w:rPr>
            </w:pPr>
            <w:r>
              <w:rPr>
                <w:rFonts w:hint="eastAsia" w:ascii="宋体" w:hAnsi="宋体" w:cs="宋体"/>
                <w:kern w:val="0"/>
                <w:sz w:val="24"/>
              </w:rPr>
              <w:t>①</w:t>
            </w:r>
            <w:r>
              <w:rPr>
                <w:kern w:val="0"/>
                <w:sz w:val="24"/>
              </w:rPr>
              <w:t>本项目废水</w:t>
            </w:r>
          </w:p>
          <w:p>
            <w:pPr>
              <w:spacing w:line="360" w:lineRule="auto"/>
              <w:ind w:firstLine="480" w:firstLineChars="200"/>
              <w:rPr>
                <w:kern w:val="0"/>
                <w:sz w:val="24"/>
              </w:rPr>
            </w:pPr>
            <w:r>
              <w:rPr>
                <w:kern w:val="0"/>
                <w:sz w:val="24"/>
              </w:rPr>
              <w:t>本项目</w:t>
            </w:r>
            <w:r>
              <w:rPr>
                <w:rFonts w:hint="eastAsia"/>
                <w:kern w:val="0"/>
                <w:sz w:val="24"/>
              </w:rPr>
              <w:t>扩建后综合污水产生量为</w:t>
            </w:r>
            <w:r>
              <w:rPr>
                <w:rFonts w:hint="eastAsia"/>
                <w:kern w:val="0"/>
                <w:sz w:val="24"/>
                <w:lang w:val="en-US" w:eastAsia="zh-CN"/>
              </w:rPr>
              <w:t>47.84</w:t>
            </w:r>
            <w:r>
              <w:rPr>
                <w:rFonts w:hint="eastAsia"/>
                <w:kern w:val="0"/>
                <w:sz w:val="24"/>
              </w:rPr>
              <w:t>m</w:t>
            </w:r>
            <w:r>
              <w:rPr>
                <w:rFonts w:hint="eastAsia"/>
                <w:kern w:val="0"/>
                <w:sz w:val="24"/>
                <w:vertAlign w:val="superscript"/>
                <w:lang w:val="en-US" w:eastAsia="zh-CN"/>
              </w:rPr>
              <w:t>3</w:t>
            </w:r>
            <w:r>
              <w:rPr>
                <w:rFonts w:hint="eastAsia"/>
                <w:kern w:val="0"/>
                <w:sz w:val="24"/>
              </w:rPr>
              <w:t>/d，</w:t>
            </w:r>
            <w:r>
              <w:rPr>
                <w:kern w:val="0"/>
                <w:sz w:val="24"/>
              </w:rPr>
              <w:t>废水经</w:t>
            </w:r>
            <w:r>
              <w:rPr>
                <w:rFonts w:hint="eastAsia"/>
                <w:kern w:val="0"/>
                <w:sz w:val="24"/>
                <w:lang w:eastAsia="zh-CN"/>
              </w:rPr>
              <w:t>院内现有</w:t>
            </w:r>
            <w:r>
              <w:rPr>
                <w:kern w:val="0"/>
                <w:sz w:val="24"/>
              </w:rPr>
              <w:t>污水处理站处理达《医疗机构水污染物排放标准》(GB18466-2005)中预处理标准，达标后通过市政管污水管网进入</w:t>
            </w:r>
            <w:r>
              <w:rPr>
                <w:rFonts w:hint="eastAsia"/>
                <w:kern w:val="0"/>
                <w:sz w:val="24"/>
                <w:lang w:eastAsia="zh-CN"/>
              </w:rPr>
              <w:t>乐山市第三污水</w:t>
            </w:r>
            <w:r>
              <w:rPr>
                <w:kern w:val="0"/>
                <w:sz w:val="24"/>
              </w:rPr>
              <w:t>处理厂处理达标排放。</w:t>
            </w:r>
          </w:p>
          <w:p>
            <w:pPr>
              <w:spacing w:line="360" w:lineRule="auto"/>
              <w:ind w:firstLine="480" w:firstLineChars="200"/>
              <w:rPr>
                <w:kern w:val="0"/>
                <w:sz w:val="24"/>
              </w:rPr>
            </w:pPr>
            <w:r>
              <w:rPr>
                <w:rFonts w:hint="eastAsia" w:ascii="宋体" w:hAnsi="宋体" w:cs="宋体"/>
                <w:kern w:val="0"/>
                <w:sz w:val="24"/>
              </w:rPr>
              <w:t>②</w:t>
            </w:r>
            <w:r>
              <w:rPr>
                <w:kern w:val="0"/>
                <w:sz w:val="24"/>
              </w:rPr>
              <w:t>污水处理厂规模</w:t>
            </w:r>
            <w:r>
              <w:rPr>
                <w:rFonts w:hint="eastAsia"/>
                <w:kern w:val="0"/>
                <w:sz w:val="24"/>
              </w:rPr>
              <w:t>及处理工艺</w:t>
            </w:r>
          </w:p>
          <w:p>
            <w:pPr>
              <w:spacing w:line="360" w:lineRule="auto"/>
              <w:ind w:firstLine="480" w:firstLineChars="200"/>
              <w:rPr>
                <w:kern w:val="0"/>
                <w:sz w:val="24"/>
              </w:rPr>
            </w:pPr>
            <w:r>
              <w:rPr>
                <w:rFonts w:hint="eastAsia"/>
                <w:kern w:val="0"/>
                <w:sz w:val="24"/>
                <w:lang w:eastAsia="zh-CN"/>
              </w:rPr>
              <w:t>乐山市第三污水</w:t>
            </w:r>
            <w:r>
              <w:rPr>
                <w:kern w:val="0"/>
                <w:sz w:val="24"/>
              </w:rPr>
              <w:t>处理厂设计总处理规模</w:t>
            </w:r>
            <w:r>
              <w:rPr>
                <w:rFonts w:hint="eastAsia"/>
                <w:kern w:val="0"/>
                <w:sz w:val="24"/>
                <w:lang w:val="en-US" w:eastAsia="zh-CN"/>
              </w:rPr>
              <w:t>200</w:t>
            </w:r>
            <w:r>
              <w:rPr>
                <w:kern w:val="0"/>
                <w:sz w:val="24"/>
              </w:rPr>
              <w:t>00m</w:t>
            </w:r>
            <w:r>
              <w:rPr>
                <w:kern w:val="0"/>
                <w:sz w:val="24"/>
                <w:vertAlign w:val="superscript"/>
              </w:rPr>
              <w:t>3</w:t>
            </w:r>
            <w:r>
              <w:rPr>
                <w:kern w:val="0"/>
                <w:sz w:val="24"/>
              </w:rPr>
              <w:t>/</w:t>
            </w:r>
            <w:r>
              <w:rPr>
                <w:rFonts w:hint="eastAsia"/>
                <w:kern w:val="0"/>
                <w:sz w:val="24"/>
              </w:rPr>
              <w:t>d，</w:t>
            </w:r>
            <w:r>
              <w:rPr>
                <w:kern w:val="0"/>
                <w:sz w:val="24"/>
              </w:rPr>
              <w:t>目前工程正常运行</w:t>
            </w:r>
            <w:r>
              <w:rPr>
                <w:rFonts w:hint="eastAsia"/>
                <w:kern w:val="0"/>
                <w:sz w:val="24"/>
              </w:rPr>
              <w:t>；</w:t>
            </w:r>
            <w:r>
              <w:rPr>
                <w:kern w:val="0"/>
                <w:sz w:val="24"/>
              </w:rPr>
              <w:t>采用</w:t>
            </w:r>
            <w:r>
              <w:rPr>
                <w:rFonts w:hint="eastAsia"/>
                <w:kern w:val="0"/>
                <w:sz w:val="24"/>
                <w:lang w:eastAsia="zh-CN"/>
              </w:rPr>
              <w:t>格栅</w:t>
            </w:r>
            <w:r>
              <w:rPr>
                <w:rFonts w:hint="eastAsia"/>
                <w:kern w:val="0"/>
                <w:sz w:val="24"/>
                <w:lang w:val="en-US" w:eastAsia="zh-CN"/>
              </w:rPr>
              <w:t>+曝气沉砂池+</w:t>
            </w:r>
            <w:r>
              <w:rPr>
                <w:kern w:val="0"/>
                <w:sz w:val="24"/>
              </w:rPr>
              <w:t>A</w:t>
            </w:r>
            <w:r>
              <w:rPr>
                <w:rFonts w:hint="eastAsia"/>
                <w:kern w:val="0"/>
                <w:sz w:val="24"/>
                <w:vertAlign w:val="superscript"/>
                <w:lang w:val="en-US" w:eastAsia="zh-CN"/>
              </w:rPr>
              <w:t>2</w:t>
            </w:r>
            <w:r>
              <w:rPr>
                <w:kern w:val="0"/>
                <w:sz w:val="24"/>
              </w:rPr>
              <w:t>/O</w:t>
            </w:r>
            <w:r>
              <w:rPr>
                <w:rFonts w:hint="eastAsia"/>
                <w:kern w:val="0"/>
                <w:sz w:val="24"/>
                <w:lang w:val="en-US" w:eastAsia="zh-CN"/>
              </w:rPr>
              <w:t>+深床反硝化滤池+消毒工艺</w:t>
            </w:r>
            <w:r>
              <w:rPr>
                <w:kern w:val="0"/>
                <w:sz w:val="24"/>
              </w:rPr>
              <w:t>对污水进行处理</w:t>
            </w:r>
            <w:r>
              <w:rPr>
                <w:rFonts w:hint="eastAsia"/>
                <w:kern w:val="0"/>
                <w:sz w:val="24"/>
              </w:rPr>
              <w:t>，</w:t>
            </w:r>
            <w:r>
              <w:rPr>
                <w:kern w:val="0"/>
                <w:sz w:val="24"/>
              </w:rPr>
              <w:t>出水水质执行《</w:t>
            </w:r>
            <w:r>
              <w:rPr>
                <w:rFonts w:hint="eastAsia"/>
                <w:kern w:val="0"/>
                <w:sz w:val="24"/>
                <w:lang w:eastAsia="zh-CN"/>
              </w:rPr>
              <w:t>四川省岷江、沱江流域水</w:t>
            </w:r>
            <w:r>
              <w:rPr>
                <w:kern w:val="0"/>
                <w:sz w:val="24"/>
              </w:rPr>
              <w:t>污染物排放标准》（</w:t>
            </w:r>
            <w:r>
              <w:rPr>
                <w:rFonts w:hint="eastAsia"/>
                <w:kern w:val="0"/>
                <w:sz w:val="24"/>
                <w:lang w:val="en-US" w:eastAsia="zh-CN"/>
              </w:rPr>
              <w:t>DB51/2311-2016</w:t>
            </w:r>
            <w:r>
              <w:rPr>
                <w:kern w:val="0"/>
                <w:sz w:val="24"/>
              </w:rPr>
              <w:t>）</w:t>
            </w:r>
            <w:r>
              <w:rPr>
                <w:rFonts w:hint="eastAsia"/>
                <w:kern w:val="0"/>
                <w:sz w:val="24"/>
                <w:lang w:eastAsia="zh-CN"/>
              </w:rPr>
              <w:t>和《城镇污水处理厂污染物排放标准》（</w:t>
            </w:r>
            <w:r>
              <w:rPr>
                <w:rFonts w:hint="eastAsia"/>
                <w:kern w:val="0"/>
                <w:sz w:val="24"/>
                <w:lang w:val="en-US" w:eastAsia="zh-CN"/>
              </w:rPr>
              <w:t>GB18918-2002</w:t>
            </w:r>
            <w:r>
              <w:rPr>
                <w:rFonts w:hint="eastAsia"/>
                <w:kern w:val="0"/>
                <w:sz w:val="24"/>
                <w:lang w:eastAsia="zh-CN"/>
              </w:rPr>
              <w:t>）</w:t>
            </w:r>
            <w:r>
              <w:rPr>
                <w:kern w:val="0"/>
                <w:sz w:val="24"/>
              </w:rPr>
              <w:t>一级A标准。本项目新增废水排放量为</w:t>
            </w:r>
            <w:r>
              <w:rPr>
                <w:rFonts w:hint="eastAsia"/>
                <w:kern w:val="0"/>
                <w:sz w:val="24"/>
                <w:lang w:val="en-US" w:eastAsia="zh-CN"/>
              </w:rPr>
              <w:t>29.312</w:t>
            </w:r>
            <w:r>
              <w:rPr>
                <w:kern w:val="0"/>
                <w:sz w:val="24"/>
              </w:rPr>
              <w:t>m</w:t>
            </w:r>
            <w:r>
              <w:rPr>
                <w:kern w:val="0"/>
                <w:sz w:val="24"/>
                <w:vertAlign w:val="superscript"/>
              </w:rPr>
              <w:t>3</w:t>
            </w:r>
            <w:r>
              <w:rPr>
                <w:kern w:val="0"/>
                <w:sz w:val="24"/>
              </w:rPr>
              <w:t>/d，新增污水量占污水处理厂总规模的</w:t>
            </w:r>
            <w:r>
              <w:rPr>
                <w:rFonts w:hint="eastAsia"/>
                <w:kern w:val="0"/>
                <w:sz w:val="24"/>
                <w:lang w:val="en-US" w:eastAsia="zh-CN"/>
              </w:rPr>
              <w:t>0.147</w:t>
            </w:r>
            <w:r>
              <w:rPr>
                <w:kern w:val="0"/>
                <w:sz w:val="24"/>
              </w:rPr>
              <w:t>%，远远小于污水处理厂设计规模，故本项目废水排放不会超过污水处理厂规模。</w:t>
            </w:r>
          </w:p>
          <w:p>
            <w:pPr>
              <w:spacing w:line="360" w:lineRule="auto"/>
              <w:ind w:firstLine="480" w:firstLineChars="200"/>
              <w:rPr>
                <w:kern w:val="0"/>
                <w:sz w:val="24"/>
              </w:rPr>
            </w:pPr>
            <w:r>
              <w:rPr>
                <w:rFonts w:hint="eastAsia" w:ascii="宋体" w:hAnsi="宋体" w:cs="宋体"/>
                <w:kern w:val="0"/>
                <w:sz w:val="24"/>
              </w:rPr>
              <w:t>③</w:t>
            </w:r>
            <w:r>
              <w:rPr>
                <w:kern w:val="0"/>
                <w:sz w:val="24"/>
              </w:rPr>
              <w:t>服务范围</w:t>
            </w:r>
          </w:p>
          <w:p>
            <w:pPr>
              <w:spacing w:line="360" w:lineRule="auto"/>
              <w:ind w:firstLine="480" w:firstLineChars="200"/>
              <w:rPr>
                <w:kern w:val="0"/>
                <w:sz w:val="24"/>
              </w:rPr>
            </w:pPr>
            <w:r>
              <w:rPr>
                <w:kern w:val="0"/>
                <w:sz w:val="24"/>
              </w:rPr>
              <w:t>本项目位于</w:t>
            </w:r>
            <w:r>
              <w:rPr>
                <w:rFonts w:hint="eastAsia"/>
                <w:kern w:val="0"/>
                <w:sz w:val="24"/>
              </w:rPr>
              <w:t>乐山市市中区水口镇徐月村7组456号</w:t>
            </w:r>
            <w:r>
              <w:rPr>
                <w:kern w:val="0"/>
                <w:sz w:val="24"/>
              </w:rPr>
              <w:t>，属于</w:t>
            </w:r>
            <w:r>
              <w:rPr>
                <w:rFonts w:hint="eastAsia"/>
                <w:kern w:val="0"/>
                <w:sz w:val="24"/>
                <w:lang w:eastAsia="zh-CN"/>
              </w:rPr>
              <w:t>乐山市第三污水</w:t>
            </w:r>
            <w:r>
              <w:rPr>
                <w:kern w:val="0"/>
                <w:sz w:val="24"/>
              </w:rPr>
              <w:t>处理厂纳水范围。</w:t>
            </w:r>
          </w:p>
          <w:p>
            <w:pPr>
              <w:spacing w:line="360" w:lineRule="auto"/>
              <w:ind w:firstLine="480"/>
              <w:rPr>
                <w:rFonts w:hint="eastAsia" w:hAnsi="宋体"/>
                <w:sz w:val="24"/>
              </w:rPr>
            </w:pPr>
            <w:r>
              <w:rPr>
                <w:b/>
                <w:bCs/>
                <w:kern w:val="0"/>
                <w:sz w:val="24"/>
              </w:rPr>
              <w:t>因此，本项目废水经污水站处理后符合</w:t>
            </w:r>
            <w:r>
              <w:rPr>
                <w:rFonts w:hint="eastAsia"/>
                <w:b/>
                <w:bCs/>
                <w:kern w:val="0"/>
                <w:sz w:val="24"/>
                <w:lang w:eastAsia="zh-CN"/>
              </w:rPr>
              <w:t>乐山市第三污水</w:t>
            </w:r>
            <w:r>
              <w:rPr>
                <w:rFonts w:hint="eastAsia"/>
                <w:b/>
                <w:bCs/>
                <w:kern w:val="0"/>
                <w:sz w:val="24"/>
              </w:rPr>
              <w:t>处理厂</w:t>
            </w:r>
            <w:r>
              <w:rPr>
                <w:b/>
                <w:bCs/>
                <w:kern w:val="0"/>
                <w:sz w:val="24"/>
              </w:rPr>
              <w:t>纳管标准，由</w:t>
            </w:r>
            <w:r>
              <w:rPr>
                <w:rFonts w:hint="eastAsia"/>
                <w:b/>
                <w:bCs/>
                <w:kern w:val="0"/>
                <w:sz w:val="24"/>
                <w:lang w:eastAsia="zh-CN"/>
              </w:rPr>
              <w:t>乐山市第三污水</w:t>
            </w:r>
            <w:r>
              <w:rPr>
                <w:rFonts w:hint="eastAsia"/>
                <w:b/>
                <w:bCs/>
                <w:kern w:val="0"/>
                <w:sz w:val="24"/>
              </w:rPr>
              <w:t>处理厂</w:t>
            </w:r>
            <w:r>
              <w:rPr>
                <w:b/>
                <w:bCs/>
                <w:kern w:val="0"/>
                <w:sz w:val="24"/>
              </w:rPr>
              <w:t>处理，能够确保达标排放。项目</w:t>
            </w:r>
            <w:r>
              <w:rPr>
                <w:rFonts w:hint="eastAsia"/>
                <w:b/>
                <w:bCs/>
                <w:kern w:val="0"/>
                <w:sz w:val="24"/>
              </w:rPr>
              <w:t>废水</w:t>
            </w:r>
            <w:r>
              <w:rPr>
                <w:b/>
                <w:bCs/>
                <w:kern w:val="0"/>
                <w:sz w:val="24"/>
              </w:rPr>
              <w:t>依托</w:t>
            </w:r>
            <w:r>
              <w:rPr>
                <w:rFonts w:hint="eastAsia"/>
                <w:b/>
                <w:bCs/>
                <w:kern w:val="0"/>
                <w:sz w:val="24"/>
                <w:lang w:eastAsia="zh-CN"/>
              </w:rPr>
              <w:t>乐山市第三污水</w:t>
            </w:r>
            <w:r>
              <w:rPr>
                <w:rFonts w:hint="eastAsia"/>
                <w:b/>
                <w:bCs/>
                <w:kern w:val="0"/>
                <w:sz w:val="24"/>
              </w:rPr>
              <w:t>处理厂</w:t>
            </w:r>
            <w:r>
              <w:rPr>
                <w:b/>
                <w:bCs/>
                <w:kern w:val="0"/>
                <w:sz w:val="24"/>
              </w:rPr>
              <w:t>可行</w:t>
            </w:r>
            <w:r>
              <w:rPr>
                <w:rFonts w:hint="eastAsia"/>
                <w:b/>
                <w:bCs/>
                <w:kern w:val="0"/>
                <w:sz w:val="24"/>
                <w:lang w:eastAsia="zh-CN"/>
              </w:rPr>
              <w:t>，无需整改</w:t>
            </w:r>
            <w:r>
              <w:rPr>
                <w:b/>
                <w:bCs/>
                <w:kern w:val="0"/>
                <w:sz w:val="24"/>
              </w:rPr>
              <w:t>。</w:t>
            </w:r>
          </w:p>
          <w:p>
            <w:pPr>
              <w:pStyle w:val="185"/>
              <w:ind w:firstLine="482"/>
              <w:rPr>
                <w:rFonts w:hint="eastAsia" w:ascii="Times New Roman" w:hAnsi="Times New Roman" w:eastAsia="宋体"/>
                <w:b/>
                <w:color w:val="000000"/>
                <w:lang w:eastAsia="zh-CN"/>
              </w:rPr>
            </w:pPr>
            <w:r>
              <w:rPr>
                <w:rFonts w:hint="eastAsia" w:ascii="Times New Roman" w:hAnsi="Times New Roman" w:eastAsia="宋体"/>
                <w:b/>
                <w:color w:val="000000"/>
                <w:lang w:eastAsia="zh-CN"/>
              </w:rPr>
              <w:t>（二）排放口基本情况</w:t>
            </w:r>
          </w:p>
          <w:p>
            <w:pPr>
              <w:pStyle w:val="185"/>
              <w:ind w:firstLine="482"/>
              <w:rPr>
                <w:rFonts w:hint="eastAsia" w:ascii="Times New Roman" w:hAnsi="Times New Roman" w:eastAsia="宋体"/>
                <w:b w:val="0"/>
                <w:bCs/>
                <w:color w:val="000000"/>
              </w:rPr>
            </w:pPr>
            <w:r>
              <w:rPr>
                <w:rFonts w:hint="eastAsia" w:ascii="Times New Roman" w:hAnsi="Times New Roman" w:eastAsia="宋体"/>
                <w:b w:val="0"/>
                <w:bCs/>
                <w:color w:val="000000"/>
              </w:rPr>
              <w:t>本项目无独立废水排放口，项目废水依托现有排放口排放。厂区现有废水排放口信息如下：</w:t>
            </w:r>
          </w:p>
          <w:p>
            <w:pPr>
              <w:pStyle w:val="185"/>
              <w:ind w:firstLine="482"/>
              <w:rPr>
                <w:rFonts w:hint="eastAsia" w:ascii="Times New Roman" w:hAnsi="Times New Roman" w:eastAsia="宋体"/>
                <w:b w:val="0"/>
                <w:bCs/>
                <w:color w:val="000000"/>
                <w:lang w:val="en-US" w:eastAsia="zh-CN"/>
              </w:rPr>
            </w:pPr>
            <w:r>
              <w:rPr>
                <w:rFonts w:hint="eastAsia" w:ascii="Times New Roman" w:hAnsi="Times New Roman" w:eastAsia="宋体"/>
                <w:b w:val="0"/>
                <w:bCs/>
                <w:color w:val="000000"/>
                <w:lang w:val="en-US" w:eastAsia="zh-CN"/>
              </w:rPr>
              <w:t>1、废水排放口基本情况</w:t>
            </w:r>
          </w:p>
          <w:p>
            <w:pPr>
              <w:spacing w:line="360" w:lineRule="auto"/>
              <w:ind w:firstLine="480" w:firstLineChars="200"/>
              <w:rPr>
                <w:rFonts w:hint="eastAsia" w:ascii="Times New Roman" w:hAnsi="Times New Roman" w:eastAsia="宋体" w:cs="Times New Roman"/>
                <w:b w:val="0"/>
                <w:bCs/>
                <w:color w:val="000000"/>
                <w:kern w:val="2"/>
                <w:sz w:val="24"/>
                <w:szCs w:val="24"/>
                <w:lang w:val="en-US" w:eastAsia="zh-CN" w:bidi="ar-SA"/>
              </w:rPr>
            </w:pPr>
            <w:r>
              <w:rPr>
                <w:rFonts w:hint="eastAsia" w:ascii="Times New Roman" w:hAnsi="Times New Roman" w:eastAsia="宋体" w:cs="Times New Roman"/>
                <w:b w:val="0"/>
                <w:bCs/>
                <w:color w:val="000000"/>
                <w:kern w:val="2"/>
                <w:sz w:val="24"/>
                <w:szCs w:val="24"/>
                <w:lang w:val="en-US" w:eastAsia="zh-CN" w:bidi="ar-SA"/>
              </w:rPr>
              <w:t>本项目废水间接排放口基本情况见表4-2；项目废水排放情况信息见表4-3。</w:t>
            </w:r>
          </w:p>
          <w:p>
            <w:pPr>
              <w:jc w:val="center"/>
              <w:rPr>
                <w:b/>
                <w:bCs/>
                <w:kern w:val="0"/>
                <w:szCs w:val="21"/>
              </w:rPr>
            </w:pPr>
            <w:r>
              <w:rPr>
                <w:b/>
                <w:bCs/>
                <w:kern w:val="0"/>
                <w:szCs w:val="21"/>
              </w:rPr>
              <w:t>表4-</w:t>
            </w:r>
            <w:r>
              <w:rPr>
                <w:rFonts w:hint="eastAsia"/>
                <w:b/>
                <w:bCs/>
                <w:kern w:val="0"/>
                <w:szCs w:val="21"/>
                <w:lang w:val="en-US" w:eastAsia="zh-CN"/>
              </w:rPr>
              <w:t>2</w:t>
            </w:r>
            <w:r>
              <w:rPr>
                <w:b/>
                <w:bCs/>
                <w:kern w:val="0"/>
                <w:szCs w:val="21"/>
              </w:rPr>
              <w:t xml:space="preserve">  本项目</w:t>
            </w:r>
            <w:r>
              <w:rPr>
                <w:rFonts w:hint="eastAsia"/>
                <w:b/>
                <w:bCs/>
                <w:kern w:val="0"/>
                <w:szCs w:val="21"/>
              </w:rPr>
              <w:t>废水</w:t>
            </w:r>
            <w:r>
              <w:rPr>
                <w:b/>
                <w:bCs/>
                <w:kern w:val="0"/>
                <w:szCs w:val="21"/>
              </w:rPr>
              <w:t>排放口汇总表</w:t>
            </w:r>
          </w:p>
          <w:tbl>
            <w:tblPr>
              <w:tblStyle w:val="41"/>
              <w:tblW w:w="507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1"/>
              <w:gridCol w:w="911"/>
              <w:gridCol w:w="1012"/>
              <w:gridCol w:w="713"/>
              <w:gridCol w:w="694"/>
              <w:gridCol w:w="637"/>
              <w:gridCol w:w="1406"/>
              <w:gridCol w:w="23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292" w:type="pct"/>
                  <w:vMerge w:val="restart"/>
                  <w:noWrap w:val="0"/>
                  <w:vAlign w:val="center"/>
                </w:tcPr>
                <w:p>
                  <w:pPr>
                    <w:widowControl/>
                    <w:jc w:val="center"/>
                    <w:textAlignment w:val="center"/>
                    <w:rPr>
                      <w:sz w:val="21"/>
                      <w:szCs w:val="21"/>
                    </w:rPr>
                  </w:pPr>
                  <w:r>
                    <w:rPr>
                      <w:kern w:val="0"/>
                      <w:sz w:val="21"/>
                      <w:szCs w:val="21"/>
                      <w:lang w:bidi="ar"/>
                    </w:rPr>
                    <w:t>序号</w:t>
                  </w:r>
                </w:p>
              </w:tc>
              <w:tc>
                <w:tcPr>
                  <w:tcW w:w="554" w:type="pct"/>
                  <w:vMerge w:val="restart"/>
                  <w:noWrap w:val="0"/>
                  <w:vAlign w:val="center"/>
                </w:tcPr>
                <w:p>
                  <w:pPr>
                    <w:widowControl/>
                    <w:jc w:val="center"/>
                    <w:textAlignment w:val="center"/>
                    <w:rPr>
                      <w:sz w:val="21"/>
                      <w:szCs w:val="21"/>
                    </w:rPr>
                  </w:pPr>
                  <w:r>
                    <w:rPr>
                      <w:kern w:val="0"/>
                      <w:sz w:val="21"/>
                      <w:szCs w:val="21"/>
                      <w:lang w:bidi="ar"/>
                    </w:rPr>
                    <w:t>排放口编号</w:t>
                  </w:r>
                </w:p>
              </w:tc>
              <w:tc>
                <w:tcPr>
                  <w:tcW w:w="615" w:type="pct"/>
                  <w:vMerge w:val="restart"/>
                  <w:noWrap w:val="0"/>
                  <w:vAlign w:val="center"/>
                </w:tcPr>
                <w:p>
                  <w:pPr>
                    <w:widowControl/>
                    <w:jc w:val="center"/>
                    <w:textAlignment w:val="center"/>
                    <w:rPr>
                      <w:kern w:val="0"/>
                      <w:sz w:val="21"/>
                      <w:szCs w:val="21"/>
                      <w:lang w:bidi="ar"/>
                    </w:rPr>
                  </w:pPr>
                  <w:r>
                    <w:rPr>
                      <w:kern w:val="0"/>
                      <w:sz w:val="21"/>
                      <w:szCs w:val="21"/>
                      <w:lang w:bidi="ar"/>
                    </w:rPr>
                    <w:t>废水排放量</w:t>
                  </w:r>
                </w:p>
                <w:p>
                  <w:pPr>
                    <w:widowControl/>
                    <w:jc w:val="center"/>
                    <w:textAlignment w:val="center"/>
                    <w:rPr>
                      <w:sz w:val="21"/>
                      <w:szCs w:val="21"/>
                    </w:rPr>
                  </w:pPr>
                  <w:r>
                    <w:rPr>
                      <w:kern w:val="0"/>
                      <w:sz w:val="21"/>
                      <w:szCs w:val="21"/>
                      <w:lang w:bidi="ar"/>
                    </w:rPr>
                    <w:t>（万t/a）</w:t>
                  </w:r>
                </w:p>
              </w:tc>
              <w:tc>
                <w:tcPr>
                  <w:tcW w:w="433" w:type="pct"/>
                  <w:vMerge w:val="restart"/>
                  <w:noWrap w:val="0"/>
                  <w:vAlign w:val="center"/>
                </w:tcPr>
                <w:p>
                  <w:pPr>
                    <w:widowControl/>
                    <w:jc w:val="center"/>
                    <w:textAlignment w:val="center"/>
                    <w:rPr>
                      <w:sz w:val="21"/>
                      <w:szCs w:val="21"/>
                    </w:rPr>
                  </w:pPr>
                  <w:r>
                    <w:rPr>
                      <w:kern w:val="0"/>
                      <w:sz w:val="21"/>
                      <w:szCs w:val="21"/>
                      <w:lang w:bidi="ar"/>
                    </w:rPr>
                    <w:t>排放去向</w:t>
                  </w:r>
                </w:p>
              </w:tc>
              <w:tc>
                <w:tcPr>
                  <w:tcW w:w="422" w:type="pct"/>
                  <w:vMerge w:val="restart"/>
                  <w:noWrap w:val="0"/>
                  <w:vAlign w:val="center"/>
                </w:tcPr>
                <w:p>
                  <w:pPr>
                    <w:widowControl/>
                    <w:jc w:val="center"/>
                    <w:textAlignment w:val="center"/>
                    <w:rPr>
                      <w:sz w:val="21"/>
                      <w:szCs w:val="21"/>
                    </w:rPr>
                  </w:pPr>
                  <w:r>
                    <w:rPr>
                      <w:kern w:val="0"/>
                      <w:sz w:val="21"/>
                      <w:szCs w:val="21"/>
                      <w:lang w:bidi="ar"/>
                    </w:rPr>
                    <w:t>排放规律</w:t>
                  </w:r>
                </w:p>
              </w:tc>
              <w:tc>
                <w:tcPr>
                  <w:tcW w:w="2680" w:type="pct"/>
                  <w:gridSpan w:val="3"/>
                  <w:noWrap w:val="0"/>
                  <w:vAlign w:val="center"/>
                </w:tcPr>
                <w:p>
                  <w:pPr>
                    <w:widowControl/>
                    <w:jc w:val="center"/>
                    <w:textAlignment w:val="center"/>
                    <w:rPr>
                      <w:sz w:val="21"/>
                      <w:szCs w:val="21"/>
                    </w:rPr>
                  </w:pPr>
                  <w:r>
                    <w:rPr>
                      <w:kern w:val="0"/>
                      <w:sz w:val="21"/>
                      <w:szCs w:val="21"/>
                      <w:lang w:bidi="ar"/>
                    </w:rPr>
                    <w:t>收纳污水处理厂信息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5" w:hRule="atLeast"/>
                <w:jc w:val="center"/>
              </w:trPr>
              <w:tc>
                <w:tcPr>
                  <w:tcW w:w="292" w:type="pct"/>
                  <w:vMerge w:val="continue"/>
                  <w:noWrap w:val="0"/>
                  <w:vAlign w:val="center"/>
                </w:tcPr>
                <w:p>
                  <w:pPr>
                    <w:jc w:val="center"/>
                    <w:rPr>
                      <w:sz w:val="21"/>
                      <w:szCs w:val="21"/>
                    </w:rPr>
                  </w:pPr>
                </w:p>
              </w:tc>
              <w:tc>
                <w:tcPr>
                  <w:tcW w:w="554" w:type="pct"/>
                  <w:vMerge w:val="continue"/>
                  <w:noWrap w:val="0"/>
                  <w:vAlign w:val="center"/>
                </w:tcPr>
                <w:p>
                  <w:pPr>
                    <w:jc w:val="center"/>
                    <w:rPr>
                      <w:sz w:val="21"/>
                      <w:szCs w:val="21"/>
                    </w:rPr>
                  </w:pPr>
                </w:p>
              </w:tc>
              <w:tc>
                <w:tcPr>
                  <w:tcW w:w="615" w:type="pct"/>
                  <w:vMerge w:val="continue"/>
                  <w:noWrap w:val="0"/>
                  <w:vAlign w:val="center"/>
                </w:tcPr>
                <w:p>
                  <w:pPr>
                    <w:jc w:val="center"/>
                    <w:rPr>
                      <w:sz w:val="21"/>
                      <w:szCs w:val="21"/>
                    </w:rPr>
                  </w:pPr>
                </w:p>
              </w:tc>
              <w:tc>
                <w:tcPr>
                  <w:tcW w:w="433" w:type="pct"/>
                  <w:vMerge w:val="continue"/>
                  <w:noWrap w:val="0"/>
                  <w:vAlign w:val="center"/>
                </w:tcPr>
                <w:p>
                  <w:pPr>
                    <w:jc w:val="center"/>
                    <w:rPr>
                      <w:sz w:val="21"/>
                      <w:szCs w:val="21"/>
                    </w:rPr>
                  </w:pPr>
                </w:p>
              </w:tc>
              <w:tc>
                <w:tcPr>
                  <w:tcW w:w="422" w:type="pct"/>
                  <w:vMerge w:val="continue"/>
                  <w:noWrap w:val="0"/>
                  <w:vAlign w:val="center"/>
                </w:tcPr>
                <w:p>
                  <w:pPr>
                    <w:jc w:val="center"/>
                    <w:rPr>
                      <w:sz w:val="21"/>
                      <w:szCs w:val="21"/>
                    </w:rPr>
                  </w:pPr>
                </w:p>
              </w:tc>
              <w:tc>
                <w:tcPr>
                  <w:tcW w:w="387" w:type="pct"/>
                  <w:noWrap w:val="0"/>
                  <w:vAlign w:val="center"/>
                </w:tcPr>
                <w:p>
                  <w:pPr>
                    <w:widowControl/>
                    <w:jc w:val="center"/>
                    <w:textAlignment w:val="center"/>
                    <w:rPr>
                      <w:sz w:val="21"/>
                      <w:szCs w:val="21"/>
                    </w:rPr>
                  </w:pPr>
                  <w:r>
                    <w:rPr>
                      <w:kern w:val="0"/>
                      <w:sz w:val="21"/>
                      <w:szCs w:val="21"/>
                      <w:lang w:bidi="ar"/>
                    </w:rPr>
                    <w:t>名称</w:t>
                  </w:r>
                </w:p>
              </w:tc>
              <w:tc>
                <w:tcPr>
                  <w:tcW w:w="855" w:type="pct"/>
                  <w:noWrap w:val="0"/>
                  <w:vAlign w:val="center"/>
                </w:tcPr>
                <w:p>
                  <w:pPr>
                    <w:widowControl/>
                    <w:jc w:val="center"/>
                    <w:textAlignment w:val="center"/>
                    <w:rPr>
                      <w:sz w:val="21"/>
                      <w:szCs w:val="21"/>
                    </w:rPr>
                  </w:pPr>
                  <w:r>
                    <w:rPr>
                      <w:kern w:val="0"/>
                      <w:sz w:val="21"/>
                      <w:szCs w:val="21"/>
                      <w:lang w:bidi="ar"/>
                    </w:rPr>
                    <w:t>污染物种类</w:t>
                  </w:r>
                </w:p>
              </w:tc>
              <w:tc>
                <w:tcPr>
                  <w:tcW w:w="1437" w:type="pct"/>
                  <w:noWrap w:val="0"/>
                  <w:vAlign w:val="center"/>
                </w:tcPr>
                <w:p>
                  <w:pPr>
                    <w:widowControl/>
                    <w:jc w:val="center"/>
                    <w:textAlignment w:val="center"/>
                    <w:rPr>
                      <w:sz w:val="21"/>
                      <w:szCs w:val="21"/>
                    </w:rPr>
                  </w:pPr>
                  <w:r>
                    <w:rPr>
                      <w:kern w:val="0"/>
                      <w:sz w:val="21"/>
                      <w:szCs w:val="21"/>
                      <w:lang w:bidi="ar"/>
                    </w:rPr>
                    <w:t>国家或地方污染物排放标准浓度限值/(mg/L）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292" w:type="pct"/>
                  <w:vMerge w:val="restart"/>
                  <w:noWrap w:val="0"/>
                  <w:vAlign w:val="center"/>
                </w:tcPr>
                <w:p>
                  <w:pPr>
                    <w:widowControl/>
                    <w:jc w:val="center"/>
                    <w:textAlignment w:val="center"/>
                    <w:rPr>
                      <w:sz w:val="21"/>
                      <w:szCs w:val="21"/>
                    </w:rPr>
                  </w:pPr>
                  <w:r>
                    <w:rPr>
                      <w:kern w:val="0"/>
                      <w:sz w:val="21"/>
                      <w:szCs w:val="21"/>
                      <w:lang w:bidi="ar"/>
                    </w:rPr>
                    <w:t>1</w:t>
                  </w:r>
                </w:p>
              </w:tc>
              <w:tc>
                <w:tcPr>
                  <w:tcW w:w="554" w:type="pct"/>
                  <w:vMerge w:val="restart"/>
                  <w:noWrap w:val="0"/>
                  <w:vAlign w:val="center"/>
                </w:tcPr>
                <w:p>
                  <w:pPr>
                    <w:widowControl/>
                    <w:jc w:val="center"/>
                    <w:textAlignment w:val="center"/>
                    <w:rPr>
                      <w:sz w:val="21"/>
                      <w:szCs w:val="21"/>
                    </w:rPr>
                  </w:pPr>
                  <w:r>
                    <w:rPr>
                      <w:kern w:val="0"/>
                      <w:sz w:val="21"/>
                      <w:szCs w:val="21"/>
                      <w:lang w:bidi="ar"/>
                    </w:rPr>
                    <w:t>DW001</w:t>
                  </w:r>
                </w:p>
              </w:tc>
              <w:tc>
                <w:tcPr>
                  <w:tcW w:w="615" w:type="pct"/>
                  <w:vMerge w:val="restart"/>
                  <w:noWrap w:val="0"/>
                  <w:vAlign w:val="center"/>
                </w:tcPr>
                <w:p>
                  <w:pPr>
                    <w:widowControl/>
                    <w:jc w:val="center"/>
                    <w:textAlignment w:val="center"/>
                    <w:rPr>
                      <w:rFonts w:hint="default" w:eastAsia="宋体"/>
                      <w:sz w:val="21"/>
                      <w:szCs w:val="21"/>
                      <w:lang w:val="en-US" w:eastAsia="zh-CN"/>
                    </w:rPr>
                  </w:pPr>
                  <w:r>
                    <w:rPr>
                      <w:rFonts w:hint="eastAsia"/>
                      <w:kern w:val="0"/>
                      <w:sz w:val="21"/>
                      <w:szCs w:val="21"/>
                      <w:lang w:val="en-US" w:eastAsia="zh-CN" w:bidi="ar"/>
                    </w:rPr>
                    <w:t>1.07</w:t>
                  </w:r>
                </w:p>
              </w:tc>
              <w:tc>
                <w:tcPr>
                  <w:tcW w:w="433" w:type="pct"/>
                  <w:vMerge w:val="restart"/>
                  <w:noWrap/>
                  <w:vAlign w:val="center"/>
                </w:tcPr>
                <w:p>
                  <w:pPr>
                    <w:widowControl/>
                    <w:jc w:val="center"/>
                    <w:textAlignment w:val="center"/>
                    <w:rPr>
                      <w:sz w:val="21"/>
                      <w:szCs w:val="21"/>
                    </w:rPr>
                  </w:pPr>
                  <w:r>
                    <w:rPr>
                      <w:rFonts w:hint="eastAsia"/>
                      <w:kern w:val="0"/>
                      <w:sz w:val="21"/>
                      <w:szCs w:val="21"/>
                      <w:lang w:eastAsia="zh-CN" w:bidi="ar"/>
                    </w:rPr>
                    <w:t>乐山市第三</w:t>
                  </w:r>
                  <w:r>
                    <w:rPr>
                      <w:kern w:val="0"/>
                      <w:sz w:val="21"/>
                      <w:szCs w:val="21"/>
                      <w:lang w:bidi="ar"/>
                    </w:rPr>
                    <w:t>污水处理厂</w:t>
                  </w:r>
                </w:p>
              </w:tc>
              <w:tc>
                <w:tcPr>
                  <w:tcW w:w="422" w:type="pct"/>
                  <w:vMerge w:val="restart"/>
                  <w:noWrap w:val="0"/>
                  <w:vAlign w:val="center"/>
                </w:tcPr>
                <w:p>
                  <w:pPr>
                    <w:widowControl/>
                    <w:jc w:val="center"/>
                    <w:textAlignment w:val="center"/>
                    <w:rPr>
                      <w:sz w:val="21"/>
                      <w:szCs w:val="21"/>
                    </w:rPr>
                  </w:pPr>
                  <w:r>
                    <w:rPr>
                      <w:kern w:val="0"/>
                      <w:sz w:val="21"/>
                      <w:szCs w:val="21"/>
                      <w:lang w:bidi="ar"/>
                    </w:rPr>
                    <w:t>连续排</w:t>
                  </w:r>
                  <w:r>
                    <w:rPr>
                      <w:kern w:val="0"/>
                      <w:sz w:val="21"/>
                      <w:szCs w:val="21"/>
                      <w:lang w:bidi="ar"/>
                    </w:rPr>
                    <w:br w:type="textWrapping"/>
                  </w:r>
                  <w:r>
                    <w:rPr>
                      <w:kern w:val="0"/>
                      <w:sz w:val="21"/>
                      <w:szCs w:val="21"/>
                      <w:lang w:bidi="ar"/>
                    </w:rPr>
                    <w:t>放，流量</w:t>
                  </w:r>
                  <w:r>
                    <w:rPr>
                      <w:kern w:val="0"/>
                      <w:sz w:val="21"/>
                      <w:szCs w:val="21"/>
                      <w:lang w:bidi="ar"/>
                    </w:rPr>
                    <w:br w:type="textWrapping"/>
                  </w:r>
                  <w:r>
                    <w:rPr>
                      <w:kern w:val="0"/>
                      <w:sz w:val="21"/>
                      <w:szCs w:val="21"/>
                      <w:lang w:bidi="ar"/>
                    </w:rPr>
                    <w:t>稳定</w:t>
                  </w:r>
                </w:p>
              </w:tc>
              <w:tc>
                <w:tcPr>
                  <w:tcW w:w="387" w:type="pct"/>
                  <w:vMerge w:val="restart"/>
                  <w:noWrap/>
                  <w:vAlign w:val="center"/>
                </w:tcPr>
                <w:p>
                  <w:pPr>
                    <w:widowControl/>
                    <w:jc w:val="center"/>
                    <w:textAlignment w:val="center"/>
                    <w:rPr>
                      <w:sz w:val="21"/>
                      <w:szCs w:val="21"/>
                    </w:rPr>
                  </w:pPr>
                  <w:r>
                    <w:rPr>
                      <w:rFonts w:hint="eastAsia"/>
                      <w:kern w:val="0"/>
                      <w:sz w:val="21"/>
                      <w:szCs w:val="21"/>
                      <w:lang w:eastAsia="zh-CN" w:bidi="ar"/>
                    </w:rPr>
                    <w:t>乐山市第三</w:t>
                  </w:r>
                  <w:r>
                    <w:rPr>
                      <w:kern w:val="0"/>
                      <w:sz w:val="21"/>
                      <w:szCs w:val="21"/>
                      <w:lang w:bidi="ar"/>
                    </w:rPr>
                    <w:t>污水处理厂</w:t>
                  </w:r>
                </w:p>
              </w:tc>
              <w:tc>
                <w:tcPr>
                  <w:tcW w:w="855" w:type="pct"/>
                  <w:noWrap w:val="0"/>
                  <w:vAlign w:val="center"/>
                </w:tcPr>
                <w:p>
                  <w:pPr>
                    <w:widowControl/>
                    <w:jc w:val="center"/>
                    <w:textAlignment w:val="center"/>
                    <w:rPr>
                      <w:sz w:val="21"/>
                      <w:szCs w:val="21"/>
                    </w:rPr>
                  </w:pPr>
                  <w:r>
                    <w:rPr>
                      <w:kern w:val="0"/>
                      <w:sz w:val="21"/>
                      <w:szCs w:val="21"/>
                      <w:lang w:bidi="ar"/>
                    </w:rPr>
                    <w:t>COD</w:t>
                  </w:r>
                </w:p>
              </w:tc>
              <w:tc>
                <w:tcPr>
                  <w:tcW w:w="1437" w:type="pct"/>
                  <w:noWrap w:val="0"/>
                  <w:vAlign w:val="center"/>
                </w:tcPr>
                <w:p>
                  <w:pPr>
                    <w:widowControl/>
                    <w:jc w:val="center"/>
                    <w:textAlignment w:val="center"/>
                    <w:rPr>
                      <w:sz w:val="21"/>
                      <w:szCs w:val="21"/>
                    </w:rPr>
                  </w:pPr>
                  <w:r>
                    <w:rPr>
                      <w:kern w:val="0"/>
                      <w:sz w:val="21"/>
                      <w:szCs w:val="21"/>
                      <w:lang w:bidi="ar"/>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292" w:type="pct"/>
                  <w:vMerge w:val="continue"/>
                  <w:noWrap/>
                  <w:vAlign w:val="center"/>
                </w:tcPr>
                <w:p>
                  <w:pPr>
                    <w:jc w:val="center"/>
                    <w:rPr>
                      <w:sz w:val="21"/>
                      <w:szCs w:val="21"/>
                    </w:rPr>
                  </w:pPr>
                </w:p>
              </w:tc>
              <w:tc>
                <w:tcPr>
                  <w:tcW w:w="554" w:type="pct"/>
                  <w:vMerge w:val="continue"/>
                  <w:noWrap/>
                  <w:vAlign w:val="center"/>
                </w:tcPr>
                <w:p>
                  <w:pPr>
                    <w:jc w:val="center"/>
                    <w:rPr>
                      <w:sz w:val="21"/>
                      <w:szCs w:val="21"/>
                    </w:rPr>
                  </w:pPr>
                </w:p>
              </w:tc>
              <w:tc>
                <w:tcPr>
                  <w:tcW w:w="615" w:type="pct"/>
                  <w:vMerge w:val="continue"/>
                  <w:noWrap/>
                  <w:vAlign w:val="center"/>
                </w:tcPr>
                <w:p>
                  <w:pPr>
                    <w:jc w:val="center"/>
                    <w:rPr>
                      <w:sz w:val="21"/>
                      <w:szCs w:val="21"/>
                    </w:rPr>
                  </w:pPr>
                </w:p>
              </w:tc>
              <w:tc>
                <w:tcPr>
                  <w:tcW w:w="433" w:type="pct"/>
                  <w:vMerge w:val="continue"/>
                  <w:noWrap/>
                  <w:vAlign w:val="center"/>
                </w:tcPr>
                <w:p>
                  <w:pPr>
                    <w:jc w:val="center"/>
                    <w:rPr>
                      <w:sz w:val="21"/>
                      <w:szCs w:val="21"/>
                    </w:rPr>
                  </w:pPr>
                </w:p>
              </w:tc>
              <w:tc>
                <w:tcPr>
                  <w:tcW w:w="422" w:type="pct"/>
                  <w:vMerge w:val="continue"/>
                  <w:noWrap/>
                  <w:vAlign w:val="center"/>
                </w:tcPr>
                <w:p>
                  <w:pPr>
                    <w:jc w:val="center"/>
                    <w:rPr>
                      <w:sz w:val="21"/>
                      <w:szCs w:val="21"/>
                    </w:rPr>
                  </w:pPr>
                </w:p>
              </w:tc>
              <w:tc>
                <w:tcPr>
                  <w:tcW w:w="387" w:type="pct"/>
                  <w:vMerge w:val="continue"/>
                  <w:noWrap/>
                  <w:vAlign w:val="center"/>
                </w:tcPr>
                <w:p>
                  <w:pPr>
                    <w:jc w:val="center"/>
                    <w:rPr>
                      <w:sz w:val="21"/>
                      <w:szCs w:val="21"/>
                    </w:rPr>
                  </w:pPr>
                </w:p>
              </w:tc>
              <w:tc>
                <w:tcPr>
                  <w:tcW w:w="855" w:type="pct"/>
                  <w:noWrap w:val="0"/>
                  <w:vAlign w:val="center"/>
                </w:tcPr>
                <w:p>
                  <w:pPr>
                    <w:widowControl/>
                    <w:jc w:val="center"/>
                    <w:textAlignment w:val="center"/>
                    <w:rPr>
                      <w:sz w:val="21"/>
                      <w:szCs w:val="21"/>
                    </w:rPr>
                  </w:pPr>
                  <w:r>
                    <w:rPr>
                      <w:kern w:val="0"/>
                      <w:sz w:val="21"/>
                      <w:szCs w:val="21"/>
                      <w:lang w:bidi="ar"/>
                    </w:rPr>
                    <w:t>BOD</w:t>
                  </w:r>
                  <w:r>
                    <w:rPr>
                      <w:kern w:val="0"/>
                      <w:sz w:val="21"/>
                      <w:szCs w:val="21"/>
                      <w:vertAlign w:val="subscript"/>
                      <w:lang w:bidi="ar"/>
                    </w:rPr>
                    <w:t>5</w:t>
                  </w:r>
                </w:p>
              </w:tc>
              <w:tc>
                <w:tcPr>
                  <w:tcW w:w="1437" w:type="pct"/>
                  <w:noWrap w:val="0"/>
                  <w:vAlign w:val="center"/>
                </w:tcPr>
                <w:p>
                  <w:pPr>
                    <w:widowControl/>
                    <w:jc w:val="center"/>
                    <w:textAlignment w:val="center"/>
                    <w:rPr>
                      <w:sz w:val="21"/>
                      <w:szCs w:val="21"/>
                    </w:rPr>
                  </w:pPr>
                  <w:r>
                    <w:rPr>
                      <w:kern w:val="0"/>
                      <w:sz w:val="21"/>
                      <w:szCs w:val="21"/>
                      <w:lang w:bidi="ar"/>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292" w:type="pct"/>
                  <w:vMerge w:val="continue"/>
                  <w:noWrap/>
                  <w:vAlign w:val="center"/>
                </w:tcPr>
                <w:p>
                  <w:pPr>
                    <w:jc w:val="center"/>
                    <w:rPr>
                      <w:sz w:val="21"/>
                      <w:szCs w:val="21"/>
                    </w:rPr>
                  </w:pPr>
                </w:p>
              </w:tc>
              <w:tc>
                <w:tcPr>
                  <w:tcW w:w="554" w:type="pct"/>
                  <w:vMerge w:val="continue"/>
                  <w:noWrap/>
                  <w:vAlign w:val="center"/>
                </w:tcPr>
                <w:p>
                  <w:pPr>
                    <w:jc w:val="center"/>
                    <w:rPr>
                      <w:sz w:val="21"/>
                      <w:szCs w:val="21"/>
                    </w:rPr>
                  </w:pPr>
                </w:p>
              </w:tc>
              <w:tc>
                <w:tcPr>
                  <w:tcW w:w="615" w:type="pct"/>
                  <w:vMerge w:val="continue"/>
                  <w:noWrap/>
                  <w:vAlign w:val="center"/>
                </w:tcPr>
                <w:p>
                  <w:pPr>
                    <w:jc w:val="center"/>
                    <w:rPr>
                      <w:sz w:val="21"/>
                      <w:szCs w:val="21"/>
                    </w:rPr>
                  </w:pPr>
                </w:p>
              </w:tc>
              <w:tc>
                <w:tcPr>
                  <w:tcW w:w="433" w:type="pct"/>
                  <w:vMerge w:val="continue"/>
                  <w:noWrap/>
                  <w:vAlign w:val="center"/>
                </w:tcPr>
                <w:p>
                  <w:pPr>
                    <w:jc w:val="center"/>
                    <w:rPr>
                      <w:sz w:val="21"/>
                      <w:szCs w:val="21"/>
                    </w:rPr>
                  </w:pPr>
                </w:p>
              </w:tc>
              <w:tc>
                <w:tcPr>
                  <w:tcW w:w="422" w:type="pct"/>
                  <w:vMerge w:val="continue"/>
                  <w:noWrap/>
                  <w:vAlign w:val="center"/>
                </w:tcPr>
                <w:p>
                  <w:pPr>
                    <w:jc w:val="center"/>
                    <w:rPr>
                      <w:sz w:val="21"/>
                      <w:szCs w:val="21"/>
                    </w:rPr>
                  </w:pPr>
                </w:p>
              </w:tc>
              <w:tc>
                <w:tcPr>
                  <w:tcW w:w="387" w:type="pct"/>
                  <w:vMerge w:val="continue"/>
                  <w:noWrap/>
                  <w:vAlign w:val="center"/>
                </w:tcPr>
                <w:p>
                  <w:pPr>
                    <w:jc w:val="center"/>
                    <w:rPr>
                      <w:sz w:val="21"/>
                      <w:szCs w:val="21"/>
                    </w:rPr>
                  </w:pPr>
                </w:p>
              </w:tc>
              <w:tc>
                <w:tcPr>
                  <w:tcW w:w="855" w:type="pct"/>
                  <w:noWrap w:val="0"/>
                  <w:vAlign w:val="center"/>
                </w:tcPr>
                <w:p>
                  <w:pPr>
                    <w:widowControl/>
                    <w:jc w:val="center"/>
                    <w:textAlignment w:val="center"/>
                    <w:rPr>
                      <w:sz w:val="21"/>
                      <w:szCs w:val="21"/>
                    </w:rPr>
                  </w:pPr>
                  <w:r>
                    <w:rPr>
                      <w:kern w:val="0"/>
                      <w:sz w:val="21"/>
                      <w:szCs w:val="21"/>
                      <w:lang w:bidi="ar"/>
                    </w:rPr>
                    <w:t>SS</w:t>
                  </w:r>
                </w:p>
              </w:tc>
              <w:tc>
                <w:tcPr>
                  <w:tcW w:w="1437" w:type="pct"/>
                  <w:noWrap w:val="0"/>
                  <w:vAlign w:val="center"/>
                </w:tcPr>
                <w:p>
                  <w:pPr>
                    <w:widowControl/>
                    <w:jc w:val="center"/>
                    <w:textAlignment w:val="center"/>
                    <w:rPr>
                      <w:sz w:val="21"/>
                      <w:szCs w:val="21"/>
                    </w:rPr>
                  </w:pPr>
                  <w:r>
                    <w:rPr>
                      <w:kern w:val="0"/>
                      <w:sz w:val="21"/>
                      <w:szCs w:val="21"/>
                      <w:lang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92" w:type="pct"/>
                  <w:vMerge w:val="continue"/>
                  <w:noWrap/>
                  <w:vAlign w:val="center"/>
                </w:tcPr>
                <w:p>
                  <w:pPr>
                    <w:jc w:val="center"/>
                    <w:rPr>
                      <w:sz w:val="21"/>
                      <w:szCs w:val="21"/>
                    </w:rPr>
                  </w:pPr>
                </w:p>
              </w:tc>
              <w:tc>
                <w:tcPr>
                  <w:tcW w:w="554" w:type="pct"/>
                  <w:vMerge w:val="continue"/>
                  <w:noWrap/>
                  <w:vAlign w:val="center"/>
                </w:tcPr>
                <w:p>
                  <w:pPr>
                    <w:jc w:val="center"/>
                    <w:rPr>
                      <w:sz w:val="21"/>
                      <w:szCs w:val="21"/>
                    </w:rPr>
                  </w:pPr>
                </w:p>
              </w:tc>
              <w:tc>
                <w:tcPr>
                  <w:tcW w:w="615" w:type="pct"/>
                  <w:vMerge w:val="continue"/>
                  <w:noWrap/>
                  <w:vAlign w:val="center"/>
                </w:tcPr>
                <w:p>
                  <w:pPr>
                    <w:jc w:val="center"/>
                    <w:rPr>
                      <w:sz w:val="21"/>
                      <w:szCs w:val="21"/>
                    </w:rPr>
                  </w:pPr>
                </w:p>
              </w:tc>
              <w:tc>
                <w:tcPr>
                  <w:tcW w:w="433" w:type="pct"/>
                  <w:vMerge w:val="continue"/>
                  <w:noWrap/>
                  <w:vAlign w:val="center"/>
                </w:tcPr>
                <w:p>
                  <w:pPr>
                    <w:jc w:val="center"/>
                    <w:rPr>
                      <w:sz w:val="21"/>
                      <w:szCs w:val="21"/>
                    </w:rPr>
                  </w:pPr>
                </w:p>
              </w:tc>
              <w:tc>
                <w:tcPr>
                  <w:tcW w:w="422" w:type="pct"/>
                  <w:vMerge w:val="continue"/>
                  <w:noWrap/>
                  <w:vAlign w:val="center"/>
                </w:tcPr>
                <w:p>
                  <w:pPr>
                    <w:jc w:val="center"/>
                    <w:rPr>
                      <w:sz w:val="21"/>
                      <w:szCs w:val="21"/>
                    </w:rPr>
                  </w:pPr>
                </w:p>
              </w:tc>
              <w:tc>
                <w:tcPr>
                  <w:tcW w:w="387" w:type="pct"/>
                  <w:vMerge w:val="continue"/>
                  <w:noWrap/>
                  <w:vAlign w:val="center"/>
                </w:tcPr>
                <w:p>
                  <w:pPr>
                    <w:jc w:val="center"/>
                    <w:rPr>
                      <w:sz w:val="21"/>
                      <w:szCs w:val="21"/>
                    </w:rPr>
                  </w:pPr>
                </w:p>
              </w:tc>
              <w:tc>
                <w:tcPr>
                  <w:tcW w:w="855" w:type="pct"/>
                  <w:noWrap w:val="0"/>
                  <w:vAlign w:val="center"/>
                </w:tcPr>
                <w:p>
                  <w:pPr>
                    <w:widowControl/>
                    <w:jc w:val="center"/>
                    <w:textAlignment w:val="center"/>
                    <w:rPr>
                      <w:sz w:val="21"/>
                      <w:szCs w:val="21"/>
                    </w:rPr>
                  </w:pPr>
                  <w:r>
                    <w:rPr>
                      <w:kern w:val="0"/>
                      <w:sz w:val="21"/>
                      <w:szCs w:val="21"/>
                      <w:lang w:bidi="ar"/>
                    </w:rPr>
                    <w:t>NH</w:t>
                  </w:r>
                  <w:r>
                    <w:rPr>
                      <w:kern w:val="0"/>
                      <w:sz w:val="21"/>
                      <w:szCs w:val="21"/>
                      <w:vertAlign w:val="subscript"/>
                      <w:lang w:bidi="ar"/>
                    </w:rPr>
                    <w:t>3</w:t>
                  </w:r>
                  <w:r>
                    <w:rPr>
                      <w:kern w:val="0"/>
                      <w:sz w:val="21"/>
                      <w:szCs w:val="21"/>
                      <w:lang w:bidi="ar"/>
                    </w:rPr>
                    <w:t>-N</w:t>
                  </w:r>
                </w:p>
              </w:tc>
              <w:tc>
                <w:tcPr>
                  <w:tcW w:w="1437" w:type="pct"/>
                  <w:noWrap w:val="0"/>
                  <w:vAlign w:val="center"/>
                </w:tcPr>
                <w:p>
                  <w:pPr>
                    <w:widowControl/>
                    <w:jc w:val="center"/>
                    <w:textAlignment w:val="center"/>
                    <w:rPr>
                      <w:rFonts w:hint="eastAsia" w:eastAsia="宋体"/>
                      <w:sz w:val="21"/>
                      <w:szCs w:val="21"/>
                      <w:lang w:eastAsia="zh-CN"/>
                    </w:rPr>
                  </w:pPr>
                  <w:r>
                    <w:rPr>
                      <w:rFonts w:hint="eastAsia"/>
                      <w:kern w:val="0"/>
                      <w:sz w:val="21"/>
                      <w:szCs w:val="21"/>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292" w:type="pct"/>
                  <w:vMerge w:val="continue"/>
                  <w:noWrap/>
                  <w:vAlign w:val="center"/>
                </w:tcPr>
                <w:p>
                  <w:pPr>
                    <w:jc w:val="center"/>
                    <w:rPr>
                      <w:sz w:val="21"/>
                      <w:szCs w:val="21"/>
                    </w:rPr>
                  </w:pPr>
                </w:p>
              </w:tc>
              <w:tc>
                <w:tcPr>
                  <w:tcW w:w="554" w:type="pct"/>
                  <w:vMerge w:val="continue"/>
                  <w:noWrap/>
                  <w:vAlign w:val="center"/>
                </w:tcPr>
                <w:p>
                  <w:pPr>
                    <w:jc w:val="center"/>
                    <w:rPr>
                      <w:sz w:val="21"/>
                      <w:szCs w:val="21"/>
                    </w:rPr>
                  </w:pPr>
                </w:p>
              </w:tc>
              <w:tc>
                <w:tcPr>
                  <w:tcW w:w="615" w:type="pct"/>
                  <w:vMerge w:val="continue"/>
                  <w:noWrap/>
                  <w:vAlign w:val="center"/>
                </w:tcPr>
                <w:p>
                  <w:pPr>
                    <w:jc w:val="center"/>
                    <w:rPr>
                      <w:sz w:val="21"/>
                      <w:szCs w:val="21"/>
                    </w:rPr>
                  </w:pPr>
                </w:p>
              </w:tc>
              <w:tc>
                <w:tcPr>
                  <w:tcW w:w="433" w:type="pct"/>
                  <w:vMerge w:val="continue"/>
                  <w:noWrap/>
                  <w:vAlign w:val="center"/>
                </w:tcPr>
                <w:p>
                  <w:pPr>
                    <w:jc w:val="center"/>
                    <w:rPr>
                      <w:sz w:val="21"/>
                      <w:szCs w:val="21"/>
                    </w:rPr>
                  </w:pPr>
                </w:p>
              </w:tc>
              <w:tc>
                <w:tcPr>
                  <w:tcW w:w="422" w:type="pct"/>
                  <w:vMerge w:val="continue"/>
                  <w:noWrap/>
                  <w:vAlign w:val="center"/>
                </w:tcPr>
                <w:p>
                  <w:pPr>
                    <w:jc w:val="center"/>
                    <w:rPr>
                      <w:sz w:val="21"/>
                      <w:szCs w:val="21"/>
                    </w:rPr>
                  </w:pPr>
                </w:p>
              </w:tc>
              <w:tc>
                <w:tcPr>
                  <w:tcW w:w="387" w:type="pct"/>
                  <w:vMerge w:val="continue"/>
                  <w:noWrap/>
                  <w:vAlign w:val="center"/>
                </w:tcPr>
                <w:p>
                  <w:pPr>
                    <w:jc w:val="center"/>
                    <w:rPr>
                      <w:sz w:val="21"/>
                      <w:szCs w:val="21"/>
                    </w:rPr>
                  </w:pPr>
                </w:p>
              </w:tc>
              <w:tc>
                <w:tcPr>
                  <w:tcW w:w="855" w:type="pct"/>
                  <w:noWrap w:val="0"/>
                  <w:vAlign w:val="center"/>
                </w:tcPr>
                <w:p>
                  <w:pPr>
                    <w:widowControl/>
                    <w:jc w:val="center"/>
                    <w:textAlignment w:val="center"/>
                    <w:rPr>
                      <w:sz w:val="21"/>
                      <w:szCs w:val="21"/>
                    </w:rPr>
                  </w:pPr>
                  <w:r>
                    <w:rPr>
                      <w:kern w:val="0"/>
                      <w:sz w:val="21"/>
                      <w:szCs w:val="21"/>
                      <w:lang w:bidi="ar"/>
                    </w:rPr>
                    <w:t>动植物油</w:t>
                  </w:r>
                </w:p>
              </w:tc>
              <w:tc>
                <w:tcPr>
                  <w:tcW w:w="1437" w:type="pct"/>
                  <w:noWrap w:val="0"/>
                  <w:vAlign w:val="center"/>
                </w:tcPr>
                <w:p>
                  <w:pPr>
                    <w:widowControl/>
                    <w:jc w:val="center"/>
                    <w:textAlignment w:val="center"/>
                    <w:rPr>
                      <w:sz w:val="21"/>
                      <w:szCs w:val="21"/>
                    </w:rPr>
                  </w:pPr>
                  <w:r>
                    <w:rPr>
                      <w:kern w:val="0"/>
                      <w:sz w:val="21"/>
                      <w:szCs w:val="21"/>
                      <w:lang w:bidi="ar"/>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292" w:type="pct"/>
                  <w:vMerge w:val="continue"/>
                  <w:noWrap/>
                  <w:vAlign w:val="center"/>
                </w:tcPr>
                <w:p>
                  <w:pPr>
                    <w:jc w:val="center"/>
                    <w:rPr>
                      <w:sz w:val="21"/>
                      <w:szCs w:val="21"/>
                    </w:rPr>
                  </w:pPr>
                </w:p>
              </w:tc>
              <w:tc>
                <w:tcPr>
                  <w:tcW w:w="554" w:type="pct"/>
                  <w:vMerge w:val="continue"/>
                  <w:noWrap/>
                  <w:vAlign w:val="center"/>
                </w:tcPr>
                <w:p>
                  <w:pPr>
                    <w:jc w:val="center"/>
                    <w:rPr>
                      <w:sz w:val="21"/>
                      <w:szCs w:val="21"/>
                    </w:rPr>
                  </w:pPr>
                </w:p>
              </w:tc>
              <w:tc>
                <w:tcPr>
                  <w:tcW w:w="615" w:type="pct"/>
                  <w:vMerge w:val="continue"/>
                  <w:noWrap/>
                  <w:vAlign w:val="center"/>
                </w:tcPr>
                <w:p>
                  <w:pPr>
                    <w:jc w:val="center"/>
                    <w:rPr>
                      <w:sz w:val="21"/>
                      <w:szCs w:val="21"/>
                    </w:rPr>
                  </w:pPr>
                </w:p>
              </w:tc>
              <w:tc>
                <w:tcPr>
                  <w:tcW w:w="433" w:type="pct"/>
                  <w:vMerge w:val="continue"/>
                  <w:noWrap/>
                  <w:vAlign w:val="center"/>
                </w:tcPr>
                <w:p>
                  <w:pPr>
                    <w:jc w:val="center"/>
                    <w:rPr>
                      <w:sz w:val="21"/>
                      <w:szCs w:val="21"/>
                    </w:rPr>
                  </w:pPr>
                </w:p>
              </w:tc>
              <w:tc>
                <w:tcPr>
                  <w:tcW w:w="422" w:type="pct"/>
                  <w:vMerge w:val="continue"/>
                  <w:noWrap/>
                  <w:vAlign w:val="center"/>
                </w:tcPr>
                <w:p>
                  <w:pPr>
                    <w:jc w:val="center"/>
                    <w:rPr>
                      <w:sz w:val="21"/>
                      <w:szCs w:val="21"/>
                    </w:rPr>
                  </w:pPr>
                </w:p>
              </w:tc>
              <w:tc>
                <w:tcPr>
                  <w:tcW w:w="387" w:type="pct"/>
                  <w:vMerge w:val="continue"/>
                  <w:noWrap/>
                  <w:vAlign w:val="center"/>
                </w:tcPr>
                <w:p>
                  <w:pPr>
                    <w:jc w:val="center"/>
                    <w:rPr>
                      <w:sz w:val="21"/>
                      <w:szCs w:val="21"/>
                    </w:rPr>
                  </w:pPr>
                </w:p>
              </w:tc>
              <w:tc>
                <w:tcPr>
                  <w:tcW w:w="855" w:type="pct"/>
                  <w:noWrap w:val="0"/>
                  <w:vAlign w:val="center"/>
                </w:tcPr>
                <w:p>
                  <w:pPr>
                    <w:widowControl/>
                    <w:jc w:val="center"/>
                    <w:textAlignment w:val="center"/>
                    <w:rPr>
                      <w:sz w:val="21"/>
                      <w:szCs w:val="21"/>
                    </w:rPr>
                  </w:pPr>
                  <w:r>
                    <w:rPr>
                      <w:kern w:val="0"/>
                      <w:sz w:val="21"/>
                      <w:szCs w:val="21"/>
                      <w:lang w:bidi="ar"/>
                    </w:rPr>
                    <w:t>粪大肠菌群（MPN/L</w:t>
                  </w:r>
                  <w:r>
                    <w:rPr>
                      <w:rStyle w:val="174"/>
                      <w:rFonts w:hint="default" w:ascii="Times New Roman" w:hAnsi="Times New Roman"/>
                      <w:sz w:val="21"/>
                      <w:szCs w:val="21"/>
                      <w:lang w:bidi="ar"/>
                    </w:rPr>
                    <w:t>）</w:t>
                  </w:r>
                </w:p>
              </w:tc>
              <w:tc>
                <w:tcPr>
                  <w:tcW w:w="1437" w:type="pct"/>
                  <w:noWrap w:val="0"/>
                  <w:vAlign w:val="center"/>
                </w:tcPr>
                <w:p>
                  <w:pPr>
                    <w:widowControl/>
                    <w:jc w:val="center"/>
                    <w:textAlignment w:val="center"/>
                    <w:rPr>
                      <w:sz w:val="21"/>
                      <w:szCs w:val="21"/>
                    </w:rPr>
                  </w:pPr>
                  <w:r>
                    <w:rPr>
                      <w:kern w:val="0"/>
                      <w:sz w:val="21"/>
                      <w:szCs w:val="21"/>
                      <w:lang w:bidi="ar"/>
                    </w:rPr>
                    <w:t>5000</w:t>
                  </w:r>
                </w:p>
              </w:tc>
            </w:tr>
          </w:tbl>
          <w:p>
            <w:pPr>
              <w:jc w:val="center"/>
              <w:rPr>
                <w:b/>
                <w:bCs/>
                <w:kern w:val="0"/>
                <w:szCs w:val="21"/>
              </w:rPr>
            </w:pPr>
            <w:r>
              <w:rPr>
                <w:rFonts w:hint="eastAsia"/>
                <w:b/>
                <w:bCs/>
                <w:kern w:val="0"/>
                <w:szCs w:val="21"/>
              </w:rPr>
              <w:t>表4-</w:t>
            </w:r>
            <w:r>
              <w:rPr>
                <w:rFonts w:hint="eastAsia"/>
                <w:b/>
                <w:bCs/>
                <w:kern w:val="0"/>
                <w:szCs w:val="21"/>
                <w:lang w:val="en-US" w:eastAsia="zh-CN"/>
              </w:rPr>
              <w:t xml:space="preserve">3 </w:t>
            </w:r>
            <w:r>
              <w:rPr>
                <w:rFonts w:hint="eastAsia"/>
                <w:b/>
                <w:bCs/>
                <w:kern w:val="0"/>
                <w:szCs w:val="21"/>
              </w:rPr>
              <w:t xml:space="preserve"> 废水污染物排放执行标准表</w:t>
            </w:r>
          </w:p>
          <w:tbl>
            <w:tblPr>
              <w:tblStyle w:val="41"/>
              <w:tblW w:w="8118" w:type="dxa"/>
              <w:tblInd w:w="0" w:type="dxa"/>
              <w:tblLayout w:type="fixed"/>
              <w:tblCellMar>
                <w:top w:w="0" w:type="dxa"/>
                <w:left w:w="108" w:type="dxa"/>
                <w:bottom w:w="0" w:type="dxa"/>
                <w:right w:w="108" w:type="dxa"/>
              </w:tblCellMar>
            </w:tblPr>
            <w:tblGrid>
              <w:gridCol w:w="383"/>
              <w:gridCol w:w="947"/>
              <w:gridCol w:w="2066"/>
              <w:gridCol w:w="2419"/>
              <w:gridCol w:w="2303"/>
            </w:tblGrid>
            <w:tr>
              <w:tblPrEx>
                <w:tblCellMar>
                  <w:top w:w="0" w:type="dxa"/>
                  <w:left w:w="108" w:type="dxa"/>
                  <w:bottom w:w="0" w:type="dxa"/>
                  <w:right w:w="108" w:type="dxa"/>
                </w:tblCellMar>
              </w:tblPrEx>
              <w:trPr>
                <w:trHeight w:val="280" w:hRule="atLeast"/>
              </w:trPr>
              <w:tc>
                <w:tcPr>
                  <w:tcW w:w="383" w:type="dxa"/>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kern w:val="0"/>
                      <w:szCs w:val="21"/>
                      <w:lang w:bidi="ar"/>
                    </w:rPr>
                  </w:pPr>
                  <w:r>
                    <w:rPr>
                      <w:rFonts w:hint="eastAsia"/>
                      <w:kern w:val="0"/>
                      <w:szCs w:val="21"/>
                      <w:lang w:bidi="ar"/>
                    </w:rPr>
                    <w:t>序号</w:t>
                  </w:r>
                </w:p>
              </w:tc>
              <w:tc>
                <w:tcPr>
                  <w:tcW w:w="947" w:type="dxa"/>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kern w:val="0"/>
                      <w:szCs w:val="21"/>
                      <w:lang w:bidi="ar"/>
                    </w:rPr>
                  </w:pPr>
                  <w:r>
                    <w:rPr>
                      <w:rFonts w:hint="eastAsia"/>
                      <w:kern w:val="0"/>
                      <w:szCs w:val="21"/>
                      <w:lang w:bidi="ar"/>
                    </w:rPr>
                    <w:t>排放口编号</w:t>
                  </w:r>
                </w:p>
              </w:tc>
              <w:tc>
                <w:tcPr>
                  <w:tcW w:w="2066" w:type="dxa"/>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kern w:val="0"/>
                      <w:szCs w:val="21"/>
                      <w:lang w:bidi="ar"/>
                    </w:rPr>
                  </w:pPr>
                  <w:r>
                    <w:rPr>
                      <w:rFonts w:hint="eastAsia"/>
                      <w:kern w:val="0"/>
                      <w:szCs w:val="21"/>
                      <w:lang w:bidi="ar"/>
                    </w:rPr>
                    <w:t>污染物种类</w:t>
                  </w:r>
                </w:p>
              </w:tc>
              <w:tc>
                <w:tcPr>
                  <w:tcW w:w="4722" w:type="dxa"/>
                  <w:gridSpan w:val="2"/>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kern w:val="0"/>
                      <w:szCs w:val="21"/>
                      <w:lang w:bidi="ar"/>
                    </w:rPr>
                  </w:pPr>
                  <w:r>
                    <w:rPr>
                      <w:rFonts w:hint="eastAsia"/>
                      <w:kern w:val="0"/>
                      <w:szCs w:val="21"/>
                      <w:lang w:bidi="ar"/>
                    </w:rPr>
                    <w:t>国家或地方污染物排放标准及其他按规定商定的排放协议</w:t>
                  </w:r>
                </w:p>
              </w:tc>
            </w:tr>
            <w:tr>
              <w:tblPrEx>
                <w:tblCellMar>
                  <w:top w:w="0" w:type="dxa"/>
                  <w:left w:w="108" w:type="dxa"/>
                  <w:bottom w:w="0" w:type="dxa"/>
                  <w:right w:w="108" w:type="dxa"/>
                </w:tblCellMar>
              </w:tblPrEx>
              <w:trPr>
                <w:trHeight w:val="285" w:hRule="atLeast"/>
              </w:trPr>
              <w:tc>
                <w:tcPr>
                  <w:tcW w:w="383"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kern w:val="0"/>
                      <w:szCs w:val="21"/>
                      <w:lang w:bidi="ar"/>
                    </w:rPr>
                  </w:pPr>
                </w:p>
              </w:tc>
              <w:tc>
                <w:tcPr>
                  <w:tcW w:w="947"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kern w:val="0"/>
                      <w:szCs w:val="21"/>
                      <w:lang w:bidi="ar"/>
                    </w:rPr>
                  </w:pPr>
                </w:p>
              </w:tc>
              <w:tc>
                <w:tcPr>
                  <w:tcW w:w="2066"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kern w:val="0"/>
                      <w:szCs w:val="21"/>
                      <w:lang w:bidi="ar"/>
                    </w:rPr>
                  </w:pPr>
                </w:p>
              </w:tc>
              <w:tc>
                <w:tcPr>
                  <w:tcW w:w="241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kern w:val="0"/>
                      <w:szCs w:val="21"/>
                      <w:lang w:bidi="ar"/>
                    </w:rPr>
                  </w:pPr>
                  <w:r>
                    <w:rPr>
                      <w:rFonts w:hint="eastAsia"/>
                      <w:kern w:val="0"/>
                      <w:szCs w:val="21"/>
                      <w:lang w:bidi="ar"/>
                    </w:rPr>
                    <w:t>名称</w:t>
                  </w:r>
                </w:p>
              </w:tc>
              <w:tc>
                <w:tcPr>
                  <w:tcW w:w="2303"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kern w:val="0"/>
                      <w:szCs w:val="21"/>
                      <w:lang w:bidi="ar"/>
                    </w:rPr>
                  </w:pPr>
                  <w:r>
                    <w:rPr>
                      <w:rFonts w:hint="eastAsia"/>
                      <w:kern w:val="0"/>
                      <w:szCs w:val="21"/>
                      <w:lang w:bidi="ar"/>
                    </w:rPr>
                    <w:t>浓度限值/（mg/L）</w:t>
                  </w:r>
                </w:p>
              </w:tc>
            </w:tr>
            <w:tr>
              <w:tblPrEx>
                <w:tblCellMar>
                  <w:top w:w="0" w:type="dxa"/>
                  <w:left w:w="108" w:type="dxa"/>
                  <w:bottom w:w="0" w:type="dxa"/>
                  <w:right w:w="108" w:type="dxa"/>
                </w:tblCellMar>
              </w:tblPrEx>
              <w:trPr>
                <w:trHeight w:val="261" w:hRule="atLeast"/>
              </w:trPr>
              <w:tc>
                <w:tcPr>
                  <w:tcW w:w="383" w:type="dxa"/>
                  <w:vMerge w:val="restart"/>
                  <w:tcBorders>
                    <w:top w:val="single" w:color="000000" w:sz="4" w:space="0"/>
                    <w:left w:val="single" w:color="000000" w:sz="4" w:space="0"/>
                    <w:right w:val="single" w:color="000000" w:sz="4" w:space="0"/>
                  </w:tcBorders>
                  <w:noWrap w:val="0"/>
                  <w:vAlign w:val="center"/>
                </w:tcPr>
                <w:p>
                  <w:pPr>
                    <w:widowControl/>
                    <w:jc w:val="center"/>
                    <w:textAlignment w:val="center"/>
                    <w:rPr>
                      <w:kern w:val="0"/>
                      <w:szCs w:val="21"/>
                      <w:lang w:bidi="ar"/>
                    </w:rPr>
                  </w:pPr>
                  <w:r>
                    <w:rPr>
                      <w:rFonts w:hint="eastAsia"/>
                      <w:kern w:val="0"/>
                      <w:szCs w:val="21"/>
                      <w:lang w:bidi="ar"/>
                    </w:rPr>
                    <w:t>1</w:t>
                  </w:r>
                </w:p>
              </w:tc>
              <w:tc>
                <w:tcPr>
                  <w:tcW w:w="947" w:type="dxa"/>
                  <w:vMerge w:val="restart"/>
                  <w:tcBorders>
                    <w:top w:val="single" w:color="000000" w:sz="4" w:space="0"/>
                    <w:left w:val="single" w:color="000000" w:sz="4" w:space="0"/>
                    <w:right w:val="single" w:color="000000" w:sz="4" w:space="0"/>
                  </w:tcBorders>
                  <w:noWrap w:val="0"/>
                  <w:vAlign w:val="center"/>
                </w:tcPr>
                <w:p>
                  <w:pPr>
                    <w:widowControl/>
                    <w:jc w:val="center"/>
                    <w:textAlignment w:val="center"/>
                    <w:rPr>
                      <w:kern w:val="0"/>
                      <w:szCs w:val="21"/>
                      <w:lang w:bidi="ar"/>
                    </w:rPr>
                  </w:pPr>
                  <w:r>
                    <w:rPr>
                      <w:rFonts w:hint="eastAsia"/>
                      <w:kern w:val="0"/>
                      <w:szCs w:val="21"/>
                      <w:lang w:bidi="ar"/>
                    </w:rPr>
                    <w:t>DW001</w:t>
                  </w:r>
                </w:p>
              </w:tc>
              <w:tc>
                <w:tcPr>
                  <w:tcW w:w="2066" w:type="dxa"/>
                  <w:tcBorders>
                    <w:top w:val="single" w:color="000000" w:sz="4" w:space="0"/>
                    <w:left w:val="single" w:color="000000" w:sz="4" w:space="0"/>
                    <w:bottom w:val="single" w:color="000000" w:sz="4" w:space="0"/>
                    <w:right w:val="single" w:color="000000" w:sz="4" w:space="0"/>
                  </w:tcBorders>
                  <w:noWrap w:val="0"/>
                  <w:vAlign w:val="top"/>
                </w:tcPr>
                <w:p>
                  <w:pPr>
                    <w:jc w:val="center"/>
                    <w:rPr>
                      <w:iCs/>
                      <w:kern w:val="2"/>
                      <w:sz w:val="21"/>
                      <w:szCs w:val="21"/>
                      <w:lang w:val="en-US" w:eastAsia="zh-CN" w:bidi="ar-SA"/>
                    </w:rPr>
                  </w:pPr>
                  <w:r>
                    <w:rPr>
                      <w:iCs/>
                      <w:szCs w:val="21"/>
                    </w:rPr>
                    <w:t>pH</w:t>
                  </w:r>
                </w:p>
              </w:tc>
              <w:tc>
                <w:tcPr>
                  <w:tcW w:w="2419" w:type="dxa"/>
                  <w:vMerge w:val="restart"/>
                  <w:tcBorders>
                    <w:top w:val="single" w:color="000000" w:sz="4" w:space="0"/>
                    <w:left w:val="single" w:color="000000" w:sz="4" w:space="0"/>
                    <w:right w:val="single" w:color="000000" w:sz="4" w:space="0"/>
                  </w:tcBorders>
                  <w:noWrap w:val="0"/>
                  <w:vAlign w:val="center"/>
                </w:tcPr>
                <w:p>
                  <w:pPr>
                    <w:jc w:val="center"/>
                    <w:rPr>
                      <w:rFonts w:hint="default" w:eastAsia="宋体"/>
                      <w:iCs/>
                      <w:kern w:val="2"/>
                      <w:sz w:val="21"/>
                      <w:szCs w:val="21"/>
                      <w:lang w:val="en-US" w:eastAsia="zh-CN" w:bidi="ar-SA"/>
                    </w:rPr>
                  </w:pPr>
                  <w:r>
                    <w:rPr>
                      <w:rFonts w:hint="eastAsia"/>
                    </w:rPr>
                    <w:t>《医疗机构水污染物排放标准》（GB18466-2005）</w:t>
                  </w:r>
                </w:p>
              </w:tc>
              <w:tc>
                <w:tcPr>
                  <w:tcW w:w="2303" w:type="dxa"/>
                  <w:tcBorders>
                    <w:top w:val="single" w:color="000000" w:sz="4" w:space="0"/>
                    <w:left w:val="single" w:color="000000" w:sz="4" w:space="0"/>
                    <w:bottom w:val="single" w:color="000000" w:sz="4" w:space="0"/>
                    <w:right w:val="single" w:color="000000" w:sz="4" w:space="0"/>
                  </w:tcBorders>
                  <w:noWrap w:val="0"/>
                  <w:vAlign w:val="center"/>
                </w:tcPr>
                <w:p>
                  <w:pPr>
                    <w:jc w:val="center"/>
                    <w:rPr>
                      <w:iCs/>
                      <w:kern w:val="2"/>
                      <w:sz w:val="21"/>
                      <w:szCs w:val="21"/>
                      <w:lang w:val="en-US" w:eastAsia="zh-CN" w:bidi="ar-SA"/>
                    </w:rPr>
                  </w:pPr>
                  <w:r>
                    <w:rPr>
                      <w:iCs/>
                      <w:szCs w:val="21"/>
                    </w:rPr>
                    <w:t>6-9</w:t>
                  </w:r>
                </w:p>
              </w:tc>
            </w:tr>
            <w:tr>
              <w:tblPrEx>
                <w:tblCellMar>
                  <w:top w:w="0" w:type="dxa"/>
                  <w:left w:w="108" w:type="dxa"/>
                  <w:bottom w:w="0" w:type="dxa"/>
                  <w:right w:w="108" w:type="dxa"/>
                </w:tblCellMar>
              </w:tblPrEx>
              <w:trPr>
                <w:trHeight w:val="280" w:hRule="atLeast"/>
              </w:trPr>
              <w:tc>
                <w:tcPr>
                  <w:tcW w:w="383"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947"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2066" w:type="dxa"/>
                  <w:tcBorders>
                    <w:top w:val="single" w:color="000000" w:sz="4" w:space="0"/>
                    <w:left w:val="single" w:color="000000" w:sz="4" w:space="0"/>
                    <w:bottom w:val="single" w:color="000000" w:sz="4" w:space="0"/>
                    <w:right w:val="single" w:color="000000" w:sz="4" w:space="0"/>
                  </w:tcBorders>
                  <w:noWrap w:val="0"/>
                  <w:vAlign w:val="top"/>
                </w:tcPr>
                <w:p>
                  <w:pPr>
                    <w:jc w:val="center"/>
                    <w:rPr>
                      <w:rFonts w:hint="eastAsia"/>
                      <w:iCs/>
                      <w:kern w:val="2"/>
                      <w:sz w:val="21"/>
                      <w:szCs w:val="21"/>
                      <w:lang w:val="en-US" w:eastAsia="zh-CN" w:bidi="ar-SA"/>
                    </w:rPr>
                  </w:pPr>
                  <w:r>
                    <w:rPr>
                      <w:rFonts w:hint="eastAsia"/>
                      <w:iCs/>
                      <w:szCs w:val="21"/>
                    </w:rPr>
                    <w:t>色度</w:t>
                  </w:r>
                </w:p>
              </w:tc>
              <w:tc>
                <w:tcPr>
                  <w:tcW w:w="2419"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2303"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iCs/>
                      <w:kern w:val="2"/>
                      <w:sz w:val="21"/>
                      <w:szCs w:val="21"/>
                      <w:lang w:val="en-US" w:eastAsia="zh-CN" w:bidi="ar-SA"/>
                    </w:rPr>
                  </w:pPr>
                  <w:r>
                    <w:rPr>
                      <w:rFonts w:hint="eastAsia"/>
                      <w:iCs/>
                      <w:szCs w:val="21"/>
                    </w:rPr>
                    <w:t>-</w:t>
                  </w:r>
                </w:p>
              </w:tc>
            </w:tr>
            <w:tr>
              <w:tblPrEx>
                <w:tblCellMar>
                  <w:top w:w="0" w:type="dxa"/>
                  <w:left w:w="108" w:type="dxa"/>
                  <w:bottom w:w="0" w:type="dxa"/>
                  <w:right w:w="108" w:type="dxa"/>
                </w:tblCellMar>
              </w:tblPrEx>
              <w:trPr>
                <w:trHeight w:val="280" w:hRule="atLeast"/>
              </w:trPr>
              <w:tc>
                <w:tcPr>
                  <w:tcW w:w="383"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947"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2066" w:type="dxa"/>
                  <w:tcBorders>
                    <w:top w:val="single" w:color="000000" w:sz="4" w:space="0"/>
                    <w:left w:val="single" w:color="000000" w:sz="4" w:space="0"/>
                    <w:bottom w:val="single" w:color="000000" w:sz="4" w:space="0"/>
                    <w:right w:val="single" w:color="000000" w:sz="4" w:space="0"/>
                  </w:tcBorders>
                  <w:noWrap w:val="0"/>
                  <w:vAlign w:val="top"/>
                </w:tcPr>
                <w:p>
                  <w:pPr>
                    <w:jc w:val="center"/>
                    <w:rPr>
                      <w:rFonts w:hint="eastAsia"/>
                      <w:iCs/>
                      <w:kern w:val="2"/>
                      <w:sz w:val="21"/>
                      <w:szCs w:val="21"/>
                      <w:lang w:val="en-US" w:eastAsia="zh-CN" w:bidi="ar-SA"/>
                    </w:rPr>
                  </w:pPr>
                  <w:r>
                    <w:rPr>
                      <w:rFonts w:hint="eastAsia"/>
                      <w:iCs/>
                      <w:szCs w:val="21"/>
                    </w:rPr>
                    <w:t>悬浮物</w:t>
                  </w:r>
                </w:p>
              </w:tc>
              <w:tc>
                <w:tcPr>
                  <w:tcW w:w="2419"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2303" w:type="dxa"/>
                  <w:tcBorders>
                    <w:top w:val="single" w:color="000000" w:sz="4" w:space="0"/>
                    <w:left w:val="single" w:color="000000" w:sz="4" w:space="0"/>
                    <w:bottom w:val="single" w:color="000000" w:sz="4" w:space="0"/>
                    <w:right w:val="single" w:color="000000" w:sz="4" w:space="0"/>
                  </w:tcBorders>
                  <w:noWrap w:val="0"/>
                  <w:vAlign w:val="center"/>
                </w:tcPr>
                <w:p>
                  <w:pPr>
                    <w:jc w:val="center"/>
                    <w:rPr>
                      <w:iCs/>
                      <w:kern w:val="2"/>
                      <w:sz w:val="21"/>
                      <w:szCs w:val="21"/>
                      <w:lang w:val="en-US" w:eastAsia="zh-CN" w:bidi="ar-SA"/>
                    </w:rPr>
                  </w:pPr>
                  <w:r>
                    <w:rPr>
                      <w:rFonts w:hint="eastAsia"/>
                      <w:iCs/>
                      <w:szCs w:val="21"/>
                    </w:rPr>
                    <w:t>60</w:t>
                  </w:r>
                </w:p>
              </w:tc>
            </w:tr>
            <w:tr>
              <w:tblPrEx>
                <w:tblCellMar>
                  <w:top w:w="0" w:type="dxa"/>
                  <w:left w:w="108" w:type="dxa"/>
                  <w:bottom w:w="0" w:type="dxa"/>
                  <w:right w:w="108" w:type="dxa"/>
                </w:tblCellMar>
              </w:tblPrEx>
              <w:trPr>
                <w:trHeight w:val="261" w:hRule="atLeast"/>
              </w:trPr>
              <w:tc>
                <w:tcPr>
                  <w:tcW w:w="383"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947"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2066" w:type="dxa"/>
                  <w:tcBorders>
                    <w:top w:val="single" w:color="000000" w:sz="4" w:space="0"/>
                    <w:left w:val="single" w:color="000000" w:sz="4" w:space="0"/>
                    <w:bottom w:val="single" w:color="000000" w:sz="4" w:space="0"/>
                    <w:right w:val="single" w:color="000000" w:sz="4" w:space="0"/>
                  </w:tcBorders>
                  <w:noWrap w:val="0"/>
                  <w:vAlign w:val="top"/>
                </w:tcPr>
                <w:p>
                  <w:pPr>
                    <w:jc w:val="center"/>
                    <w:rPr>
                      <w:iCs/>
                      <w:kern w:val="2"/>
                      <w:sz w:val="21"/>
                      <w:szCs w:val="21"/>
                      <w:lang w:val="en-US" w:eastAsia="zh-CN" w:bidi="ar-SA"/>
                    </w:rPr>
                  </w:pPr>
                  <w:r>
                    <w:rPr>
                      <w:iCs/>
                      <w:szCs w:val="21"/>
                    </w:rPr>
                    <w:t>BOD</w:t>
                  </w:r>
                  <w:r>
                    <w:rPr>
                      <w:iCs/>
                      <w:szCs w:val="21"/>
                      <w:vertAlign w:val="subscript"/>
                    </w:rPr>
                    <w:t>5</w:t>
                  </w:r>
                </w:p>
              </w:tc>
              <w:tc>
                <w:tcPr>
                  <w:tcW w:w="2419"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2303" w:type="dxa"/>
                  <w:tcBorders>
                    <w:top w:val="single" w:color="000000" w:sz="4" w:space="0"/>
                    <w:left w:val="single" w:color="000000" w:sz="4" w:space="0"/>
                    <w:bottom w:val="single" w:color="000000" w:sz="4" w:space="0"/>
                    <w:right w:val="single" w:color="000000" w:sz="4" w:space="0"/>
                  </w:tcBorders>
                  <w:noWrap w:val="0"/>
                  <w:vAlign w:val="center"/>
                </w:tcPr>
                <w:p>
                  <w:pPr>
                    <w:jc w:val="center"/>
                    <w:rPr>
                      <w:iCs/>
                      <w:kern w:val="2"/>
                      <w:sz w:val="21"/>
                      <w:szCs w:val="21"/>
                      <w:lang w:val="en-US" w:eastAsia="zh-CN" w:bidi="ar-SA"/>
                    </w:rPr>
                  </w:pPr>
                  <w:r>
                    <w:rPr>
                      <w:rFonts w:hint="eastAsia"/>
                      <w:iCs/>
                      <w:szCs w:val="21"/>
                    </w:rPr>
                    <w:t>100</w:t>
                  </w:r>
                </w:p>
              </w:tc>
            </w:tr>
            <w:tr>
              <w:tblPrEx>
                <w:tblCellMar>
                  <w:top w:w="0" w:type="dxa"/>
                  <w:left w:w="108" w:type="dxa"/>
                  <w:bottom w:w="0" w:type="dxa"/>
                  <w:right w:w="108" w:type="dxa"/>
                </w:tblCellMar>
              </w:tblPrEx>
              <w:trPr>
                <w:trHeight w:val="261" w:hRule="atLeast"/>
              </w:trPr>
              <w:tc>
                <w:tcPr>
                  <w:tcW w:w="383"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947"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2066" w:type="dxa"/>
                  <w:tcBorders>
                    <w:top w:val="single" w:color="000000" w:sz="4" w:space="0"/>
                    <w:left w:val="single" w:color="000000" w:sz="4" w:space="0"/>
                    <w:bottom w:val="single" w:color="000000" w:sz="4" w:space="0"/>
                    <w:right w:val="single" w:color="000000" w:sz="4" w:space="0"/>
                  </w:tcBorders>
                  <w:noWrap w:val="0"/>
                  <w:vAlign w:val="top"/>
                </w:tcPr>
                <w:p>
                  <w:pPr>
                    <w:jc w:val="center"/>
                    <w:rPr>
                      <w:iCs/>
                      <w:kern w:val="2"/>
                      <w:sz w:val="21"/>
                      <w:szCs w:val="21"/>
                      <w:lang w:val="en-US" w:eastAsia="zh-CN" w:bidi="ar-SA"/>
                    </w:rPr>
                  </w:pPr>
                  <w:r>
                    <w:rPr>
                      <w:iCs/>
                      <w:szCs w:val="21"/>
                    </w:rPr>
                    <w:t>COD</w:t>
                  </w:r>
                  <w:r>
                    <w:rPr>
                      <w:iCs/>
                      <w:szCs w:val="21"/>
                      <w:vertAlign w:val="subscript"/>
                    </w:rPr>
                    <w:t>cr</w:t>
                  </w:r>
                </w:p>
              </w:tc>
              <w:tc>
                <w:tcPr>
                  <w:tcW w:w="2419"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2303" w:type="dxa"/>
                  <w:tcBorders>
                    <w:top w:val="single" w:color="000000" w:sz="4" w:space="0"/>
                    <w:left w:val="single" w:color="000000" w:sz="4" w:space="0"/>
                    <w:bottom w:val="single" w:color="000000" w:sz="4" w:space="0"/>
                    <w:right w:val="single" w:color="000000" w:sz="4" w:space="0"/>
                  </w:tcBorders>
                  <w:noWrap w:val="0"/>
                  <w:vAlign w:val="center"/>
                </w:tcPr>
                <w:p>
                  <w:pPr>
                    <w:jc w:val="center"/>
                    <w:rPr>
                      <w:iCs/>
                      <w:kern w:val="2"/>
                      <w:sz w:val="21"/>
                      <w:szCs w:val="21"/>
                      <w:lang w:val="en-US" w:eastAsia="zh-CN" w:bidi="ar-SA"/>
                    </w:rPr>
                  </w:pPr>
                  <w:r>
                    <w:rPr>
                      <w:rFonts w:hint="eastAsia"/>
                      <w:iCs/>
                      <w:szCs w:val="21"/>
                    </w:rPr>
                    <w:t>250</w:t>
                  </w:r>
                </w:p>
              </w:tc>
            </w:tr>
            <w:tr>
              <w:tblPrEx>
                <w:tblCellMar>
                  <w:top w:w="0" w:type="dxa"/>
                  <w:left w:w="108" w:type="dxa"/>
                  <w:bottom w:w="0" w:type="dxa"/>
                  <w:right w:w="108" w:type="dxa"/>
                </w:tblCellMar>
              </w:tblPrEx>
              <w:trPr>
                <w:trHeight w:val="280" w:hRule="atLeast"/>
              </w:trPr>
              <w:tc>
                <w:tcPr>
                  <w:tcW w:w="383"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947"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2066" w:type="dxa"/>
                  <w:tcBorders>
                    <w:top w:val="single" w:color="000000" w:sz="4" w:space="0"/>
                    <w:left w:val="single" w:color="000000" w:sz="4" w:space="0"/>
                    <w:bottom w:val="single" w:color="000000" w:sz="4" w:space="0"/>
                    <w:right w:val="single" w:color="000000" w:sz="4" w:space="0"/>
                  </w:tcBorders>
                  <w:noWrap w:val="0"/>
                  <w:vAlign w:val="top"/>
                </w:tcPr>
                <w:p>
                  <w:pPr>
                    <w:jc w:val="center"/>
                    <w:rPr>
                      <w:iCs/>
                      <w:kern w:val="2"/>
                      <w:sz w:val="21"/>
                      <w:szCs w:val="21"/>
                      <w:lang w:val="en-US" w:eastAsia="zh-CN" w:bidi="ar-SA"/>
                    </w:rPr>
                  </w:pPr>
                  <w:r>
                    <w:rPr>
                      <w:rFonts w:hint="eastAsia"/>
                      <w:iCs/>
                      <w:szCs w:val="21"/>
                    </w:rPr>
                    <w:t>粪大肠菌群数</w:t>
                  </w:r>
                </w:p>
              </w:tc>
              <w:tc>
                <w:tcPr>
                  <w:tcW w:w="2419"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2303"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eastAsia="宋体"/>
                      <w:iCs/>
                      <w:kern w:val="2"/>
                      <w:sz w:val="21"/>
                      <w:szCs w:val="21"/>
                      <w:lang w:val="en-US" w:eastAsia="zh-CN" w:bidi="ar-SA"/>
                    </w:rPr>
                  </w:pPr>
                  <w:r>
                    <w:rPr>
                      <w:rFonts w:hint="eastAsia"/>
                      <w:iCs/>
                      <w:szCs w:val="21"/>
                    </w:rPr>
                    <w:t>5000</w:t>
                  </w:r>
                  <w:r>
                    <w:rPr>
                      <w:rFonts w:hint="eastAsia"/>
                      <w:iCs/>
                      <w:szCs w:val="21"/>
                      <w:lang w:eastAsia="zh-CN"/>
                    </w:rPr>
                    <w:t>（</w:t>
                  </w:r>
                  <w:r>
                    <w:rPr>
                      <w:rFonts w:hint="eastAsia"/>
                      <w:iCs/>
                      <w:szCs w:val="21"/>
                    </w:rPr>
                    <w:t>MPN/L</w:t>
                  </w:r>
                  <w:r>
                    <w:rPr>
                      <w:rFonts w:hint="eastAsia"/>
                      <w:iCs/>
                      <w:szCs w:val="21"/>
                      <w:lang w:eastAsia="zh-CN"/>
                    </w:rPr>
                    <w:t>）</w:t>
                  </w:r>
                </w:p>
              </w:tc>
            </w:tr>
            <w:tr>
              <w:tblPrEx>
                <w:tblCellMar>
                  <w:top w:w="0" w:type="dxa"/>
                  <w:left w:w="108" w:type="dxa"/>
                  <w:bottom w:w="0" w:type="dxa"/>
                  <w:right w:w="108" w:type="dxa"/>
                </w:tblCellMar>
              </w:tblPrEx>
              <w:trPr>
                <w:trHeight w:val="280" w:hRule="atLeast"/>
              </w:trPr>
              <w:tc>
                <w:tcPr>
                  <w:tcW w:w="383"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947"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2066" w:type="dxa"/>
                  <w:tcBorders>
                    <w:top w:val="single" w:color="000000" w:sz="4" w:space="0"/>
                    <w:left w:val="single" w:color="000000" w:sz="4" w:space="0"/>
                    <w:bottom w:val="single" w:color="000000" w:sz="4" w:space="0"/>
                    <w:right w:val="single" w:color="000000" w:sz="4" w:space="0"/>
                  </w:tcBorders>
                  <w:noWrap w:val="0"/>
                  <w:vAlign w:val="top"/>
                </w:tcPr>
                <w:p>
                  <w:pPr>
                    <w:jc w:val="center"/>
                    <w:rPr>
                      <w:rFonts w:hint="eastAsia"/>
                      <w:caps/>
                      <w:kern w:val="2"/>
                      <w:sz w:val="21"/>
                      <w:szCs w:val="21"/>
                      <w:lang w:val="en-US" w:eastAsia="zh-CN" w:bidi="ar-SA"/>
                    </w:rPr>
                  </w:pPr>
                  <w:r>
                    <w:rPr>
                      <w:rFonts w:hint="eastAsia"/>
                      <w:caps/>
                      <w:szCs w:val="21"/>
                    </w:rPr>
                    <w:t>总余氯</w:t>
                  </w:r>
                </w:p>
              </w:tc>
              <w:tc>
                <w:tcPr>
                  <w:tcW w:w="2419" w:type="dxa"/>
                  <w:vMerge w:val="continue"/>
                  <w:tcBorders>
                    <w:left w:val="single" w:color="000000" w:sz="4" w:space="0"/>
                    <w:right w:val="single" w:color="000000" w:sz="4" w:space="0"/>
                  </w:tcBorders>
                  <w:noWrap w:val="0"/>
                  <w:vAlign w:val="center"/>
                </w:tcPr>
                <w:p>
                  <w:pPr>
                    <w:jc w:val="center"/>
                    <w:rPr>
                      <w:rFonts w:hint="eastAsia"/>
                      <w:iCs/>
                      <w:kern w:val="2"/>
                      <w:sz w:val="21"/>
                      <w:szCs w:val="21"/>
                      <w:lang w:val="en-US" w:eastAsia="zh-CN" w:bidi="ar-SA"/>
                    </w:rPr>
                  </w:pPr>
                </w:p>
              </w:tc>
              <w:tc>
                <w:tcPr>
                  <w:tcW w:w="2303"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iCs/>
                      <w:kern w:val="2"/>
                      <w:sz w:val="21"/>
                      <w:szCs w:val="21"/>
                      <w:lang w:val="en-US" w:eastAsia="zh-CN" w:bidi="ar-SA"/>
                    </w:rPr>
                  </w:pPr>
                  <w:r>
                    <w:rPr>
                      <w:rFonts w:hint="eastAsia"/>
                      <w:iCs/>
                      <w:szCs w:val="21"/>
                    </w:rPr>
                    <w:t>2-8</w:t>
                  </w:r>
                </w:p>
              </w:tc>
            </w:tr>
            <w:tr>
              <w:tblPrEx>
                <w:tblCellMar>
                  <w:top w:w="0" w:type="dxa"/>
                  <w:left w:w="108" w:type="dxa"/>
                  <w:bottom w:w="0" w:type="dxa"/>
                  <w:right w:w="108" w:type="dxa"/>
                </w:tblCellMar>
              </w:tblPrEx>
              <w:trPr>
                <w:trHeight w:val="280" w:hRule="atLeast"/>
              </w:trPr>
              <w:tc>
                <w:tcPr>
                  <w:tcW w:w="383"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947"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2066" w:type="dxa"/>
                  <w:tcBorders>
                    <w:top w:val="single" w:color="000000" w:sz="4" w:space="0"/>
                    <w:left w:val="single" w:color="000000" w:sz="4" w:space="0"/>
                    <w:bottom w:val="single" w:color="000000" w:sz="4" w:space="0"/>
                    <w:right w:val="single" w:color="000000" w:sz="4" w:space="0"/>
                  </w:tcBorders>
                  <w:noWrap w:val="0"/>
                  <w:vAlign w:val="top"/>
                </w:tcPr>
                <w:p>
                  <w:pPr>
                    <w:jc w:val="center"/>
                    <w:rPr>
                      <w:rFonts w:hint="eastAsia" w:eastAsia="宋体"/>
                      <w:caps/>
                      <w:kern w:val="2"/>
                      <w:sz w:val="21"/>
                      <w:szCs w:val="21"/>
                      <w:lang w:val="en-US" w:eastAsia="zh-CN" w:bidi="ar-SA"/>
                    </w:rPr>
                  </w:pPr>
                  <w:r>
                    <w:rPr>
                      <w:rFonts w:hint="eastAsia"/>
                      <w:caps/>
                      <w:szCs w:val="21"/>
                      <w:lang w:eastAsia="zh-CN"/>
                    </w:rPr>
                    <w:t>肠道致病菌</w:t>
                  </w:r>
                </w:p>
              </w:tc>
              <w:tc>
                <w:tcPr>
                  <w:tcW w:w="2419" w:type="dxa"/>
                  <w:vMerge w:val="continue"/>
                  <w:tcBorders>
                    <w:left w:val="single" w:color="000000" w:sz="4" w:space="0"/>
                    <w:right w:val="single" w:color="000000" w:sz="4" w:space="0"/>
                  </w:tcBorders>
                  <w:noWrap w:val="0"/>
                  <w:vAlign w:val="center"/>
                </w:tcPr>
                <w:p>
                  <w:pPr>
                    <w:jc w:val="center"/>
                    <w:rPr>
                      <w:rFonts w:hint="eastAsia" w:eastAsia="宋体"/>
                      <w:iCs/>
                      <w:kern w:val="2"/>
                      <w:sz w:val="21"/>
                      <w:szCs w:val="21"/>
                      <w:lang w:val="en-US" w:eastAsia="zh-CN" w:bidi="ar-SA"/>
                    </w:rPr>
                  </w:pPr>
                </w:p>
              </w:tc>
              <w:tc>
                <w:tcPr>
                  <w:tcW w:w="2303"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eastAsia="宋体"/>
                      <w:iCs/>
                      <w:kern w:val="2"/>
                      <w:sz w:val="21"/>
                      <w:szCs w:val="21"/>
                      <w:lang w:val="en-US" w:eastAsia="zh-CN" w:bidi="ar-SA"/>
                    </w:rPr>
                  </w:pPr>
                  <w:r>
                    <w:rPr>
                      <w:rFonts w:hint="eastAsia"/>
                      <w:iCs/>
                      <w:szCs w:val="21"/>
                      <w:lang w:val="en-US" w:eastAsia="zh-CN"/>
                    </w:rPr>
                    <w:t>-</w:t>
                  </w:r>
                </w:p>
              </w:tc>
            </w:tr>
            <w:tr>
              <w:tblPrEx>
                <w:tblCellMar>
                  <w:top w:w="0" w:type="dxa"/>
                  <w:left w:w="108" w:type="dxa"/>
                  <w:bottom w:w="0" w:type="dxa"/>
                  <w:right w:w="108" w:type="dxa"/>
                </w:tblCellMar>
              </w:tblPrEx>
              <w:trPr>
                <w:trHeight w:val="280" w:hRule="atLeast"/>
              </w:trPr>
              <w:tc>
                <w:tcPr>
                  <w:tcW w:w="383"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947"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2066" w:type="dxa"/>
                  <w:tcBorders>
                    <w:top w:val="single" w:color="000000" w:sz="4" w:space="0"/>
                    <w:left w:val="single" w:color="000000" w:sz="4" w:space="0"/>
                    <w:bottom w:val="single" w:color="000000" w:sz="4" w:space="0"/>
                    <w:right w:val="single" w:color="000000" w:sz="4" w:space="0"/>
                  </w:tcBorders>
                  <w:noWrap w:val="0"/>
                  <w:vAlign w:val="top"/>
                </w:tcPr>
                <w:p>
                  <w:pPr>
                    <w:jc w:val="center"/>
                    <w:rPr>
                      <w:rFonts w:hint="eastAsia" w:eastAsia="宋体"/>
                      <w:caps/>
                      <w:kern w:val="2"/>
                      <w:sz w:val="21"/>
                      <w:szCs w:val="21"/>
                      <w:lang w:val="en-US" w:eastAsia="zh-CN" w:bidi="ar-SA"/>
                    </w:rPr>
                  </w:pPr>
                  <w:r>
                    <w:rPr>
                      <w:rFonts w:hint="eastAsia"/>
                      <w:caps/>
                      <w:szCs w:val="21"/>
                      <w:lang w:eastAsia="zh-CN"/>
                    </w:rPr>
                    <w:t>肠道病毒</w:t>
                  </w:r>
                </w:p>
              </w:tc>
              <w:tc>
                <w:tcPr>
                  <w:tcW w:w="2419" w:type="dxa"/>
                  <w:vMerge w:val="continue"/>
                  <w:tcBorders>
                    <w:left w:val="single" w:color="000000" w:sz="4" w:space="0"/>
                    <w:right w:val="single" w:color="000000" w:sz="4" w:space="0"/>
                  </w:tcBorders>
                  <w:noWrap w:val="0"/>
                  <w:vAlign w:val="center"/>
                </w:tcPr>
                <w:p>
                  <w:pPr>
                    <w:jc w:val="center"/>
                    <w:rPr>
                      <w:rFonts w:hint="eastAsia" w:eastAsia="宋体"/>
                      <w:iCs/>
                      <w:kern w:val="2"/>
                      <w:sz w:val="21"/>
                      <w:szCs w:val="21"/>
                      <w:lang w:val="en-US" w:eastAsia="zh-CN" w:bidi="ar-SA"/>
                    </w:rPr>
                  </w:pPr>
                </w:p>
              </w:tc>
              <w:tc>
                <w:tcPr>
                  <w:tcW w:w="2303"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eastAsia="宋体"/>
                      <w:iCs/>
                      <w:kern w:val="2"/>
                      <w:sz w:val="21"/>
                      <w:szCs w:val="21"/>
                      <w:lang w:val="en-US" w:eastAsia="zh-CN" w:bidi="ar-SA"/>
                    </w:rPr>
                  </w:pPr>
                  <w:r>
                    <w:rPr>
                      <w:rFonts w:hint="eastAsia"/>
                      <w:iCs/>
                      <w:szCs w:val="21"/>
                      <w:lang w:val="en-US" w:eastAsia="zh-CN"/>
                    </w:rPr>
                    <w:t>-</w:t>
                  </w:r>
                </w:p>
              </w:tc>
            </w:tr>
            <w:tr>
              <w:tblPrEx>
                <w:tblCellMar>
                  <w:top w:w="0" w:type="dxa"/>
                  <w:left w:w="108" w:type="dxa"/>
                  <w:bottom w:w="0" w:type="dxa"/>
                  <w:right w:w="108" w:type="dxa"/>
                </w:tblCellMar>
              </w:tblPrEx>
              <w:trPr>
                <w:trHeight w:val="280" w:hRule="atLeast"/>
              </w:trPr>
              <w:tc>
                <w:tcPr>
                  <w:tcW w:w="383"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947"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2066" w:type="dxa"/>
                  <w:tcBorders>
                    <w:top w:val="single" w:color="000000" w:sz="4" w:space="0"/>
                    <w:left w:val="single" w:color="000000" w:sz="4" w:space="0"/>
                    <w:bottom w:val="single" w:color="000000" w:sz="4" w:space="0"/>
                    <w:right w:val="single" w:color="000000" w:sz="4" w:space="0"/>
                  </w:tcBorders>
                  <w:noWrap w:val="0"/>
                  <w:vAlign w:val="top"/>
                </w:tcPr>
                <w:p>
                  <w:pPr>
                    <w:jc w:val="center"/>
                    <w:rPr>
                      <w:rFonts w:hint="eastAsia" w:eastAsia="宋体"/>
                      <w:caps/>
                      <w:kern w:val="2"/>
                      <w:sz w:val="21"/>
                      <w:szCs w:val="21"/>
                      <w:lang w:val="en-US" w:eastAsia="zh-CN" w:bidi="ar-SA"/>
                    </w:rPr>
                  </w:pPr>
                  <w:r>
                    <w:rPr>
                      <w:rFonts w:hint="eastAsia"/>
                      <w:caps/>
                      <w:szCs w:val="21"/>
                      <w:lang w:eastAsia="zh-CN"/>
                    </w:rPr>
                    <w:t>氨氮</w:t>
                  </w:r>
                </w:p>
              </w:tc>
              <w:tc>
                <w:tcPr>
                  <w:tcW w:w="2419" w:type="dxa"/>
                  <w:vMerge w:val="continue"/>
                  <w:tcBorders>
                    <w:left w:val="single" w:color="000000" w:sz="4" w:space="0"/>
                    <w:right w:val="single" w:color="000000" w:sz="4" w:space="0"/>
                  </w:tcBorders>
                  <w:noWrap w:val="0"/>
                  <w:vAlign w:val="center"/>
                </w:tcPr>
                <w:p>
                  <w:pPr>
                    <w:jc w:val="center"/>
                    <w:rPr>
                      <w:rFonts w:hint="eastAsia" w:eastAsia="宋体"/>
                      <w:iCs/>
                      <w:kern w:val="2"/>
                      <w:sz w:val="21"/>
                      <w:szCs w:val="21"/>
                      <w:lang w:val="en-US" w:eastAsia="zh-CN" w:bidi="ar-SA"/>
                    </w:rPr>
                  </w:pPr>
                </w:p>
              </w:tc>
              <w:tc>
                <w:tcPr>
                  <w:tcW w:w="2303"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eastAsia="宋体"/>
                      <w:iCs/>
                      <w:kern w:val="2"/>
                      <w:sz w:val="21"/>
                      <w:szCs w:val="21"/>
                      <w:lang w:val="en-US" w:eastAsia="zh-CN" w:bidi="ar-SA"/>
                    </w:rPr>
                  </w:pPr>
                  <w:r>
                    <w:rPr>
                      <w:rFonts w:hint="eastAsia"/>
                      <w:iCs/>
                      <w:szCs w:val="21"/>
                      <w:lang w:val="en-US" w:eastAsia="zh-CN"/>
                    </w:rPr>
                    <w:t>-</w:t>
                  </w:r>
                </w:p>
              </w:tc>
            </w:tr>
            <w:tr>
              <w:tblPrEx>
                <w:tblCellMar>
                  <w:top w:w="0" w:type="dxa"/>
                  <w:left w:w="108" w:type="dxa"/>
                  <w:bottom w:w="0" w:type="dxa"/>
                  <w:right w:w="108" w:type="dxa"/>
                </w:tblCellMar>
              </w:tblPrEx>
              <w:trPr>
                <w:trHeight w:val="280" w:hRule="atLeast"/>
              </w:trPr>
              <w:tc>
                <w:tcPr>
                  <w:tcW w:w="383"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947"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2066" w:type="dxa"/>
                  <w:tcBorders>
                    <w:top w:val="single" w:color="000000" w:sz="4" w:space="0"/>
                    <w:left w:val="single" w:color="000000" w:sz="4" w:space="0"/>
                    <w:bottom w:val="single" w:color="000000" w:sz="4" w:space="0"/>
                    <w:right w:val="single" w:color="000000" w:sz="4" w:space="0"/>
                  </w:tcBorders>
                  <w:noWrap w:val="0"/>
                  <w:vAlign w:val="top"/>
                </w:tcPr>
                <w:p>
                  <w:pPr>
                    <w:jc w:val="center"/>
                    <w:rPr>
                      <w:rFonts w:hint="eastAsia" w:eastAsia="宋体"/>
                      <w:caps/>
                      <w:kern w:val="2"/>
                      <w:sz w:val="21"/>
                      <w:szCs w:val="21"/>
                      <w:lang w:val="en-US" w:eastAsia="zh-CN" w:bidi="ar-SA"/>
                    </w:rPr>
                  </w:pPr>
                  <w:r>
                    <w:rPr>
                      <w:rFonts w:hint="eastAsia"/>
                      <w:caps/>
                      <w:szCs w:val="21"/>
                      <w:lang w:eastAsia="zh-CN"/>
                    </w:rPr>
                    <w:t>动植物油</w:t>
                  </w:r>
                </w:p>
              </w:tc>
              <w:tc>
                <w:tcPr>
                  <w:tcW w:w="2419" w:type="dxa"/>
                  <w:vMerge w:val="continue"/>
                  <w:tcBorders>
                    <w:left w:val="single" w:color="000000" w:sz="4" w:space="0"/>
                    <w:right w:val="single" w:color="000000" w:sz="4" w:space="0"/>
                  </w:tcBorders>
                  <w:noWrap w:val="0"/>
                  <w:vAlign w:val="center"/>
                </w:tcPr>
                <w:p>
                  <w:pPr>
                    <w:jc w:val="center"/>
                    <w:rPr>
                      <w:rFonts w:hint="default" w:eastAsia="宋体"/>
                      <w:iCs/>
                      <w:kern w:val="2"/>
                      <w:sz w:val="21"/>
                      <w:szCs w:val="21"/>
                      <w:lang w:val="en-US" w:eastAsia="zh-CN" w:bidi="ar-SA"/>
                    </w:rPr>
                  </w:pPr>
                </w:p>
              </w:tc>
              <w:tc>
                <w:tcPr>
                  <w:tcW w:w="2303"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eastAsia="宋体"/>
                      <w:iCs/>
                      <w:kern w:val="2"/>
                      <w:sz w:val="21"/>
                      <w:szCs w:val="21"/>
                      <w:lang w:val="en-US" w:eastAsia="zh-CN" w:bidi="ar-SA"/>
                    </w:rPr>
                  </w:pPr>
                  <w:r>
                    <w:rPr>
                      <w:rFonts w:hint="eastAsia"/>
                      <w:iCs/>
                      <w:szCs w:val="21"/>
                      <w:lang w:val="en-US" w:eastAsia="zh-CN"/>
                    </w:rPr>
                    <w:t>20</w:t>
                  </w:r>
                </w:p>
              </w:tc>
            </w:tr>
            <w:tr>
              <w:tblPrEx>
                <w:tblCellMar>
                  <w:top w:w="0" w:type="dxa"/>
                  <w:left w:w="108" w:type="dxa"/>
                  <w:bottom w:w="0" w:type="dxa"/>
                  <w:right w:w="108" w:type="dxa"/>
                </w:tblCellMar>
              </w:tblPrEx>
              <w:trPr>
                <w:trHeight w:val="280" w:hRule="atLeast"/>
              </w:trPr>
              <w:tc>
                <w:tcPr>
                  <w:tcW w:w="383"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947"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2066" w:type="dxa"/>
                  <w:tcBorders>
                    <w:top w:val="single" w:color="000000" w:sz="4" w:space="0"/>
                    <w:left w:val="single" w:color="000000" w:sz="4" w:space="0"/>
                    <w:bottom w:val="single" w:color="000000" w:sz="4" w:space="0"/>
                    <w:right w:val="single" w:color="000000" w:sz="4" w:space="0"/>
                  </w:tcBorders>
                  <w:noWrap w:val="0"/>
                  <w:vAlign w:val="top"/>
                </w:tcPr>
                <w:p>
                  <w:pPr>
                    <w:jc w:val="center"/>
                    <w:rPr>
                      <w:rFonts w:hint="eastAsia" w:eastAsia="宋体"/>
                      <w:caps/>
                      <w:kern w:val="2"/>
                      <w:sz w:val="21"/>
                      <w:szCs w:val="21"/>
                      <w:lang w:val="en-US" w:eastAsia="zh-CN" w:bidi="ar-SA"/>
                    </w:rPr>
                  </w:pPr>
                  <w:r>
                    <w:rPr>
                      <w:rFonts w:hint="eastAsia"/>
                      <w:caps/>
                      <w:szCs w:val="21"/>
                      <w:lang w:eastAsia="zh-CN"/>
                    </w:rPr>
                    <w:t>石油类</w:t>
                  </w:r>
                </w:p>
              </w:tc>
              <w:tc>
                <w:tcPr>
                  <w:tcW w:w="2419" w:type="dxa"/>
                  <w:vMerge w:val="continue"/>
                  <w:tcBorders>
                    <w:left w:val="single" w:color="000000" w:sz="4" w:space="0"/>
                    <w:right w:val="single" w:color="000000" w:sz="4" w:space="0"/>
                  </w:tcBorders>
                  <w:noWrap w:val="0"/>
                  <w:vAlign w:val="center"/>
                </w:tcPr>
                <w:p>
                  <w:pPr>
                    <w:jc w:val="center"/>
                    <w:rPr>
                      <w:rFonts w:hint="default" w:eastAsia="宋体"/>
                      <w:iCs/>
                      <w:kern w:val="2"/>
                      <w:sz w:val="21"/>
                      <w:szCs w:val="21"/>
                      <w:lang w:val="en-US" w:eastAsia="zh-CN" w:bidi="ar-SA"/>
                    </w:rPr>
                  </w:pPr>
                </w:p>
              </w:tc>
              <w:tc>
                <w:tcPr>
                  <w:tcW w:w="2303"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eastAsia="宋体"/>
                      <w:iCs/>
                      <w:kern w:val="2"/>
                      <w:sz w:val="21"/>
                      <w:szCs w:val="21"/>
                      <w:lang w:val="en-US" w:eastAsia="zh-CN" w:bidi="ar-SA"/>
                    </w:rPr>
                  </w:pPr>
                  <w:r>
                    <w:rPr>
                      <w:rFonts w:hint="eastAsia"/>
                      <w:iCs/>
                      <w:szCs w:val="21"/>
                      <w:lang w:val="en-US" w:eastAsia="zh-CN"/>
                    </w:rPr>
                    <w:t>20</w:t>
                  </w:r>
                </w:p>
              </w:tc>
            </w:tr>
            <w:tr>
              <w:tblPrEx>
                <w:tblCellMar>
                  <w:top w:w="0" w:type="dxa"/>
                  <w:left w:w="108" w:type="dxa"/>
                  <w:bottom w:w="0" w:type="dxa"/>
                  <w:right w:w="108" w:type="dxa"/>
                </w:tblCellMar>
              </w:tblPrEx>
              <w:trPr>
                <w:trHeight w:val="109" w:hRule="atLeast"/>
              </w:trPr>
              <w:tc>
                <w:tcPr>
                  <w:tcW w:w="383"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947"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2066" w:type="dxa"/>
                  <w:tcBorders>
                    <w:top w:val="single" w:color="000000" w:sz="4" w:space="0"/>
                    <w:left w:val="single" w:color="000000" w:sz="4" w:space="0"/>
                    <w:bottom w:val="single" w:color="000000" w:sz="4" w:space="0"/>
                    <w:right w:val="single" w:color="000000" w:sz="4" w:space="0"/>
                  </w:tcBorders>
                  <w:noWrap w:val="0"/>
                  <w:vAlign w:val="top"/>
                </w:tcPr>
                <w:p>
                  <w:pPr>
                    <w:jc w:val="center"/>
                    <w:rPr>
                      <w:rFonts w:hint="eastAsia" w:eastAsia="宋体"/>
                      <w:caps/>
                      <w:kern w:val="2"/>
                      <w:sz w:val="21"/>
                      <w:szCs w:val="21"/>
                      <w:lang w:val="en-US" w:eastAsia="zh-CN" w:bidi="ar-SA"/>
                    </w:rPr>
                  </w:pPr>
                  <w:r>
                    <w:rPr>
                      <w:rFonts w:hint="eastAsia"/>
                      <w:caps/>
                      <w:szCs w:val="21"/>
                      <w:lang w:eastAsia="zh-CN"/>
                    </w:rPr>
                    <w:t>阴离子表面活性剂</w:t>
                  </w:r>
                </w:p>
              </w:tc>
              <w:tc>
                <w:tcPr>
                  <w:tcW w:w="2419" w:type="dxa"/>
                  <w:vMerge w:val="continue"/>
                  <w:tcBorders>
                    <w:left w:val="single" w:color="000000" w:sz="4" w:space="0"/>
                    <w:right w:val="single" w:color="000000" w:sz="4" w:space="0"/>
                  </w:tcBorders>
                  <w:noWrap w:val="0"/>
                  <w:vAlign w:val="center"/>
                </w:tcPr>
                <w:p>
                  <w:pPr>
                    <w:jc w:val="center"/>
                    <w:rPr>
                      <w:rFonts w:hint="default" w:eastAsia="宋体"/>
                      <w:iCs/>
                      <w:kern w:val="2"/>
                      <w:sz w:val="21"/>
                      <w:szCs w:val="21"/>
                      <w:lang w:val="en-US" w:eastAsia="zh-CN" w:bidi="ar-SA"/>
                    </w:rPr>
                  </w:pPr>
                </w:p>
              </w:tc>
              <w:tc>
                <w:tcPr>
                  <w:tcW w:w="2303"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eastAsia="宋体"/>
                      <w:iCs/>
                      <w:kern w:val="2"/>
                      <w:sz w:val="21"/>
                      <w:szCs w:val="21"/>
                      <w:lang w:val="en-US" w:eastAsia="zh-CN" w:bidi="ar-SA"/>
                    </w:rPr>
                  </w:pPr>
                  <w:r>
                    <w:rPr>
                      <w:rFonts w:hint="eastAsia"/>
                      <w:iCs/>
                      <w:szCs w:val="21"/>
                      <w:lang w:val="en-US" w:eastAsia="zh-CN"/>
                    </w:rPr>
                    <w:t>10</w:t>
                  </w:r>
                </w:p>
              </w:tc>
            </w:tr>
            <w:tr>
              <w:tblPrEx>
                <w:tblCellMar>
                  <w:top w:w="0" w:type="dxa"/>
                  <w:left w:w="108" w:type="dxa"/>
                  <w:bottom w:w="0" w:type="dxa"/>
                  <w:right w:w="108" w:type="dxa"/>
                </w:tblCellMar>
              </w:tblPrEx>
              <w:trPr>
                <w:trHeight w:val="280" w:hRule="atLeast"/>
              </w:trPr>
              <w:tc>
                <w:tcPr>
                  <w:tcW w:w="383"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947" w:type="dxa"/>
                  <w:vMerge w:val="continue"/>
                  <w:tcBorders>
                    <w:left w:val="single" w:color="000000" w:sz="4" w:space="0"/>
                    <w:right w:val="single" w:color="000000" w:sz="4" w:space="0"/>
                  </w:tcBorders>
                  <w:noWrap w:val="0"/>
                  <w:vAlign w:val="center"/>
                </w:tcPr>
                <w:p>
                  <w:pPr>
                    <w:jc w:val="center"/>
                    <w:rPr>
                      <w:kern w:val="0"/>
                      <w:szCs w:val="21"/>
                      <w:lang w:bidi="ar"/>
                    </w:rPr>
                  </w:pPr>
                </w:p>
              </w:tc>
              <w:tc>
                <w:tcPr>
                  <w:tcW w:w="2066" w:type="dxa"/>
                  <w:tcBorders>
                    <w:top w:val="single" w:color="000000" w:sz="4" w:space="0"/>
                    <w:left w:val="single" w:color="000000" w:sz="4" w:space="0"/>
                    <w:bottom w:val="single" w:color="000000" w:sz="4" w:space="0"/>
                    <w:right w:val="single" w:color="000000" w:sz="4" w:space="0"/>
                  </w:tcBorders>
                  <w:noWrap w:val="0"/>
                  <w:vAlign w:val="top"/>
                </w:tcPr>
                <w:p>
                  <w:pPr>
                    <w:jc w:val="center"/>
                    <w:rPr>
                      <w:rFonts w:hint="eastAsia" w:eastAsia="宋体"/>
                      <w:caps/>
                      <w:kern w:val="2"/>
                      <w:sz w:val="21"/>
                      <w:szCs w:val="21"/>
                      <w:lang w:val="en-US" w:eastAsia="zh-CN" w:bidi="ar-SA"/>
                    </w:rPr>
                  </w:pPr>
                  <w:r>
                    <w:rPr>
                      <w:rFonts w:hint="eastAsia"/>
                      <w:caps/>
                      <w:szCs w:val="21"/>
                      <w:lang w:eastAsia="zh-CN"/>
                    </w:rPr>
                    <w:t>挥发酚</w:t>
                  </w:r>
                </w:p>
              </w:tc>
              <w:tc>
                <w:tcPr>
                  <w:tcW w:w="2419" w:type="dxa"/>
                  <w:vMerge w:val="continue"/>
                  <w:tcBorders>
                    <w:left w:val="single" w:color="000000" w:sz="4" w:space="0"/>
                    <w:right w:val="single" w:color="000000" w:sz="4" w:space="0"/>
                  </w:tcBorders>
                  <w:noWrap w:val="0"/>
                  <w:vAlign w:val="center"/>
                </w:tcPr>
                <w:p>
                  <w:pPr>
                    <w:jc w:val="center"/>
                    <w:rPr>
                      <w:rFonts w:hint="default" w:eastAsia="宋体"/>
                      <w:iCs/>
                      <w:kern w:val="2"/>
                      <w:sz w:val="21"/>
                      <w:szCs w:val="21"/>
                      <w:lang w:val="en-US" w:eastAsia="zh-CN" w:bidi="ar-SA"/>
                    </w:rPr>
                  </w:pPr>
                </w:p>
              </w:tc>
              <w:tc>
                <w:tcPr>
                  <w:tcW w:w="2303"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eastAsia="宋体"/>
                      <w:iCs/>
                      <w:kern w:val="2"/>
                      <w:sz w:val="21"/>
                      <w:szCs w:val="21"/>
                      <w:lang w:val="en-US" w:eastAsia="zh-CN" w:bidi="ar-SA"/>
                    </w:rPr>
                  </w:pPr>
                  <w:r>
                    <w:rPr>
                      <w:rFonts w:hint="eastAsia"/>
                      <w:iCs/>
                      <w:szCs w:val="21"/>
                      <w:lang w:val="en-US" w:eastAsia="zh-CN"/>
                    </w:rPr>
                    <w:t>1.0</w:t>
                  </w:r>
                </w:p>
              </w:tc>
            </w:tr>
            <w:tr>
              <w:tblPrEx>
                <w:tblCellMar>
                  <w:top w:w="0" w:type="dxa"/>
                  <w:left w:w="108" w:type="dxa"/>
                  <w:bottom w:w="0" w:type="dxa"/>
                  <w:right w:w="108" w:type="dxa"/>
                </w:tblCellMar>
              </w:tblPrEx>
              <w:trPr>
                <w:trHeight w:val="290" w:hRule="atLeast"/>
              </w:trPr>
              <w:tc>
                <w:tcPr>
                  <w:tcW w:w="383" w:type="dxa"/>
                  <w:vMerge w:val="continue"/>
                  <w:tcBorders>
                    <w:left w:val="single" w:color="000000" w:sz="4" w:space="0"/>
                    <w:bottom w:val="single" w:color="000000" w:sz="4" w:space="0"/>
                    <w:right w:val="single" w:color="000000" w:sz="4" w:space="0"/>
                  </w:tcBorders>
                  <w:noWrap w:val="0"/>
                  <w:vAlign w:val="center"/>
                </w:tcPr>
                <w:p>
                  <w:pPr>
                    <w:jc w:val="center"/>
                    <w:rPr>
                      <w:kern w:val="0"/>
                      <w:szCs w:val="21"/>
                      <w:lang w:bidi="ar"/>
                    </w:rPr>
                  </w:pPr>
                </w:p>
              </w:tc>
              <w:tc>
                <w:tcPr>
                  <w:tcW w:w="947" w:type="dxa"/>
                  <w:vMerge w:val="continue"/>
                  <w:tcBorders>
                    <w:left w:val="single" w:color="000000" w:sz="4" w:space="0"/>
                    <w:bottom w:val="single" w:color="000000" w:sz="4" w:space="0"/>
                    <w:right w:val="single" w:color="000000" w:sz="4" w:space="0"/>
                  </w:tcBorders>
                  <w:noWrap w:val="0"/>
                  <w:vAlign w:val="center"/>
                </w:tcPr>
                <w:p>
                  <w:pPr>
                    <w:jc w:val="center"/>
                    <w:rPr>
                      <w:kern w:val="0"/>
                      <w:szCs w:val="21"/>
                      <w:lang w:bidi="ar"/>
                    </w:rPr>
                  </w:pPr>
                </w:p>
              </w:tc>
              <w:tc>
                <w:tcPr>
                  <w:tcW w:w="2066" w:type="dxa"/>
                  <w:tcBorders>
                    <w:top w:val="single" w:color="000000" w:sz="4" w:space="0"/>
                    <w:left w:val="single" w:color="000000" w:sz="4" w:space="0"/>
                    <w:bottom w:val="single" w:color="000000" w:sz="4" w:space="0"/>
                    <w:right w:val="single" w:color="000000" w:sz="4" w:space="0"/>
                  </w:tcBorders>
                  <w:noWrap w:val="0"/>
                  <w:vAlign w:val="top"/>
                </w:tcPr>
                <w:p>
                  <w:pPr>
                    <w:jc w:val="center"/>
                    <w:rPr>
                      <w:rFonts w:hint="eastAsia" w:eastAsia="宋体"/>
                      <w:caps/>
                      <w:kern w:val="2"/>
                      <w:sz w:val="21"/>
                      <w:szCs w:val="21"/>
                      <w:lang w:val="en-US" w:eastAsia="zh-CN" w:bidi="ar-SA"/>
                    </w:rPr>
                  </w:pPr>
                  <w:r>
                    <w:rPr>
                      <w:rFonts w:hint="eastAsia"/>
                      <w:caps/>
                      <w:szCs w:val="21"/>
                      <w:lang w:eastAsia="zh-CN"/>
                    </w:rPr>
                    <w:t>总氰化物</w:t>
                  </w:r>
                </w:p>
              </w:tc>
              <w:tc>
                <w:tcPr>
                  <w:tcW w:w="2419" w:type="dxa"/>
                  <w:vMerge w:val="continue"/>
                  <w:tcBorders>
                    <w:left w:val="single" w:color="000000" w:sz="4" w:space="0"/>
                    <w:bottom w:val="single" w:color="000000" w:sz="4" w:space="0"/>
                    <w:right w:val="single" w:color="000000" w:sz="4" w:space="0"/>
                  </w:tcBorders>
                  <w:noWrap w:val="0"/>
                  <w:vAlign w:val="center"/>
                </w:tcPr>
                <w:p>
                  <w:pPr>
                    <w:jc w:val="center"/>
                    <w:rPr>
                      <w:rFonts w:hint="default" w:eastAsia="宋体"/>
                      <w:iCs/>
                      <w:kern w:val="2"/>
                      <w:sz w:val="21"/>
                      <w:szCs w:val="21"/>
                      <w:lang w:val="en-US" w:eastAsia="zh-CN" w:bidi="ar-SA"/>
                    </w:rPr>
                  </w:pPr>
                </w:p>
              </w:tc>
              <w:tc>
                <w:tcPr>
                  <w:tcW w:w="2303"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eastAsia="宋体"/>
                      <w:iCs/>
                      <w:kern w:val="2"/>
                      <w:sz w:val="21"/>
                      <w:szCs w:val="21"/>
                      <w:lang w:val="en-US" w:eastAsia="zh-CN" w:bidi="ar-SA"/>
                    </w:rPr>
                  </w:pPr>
                  <w:r>
                    <w:rPr>
                      <w:rFonts w:hint="eastAsia"/>
                      <w:iCs/>
                      <w:szCs w:val="21"/>
                      <w:lang w:val="en-US" w:eastAsia="zh-CN"/>
                    </w:rPr>
                    <w:t>0.5</w:t>
                  </w:r>
                </w:p>
              </w:tc>
            </w:tr>
          </w:tbl>
          <w:p>
            <w:pPr>
              <w:spacing w:line="360" w:lineRule="auto"/>
              <w:ind w:firstLine="482" w:firstLineChars="200"/>
              <w:rPr>
                <w:b/>
                <w:bCs/>
                <w:kern w:val="0"/>
                <w:sz w:val="24"/>
              </w:rPr>
            </w:pPr>
            <w:r>
              <w:rPr>
                <w:rFonts w:hint="eastAsia"/>
                <w:b/>
                <w:bCs/>
                <w:kern w:val="0"/>
                <w:sz w:val="24"/>
                <w:lang w:val="en-US" w:eastAsia="zh-CN"/>
              </w:rPr>
              <w:t>2、</w:t>
            </w:r>
            <w:r>
              <w:rPr>
                <w:rFonts w:hint="eastAsia"/>
                <w:b/>
                <w:bCs/>
                <w:kern w:val="0"/>
                <w:sz w:val="24"/>
              </w:rPr>
              <w:t>废水污染物排放信息</w:t>
            </w:r>
          </w:p>
          <w:p>
            <w:pPr>
              <w:pStyle w:val="185"/>
              <w:ind w:firstLine="480"/>
              <w:rPr>
                <w:rFonts w:ascii="Times New Roman" w:hAnsi="Times New Roman" w:eastAsia="宋体"/>
                <w:bCs/>
                <w:color w:val="000000"/>
              </w:rPr>
            </w:pPr>
            <w:r>
              <w:rPr>
                <w:rFonts w:hint="eastAsia" w:ascii="Times New Roman" w:hAnsi="Times New Roman" w:eastAsia="宋体"/>
                <w:bCs/>
                <w:color w:val="000000"/>
              </w:rPr>
              <w:t>本项目</w:t>
            </w:r>
            <w:r>
              <w:rPr>
                <w:rFonts w:hint="eastAsia" w:ascii="Times New Roman" w:hAnsi="Times New Roman" w:eastAsia="宋体"/>
                <w:bCs/>
                <w:color w:val="000000"/>
                <w:lang w:eastAsia="zh-CN"/>
              </w:rPr>
              <w:t>用水及</w:t>
            </w:r>
            <w:r>
              <w:rPr>
                <w:rFonts w:hint="eastAsia" w:ascii="Times New Roman" w:hAnsi="Times New Roman" w:eastAsia="宋体"/>
                <w:bCs/>
                <w:color w:val="000000"/>
              </w:rPr>
              <w:t>排水情况见表4-</w:t>
            </w:r>
            <w:r>
              <w:rPr>
                <w:rFonts w:hint="eastAsia" w:ascii="Times New Roman" w:hAnsi="Times New Roman" w:eastAsia="宋体"/>
                <w:bCs/>
                <w:color w:val="000000"/>
                <w:lang w:val="en-US" w:eastAsia="zh-CN"/>
              </w:rPr>
              <w:t>4</w:t>
            </w:r>
            <w:r>
              <w:rPr>
                <w:rFonts w:hint="eastAsia" w:ascii="Times New Roman" w:hAnsi="Times New Roman" w:eastAsia="宋体"/>
                <w:bCs/>
                <w:color w:val="000000"/>
              </w:rPr>
              <w:t>：</w:t>
            </w:r>
          </w:p>
          <w:p>
            <w:pPr>
              <w:autoSpaceDE w:val="0"/>
              <w:autoSpaceDN w:val="0"/>
              <w:adjustRightInd w:val="0"/>
              <w:jc w:val="center"/>
              <w:rPr>
                <w:rFonts w:hint="default" w:eastAsia="宋体"/>
                <w:b/>
                <w:szCs w:val="21"/>
                <w:lang w:val="en-US" w:eastAsia="zh-CN"/>
              </w:rPr>
            </w:pPr>
            <w:r>
              <w:rPr>
                <w:b/>
                <w:szCs w:val="21"/>
              </w:rPr>
              <w:t>表</w:t>
            </w:r>
            <w:r>
              <w:rPr>
                <w:rFonts w:hint="eastAsia"/>
                <w:b/>
                <w:szCs w:val="21"/>
              </w:rPr>
              <w:t>4-</w:t>
            </w:r>
            <w:r>
              <w:rPr>
                <w:rFonts w:hint="eastAsia"/>
                <w:b/>
                <w:szCs w:val="21"/>
                <w:lang w:val="en-US" w:eastAsia="zh-CN"/>
              </w:rPr>
              <w:t>4</w:t>
            </w:r>
            <w:r>
              <w:rPr>
                <w:b/>
                <w:szCs w:val="21"/>
              </w:rPr>
              <w:t xml:space="preserve"> </w:t>
            </w:r>
            <w:r>
              <w:rPr>
                <w:rFonts w:hint="eastAsia"/>
                <w:b/>
                <w:szCs w:val="21"/>
              </w:rPr>
              <w:t xml:space="preserve"> 项目用水及污水排水情况一览表</w:t>
            </w:r>
            <w:r>
              <w:rPr>
                <w:rFonts w:hint="eastAsia"/>
                <w:b/>
                <w:szCs w:val="21"/>
                <w:lang w:val="en-US" w:eastAsia="zh-CN"/>
              </w:rPr>
              <w:t xml:space="preserve">  单位</w:t>
            </w:r>
            <w:r>
              <w:rPr>
                <w:b/>
                <w:szCs w:val="21"/>
              </w:rPr>
              <w:t>m</w:t>
            </w:r>
            <w:r>
              <w:rPr>
                <w:b/>
                <w:szCs w:val="21"/>
                <w:vertAlign w:val="superscript"/>
              </w:rPr>
              <w:t>3</w:t>
            </w:r>
            <w:r>
              <w:rPr>
                <w:b/>
                <w:szCs w:val="21"/>
              </w:rPr>
              <w:t>/</w:t>
            </w:r>
            <w:r>
              <w:rPr>
                <w:rFonts w:hint="eastAsia"/>
                <w:b/>
                <w:szCs w:val="21"/>
              </w:rPr>
              <w:t>d</w:t>
            </w:r>
          </w:p>
          <w:tbl>
            <w:tblPr>
              <w:tblStyle w:val="41"/>
              <w:tblW w:w="819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7"/>
              <w:gridCol w:w="919"/>
              <w:gridCol w:w="1162"/>
              <w:gridCol w:w="675"/>
              <w:gridCol w:w="1088"/>
              <w:gridCol w:w="1069"/>
              <w:gridCol w:w="1068"/>
              <w:gridCol w:w="10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5" w:hRule="atLeast"/>
                <w:jc w:val="center"/>
              </w:trPr>
              <w:tc>
                <w:tcPr>
                  <w:tcW w:w="693" w:type="pct"/>
                  <w:tcBorders>
                    <w:bottom w:val="single" w:color="auto" w:sz="12" w:space="0"/>
                  </w:tcBorders>
                  <w:noWrap w:val="0"/>
                  <w:vAlign w:val="center"/>
                </w:tcPr>
                <w:p>
                  <w:pPr>
                    <w:ind w:left="-72" w:leftChars="-30" w:right="-94" w:rightChars="-39"/>
                    <w:jc w:val="center"/>
                    <w:rPr>
                      <w:b/>
                      <w:szCs w:val="21"/>
                    </w:rPr>
                  </w:pPr>
                  <w:r>
                    <w:rPr>
                      <w:b/>
                      <w:szCs w:val="21"/>
                    </w:rPr>
                    <w:t>项目</w:t>
                  </w:r>
                </w:p>
              </w:tc>
              <w:tc>
                <w:tcPr>
                  <w:tcW w:w="560" w:type="pct"/>
                  <w:tcBorders>
                    <w:bottom w:val="single" w:color="auto" w:sz="12" w:space="0"/>
                  </w:tcBorders>
                  <w:noWrap w:val="0"/>
                  <w:vAlign w:val="center"/>
                </w:tcPr>
                <w:p>
                  <w:pPr>
                    <w:ind w:left="-72" w:leftChars="-30" w:right="-94" w:rightChars="-39"/>
                    <w:jc w:val="center"/>
                    <w:rPr>
                      <w:b/>
                      <w:szCs w:val="21"/>
                    </w:rPr>
                  </w:pPr>
                  <w:r>
                    <w:rPr>
                      <w:rFonts w:hint="eastAsia"/>
                      <w:b/>
                      <w:szCs w:val="21"/>
                      <w:lang w:eastAsia="zh-CN"/>
                    </w:rPr>
                    <w:t>本项目</w:t>
                  </w:r>
                  <w:r>
                    <w:rPr>
                      <w:rFonts w:hint="eastAsia"/>
                      <w:b/>
                      <w:szCs w:val="21"/>
                    </w:rPr>
                    <w:t>新</w:t>
                  </w:r>
                  <w:r>
                    <w:rPr>
                      <w:rFonts w:hint="eastAsia"/>
                      <w:b/>
                      <w:szCs w:val="21"/>
                      <w:lang w:eastAsia="zh-CN"/>
                    </w:rPr>
                    <w:t>增</w:t>
                  </w:r>
                  <w:r>
                    <w:rPr>
                      <w:b/>
                      <w:szCs w:val="21"/>
                    </w:rPr>
                    <w:t>用水量</w:t>
                  </w:r>
                </w:p>
              </w:tc>
              <w:tc>
                <w:tcPr>
                  <w:tcW w:w="708" w:type="pct"/>
                  <w:tcBorders>
                    <w:bottom w:val="single" w:color="auto" w:sz="12" w:space="0"/>
                  </w:tcBorders>
                  <w:noWrap w:val="0"/>
                  <w:vAlign w:val="center"/>
                </w:tcPr>
                <w:p>
                  <w:pPr>
                    <w:jc w:val="center"/>
                    <w:rPr>
                      <w:rFonts w:hint="eastAsia" w:eastAsia="宋体"/>
                      <w:b/>
                      <w:szCs w:val="21"/>
                      <w:lang w:eastAsia="zh-CN"/>
                    </w:rPr>
                  </w:pPr>
                  <w:r>
                    <w:rPr>
                      <w:rFonts w:hint="eastAsia"/>
                      <w:b/>
                      <w:szCs w:val="21"/>
                      <w:lang w:eastAsia="zh-CN"/>
                    </w:rPr>
                    <w:t>建成后全院用水量</w:t>
                  </w:r>
                </w:p>
              </w:tc>
              <w:tc>
                <w:tcPr>
                  <w:tcW w:w="411" w:type="pct"/>
                  <w:tcBorders>
                    <w:bottom w:val="single" w:color="auto" w:sz="12" w:space="0"/>
                  </w:tcBorders>
                  <w:noWrap w:val="0"/>
                  <w:vAlign w:val="center"/>
                </w:tcPr>
                <w:p>
                  <w:pPr>
                    <w:jc w:val="center"/>
                    <w:rPr>
                      <w:b/>
                      <w:szCs w:val="21"/>
                    </w:rPr>
                  </w:pPr>
                  <w:r>
                    <w:rPr>
                      <w:rFonts w:hint="eastAsia"/>
                      <w:b/>
                      <w:szCs w:val="21"/>
                    </w:rPr>
                    <w:t>回用用水量</w:t>
                  </w:r>
                </w:p>
              </w:tc>
              <w:tc>
                <w:tcPr>
                  <w:tcW w:w="663" w:type="pct"/>
                  <w:tcBorders>
                    <w:bottom w:val="single" w:color="auto" w:sz="12" w:space="0"/>
                  </w:tcBorders>
                  <w:noWrap w:val="0"/>
                  <w:vAlign w:val="center"/>
                </w:tcPr>
                <w:p>
                  <w:pPr>
                    <w:jc w:val="center"/>
                    <w:rPr>
                      <w:rFonts w:hint="eastAsia"/>
                      <w:b/>
                      <w:szCs w:val="21"/>
                      <w:lang w:eastAsia="zh-CN"/>
                    </w:rPr>
                  </w:pPr>
                  <w:r>
                    <w:rPr>
                      <w:rFonts w:hint="eastAsia"/>
                      <w:b/>
                      <w:szCs w:val="21"/>
                      <w:lang w:eastAsia="zh-CN"/>
                    </w:rPr>
                    <w:t>本项目</w:t>
                  </w:r>
                  <w:r>
                    <w:rPr>
                      <w:rFonts w:hint="eastAsia"/>
                      <w:b/>
                      <w:szCs w:val="21"/>
                    </w:rPr>
                    <w:t>新</w:t>
                  </w:r>
                  <w:r>
                    <w:rPr>
                      <w:rFonts w:hint="eastAsia"/>
                      <w:b/>
                      <w:szCs w:val="21"/>
                      <w:lang w:eastAsia="zh-CN"/>
                    </w:rPr>
                    <w:t>增</w:t>
                  </w:r>
                  <w:r>
                    <w:rPr>
                      <w:rFonts w:hint="eastAsia"/>
                      <w:b/>
                      <w:bCs/>
                      <w:szCs w:val="21"/>
                    </w:rPr>
                    <w:t>损失水量</w:t>
                  </w:r>
                </w:p>
              </w:tc>
              <w:tc>
                <w:tcPr>
                  <w:tcW w:w="652" w:type="pct"/>
                  <w:tcBorders>
                    <w:bottom w:val="single" w:color="auto" w:sz="12" w:space="0"/>
                  </w:tcBorders>
                  <w:noWrap w:val="0"/>
                  <w:vAlign w:val="center"/>
                </w:tcPr>
                <w:p>
                  <w:pPr>
                    <w:jc w:val="center"/>
                    <w:rPr>
                      <w:b/>
                      <w:bCs/>
                      <w:szCs w:val="21"/>
                    </w:rPr>
                  </w:pPr>
                  <w:r>
                    <w:rPr>
                      <w:rFonts w:hint="eastAsia"/>
                      <w:b/>
                      <w:szCs w:val="21"/>
                      <w:lang w:eastAsia="zh-CN"/>
                    </w:rPr>
                    <w:t>建成后全院</w:t>
                  </w:r>
                  <w:r>
                    <w:rPr>
                      <w:rFonts w:hint="eastAsia"/>
                      <w:b/>
                      <w:bCs/>
                      <w:szCs w:val="21"/>
                    </w:rPr>
                    <w:t>损失水量</w:t>
                  </w:r>
                </w:p>
              </w:tc>
              <w:tc>
                <w:tcPr>
                  <w:tcW w:w="651" w:type="pct"/>
                  <w:tcBorders>
                    <w:bottom w:val="single" w:color="auto" w:sz="12" w:space="0"/>
                  </w:tcBorders>
                  <w:noWrap w:val="0"/>
                  <w:vAlign w:val="center"/>
                </w:tcPr>
                <w:p>
                  <w:pPr>
                    <w:jc w:val="center"/>
                    <w:rPr>
                      <w:b/>
                      <w:szCs w:val="21"/>
                    </w:rPr>
                  </w:pPr>
                  <w:r>
                    <w:rPr>
                      <w:rFonts w:hint="eastAsia"/>
                      <w:b/>
                      <w:szCs w:val="21"/>
                      <w:lang w:eastAsia="zh-CN"/>
                    </w:rPr>
                    <w:t>本项目</w:t>
                  </w:r>
                  <w:r>
                    <w:rPr>
                      <w:rFonts w:hint="eastAsia"/>
                      <w:b/>
                      <w:szCs w:val="21"/>
                    </w:rPr>
                    <w:t>新</w:t>
                  </w:r>
                  <w:r>
                    <w:rPr>
                      <w:rFonts w:hint="eastAsia"/>
                      <w:b/>
                      <w:szCs w:val="21"/>
                      <w:lang w:eastAsia="zh-CN"/>
                    </w:rPr>
                    <w:t>增</w:t>
                  </w:r>
                  <w:r>
                    <w:rPr>
                      <w:rFonts w:hint="eastAsia"/>
                      <w:b/>
                      <w:szCs w:val="21"/>
                    </w:rPr>
                    <w:t>排水量</w:t>
                  </w:r>
                </w:p>
              </w:tc>
              <w:tc>
                <w:tcPr>
                  <w:tcW w:w="657" w:type="pct"/>
                  <w:tcBorders>
                    <w:bottom w:val="single" w:color="auto" w:sz="12" w:space="0"/>
                  </w:tcBorders>
                  <w:noWrap w:val="0"/>
                  <w:vAlign w:val="center"/>
                </w:tcPr>
                <w:p>
                  <w:pPr>
                    <w:jc w:val="center"/>
                    <w:rPr>
                      <w:rFonts w:hint="eastAsia"/>
                      <w:b/>
                      <w:szCs w:val="21"/>
                      <w:lang w:eastAsia="zh-CN"/>
                    </w:rPr>
                  </w:pPr>
                  <w:r>
                    <w:rPr>
                      <w:rFonts w:hint="eastAsia"/>
                      <w:b/>
                      <w:szCs w:val="21"/>
                      <w:lang w:eastAsia="zh-CN"/>
                    </w:rPr>
                    <w:t>建成后全院</w:t>
                  </w:r>
                  <w:r>
                    <w:rPr>
                      <w:rFonts w:hint="eastAsia"/>
                      <w:b/>
                      <w:szCs w:val="21"/>
                    </w:rPr>
                    <w:t>排水量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3" w:type="pct"/>
                  <w:tcBorders>
                    <w:top w:val="single" w:color="auto" w:sz="12" w:space="0"/>
                    <w:bottom w:val="single" w:color="auto" w:sz="4" w:space="0"/>
                  </w:tcBorders>
                  <w:noWrap w:val="0"/>
                  <w:vAlign w:val="center"/>
                </w:tcPr>
                <w:p>
                  <w:pPr>
                    <w:pStyle w:val="165"/>
                    <w:rPr>
                      <w:rFonts w:hint="eastAsia" w:ascii="Times New Roman" w:hAnsi="Times New Roman" w:eastAsia="宋体"/>
                    </w:rPr>
                  </w:pPr>
                  <w:r>
                    <w:rPr>
                      <w:rFonts w:hint="eastAsia" w:ascii="Times New Roman" w:hAnsi="Times New Roman" w:eastAsia="宋体"/>
                    </w:rPr>
                    <w:t>医疗废水</w:t>
                  </w:r>
                </w:p>
              </w:tc>
              <w:tc>
                <w:tcPr>
                  <w:tcW w:w="560" w:type="pct"/>
                  <w:tcBorders>
                    <w:top w:val="single" w:color="auto" w:sz="12" w:space="0"/>
                    <w:bottom w:val="single" w:color="auto" w:sz="4" w:space="0"/>
                  </w:tcBorders>
                  <w:noWrap w:val="0"/>
                  <w:vAlign w:val="center"/>
                </w:tcPr>
                <w:p>
                  <w:pPr>
                    <w:pStyle w:val="165"/>
                    <w:rPr>
                      <w:rFonts w:hint="default" w:ascii="Times New Roman" w:hAnsi="Times New Roman" w:eastAsia="宋体"/>
                      <w:lang w:val="en-US" w:eastAsia="zh-CN"/>
                    </w:rPr>
                  </w:pPr>
                  <w:r>
                    <w:rPr>
                      <w:rFonts w:hint="eastAsia"/>
                      <w:lang w:val="en-US" w:eastAsia="zh-CN"/>
                    </w:rPr>
                    <w:t>22.0</w:t>
                  </w:r>
                </w:p>
              </w:tc>
              <w:tc>
                <w:tcPr>
                  <w:tcW w:w="708" w:type="pct"/>
                  <w:tcBorders>
                    <w:top w:val="single" w:color="auto" w:sz="12" w:space="0"/>
                    <w:bottom w:val="single" w:color="auto" w:sz="4" w:space="0"/>
                  </w:tcBorders>
                  <w:noWrap w:val="0"/>
                  <w:vAlign w:val="center"/>
                </w:tcPr>
                <w:p>
                  <w:pPr>
                    <w:pStyle w:val="165"/>
                    <w:rPr>
                      <w:rFonts w:hint="default" w:ascii="Times New Roman" w:hAnsi="Times New Roman" w:eastAsia="宋体"/>
                      <w:lang w:val="en-US" w:eastAsia="zh-CN"/>
                    </w:rPr>
                  </w:pPr>
                  <w:r>
                    <w:rPr>
                      <w:rFonts w:hint="eastAsia"/>
                      <w:lang w:val="en-US" w:eastAsia="zh-CN"/>
                    </w:rPr>
                    <w:t>36.06</w:t>
                  </w:r>
                </w:p>
              </w:tc>
              <w:tc>
                <w:tcPr>
                  <w:tcW w:w="411" w:type="pct"/>
                  <w:tcBorders>
                    <w:top w:val="single" w:color="auto" w:sz="12" w:space="0"/>
                    <w:bottom w:val="single" w:color="auto" w:sz="4" w:space="0"/>
                  </w:tcBorders>
                  <w:noWrap w:val="0"/>
                  <w:vAlign w:val="center"/>
                </w:tcPr>
                <w:p>
                  <w:pPr>
                    <w:pStyle w:val="165"/>
                    <w:rPr>
                      <w:rFonts w:ascii="Times New Roman" w:hAnsi="Times New Roman" w:eastAsia="宋体"/>
                    </w:rPr>
                  </w:pPr>
                  <w:r>
                    <w:rPr>
                      <w:rFonts w:hint="eastAsia" w:ascii="Times New Roman" w:hAnsi="Times New Roman" w:eastAsia="宋体"/>
                    </w:rPr>
                    <w:t>0</w:t>
                  </w:r>
                </w:p>
              </w:tc>
              <w:tc>
                <w:tcPr>
                  <w:tcW w:w="663" w:type="pct"/>
                  <w:tcBorders>
                    <w:top w:val="single" w:color="auto" w:sz="12" w:space="0"/>
                    <w:bottom w:val="single" w:color="auto" w:sz="4" w:space="0"/>
                  </w:tcBorders>
                  <w:noWrap w:val="0"/>
                  <w:vAlign w:val="center"/>
                </w:tcPr>
                <w:p>
                  <w:pPr>
                    <w:pStyle w:val="165"/>
                    <w:rPr>
                      <w:rFonts w:hint="default" w:ascii="Times New Roman" w:hAnsi="Times New Roman" w:eastAsia="宋体"/>
                      <w:lang w:val="en-US" w:eastAsia="zh-CN"/>
                    </w:rPr>
                  </w:pPr>
                  <w:r>
                    <w:rPr>
                      <w:rFonts w:hint="eastAsia"/>
                      <w:lang w:val="en-US" w:eastAsia="zh-CN"/>
                    </w:rPr>
                    <w:t>4.4</w:t>
                  </w:r>
                </w:p>
              </w:tc>
              <w:tc>
                <w:tcPr>
                  <w:tcW w:w="652" w:type="pct"/>
                  <w:tcBorders>
                    <w:top w:val="single" w:color="auto" w:sz="12" w:space="0"/>
                    <w:bottom w:val="single" w:color="auto" w:sz="4" w:space="0"/>
                  </w:tcBorders>
                  <w:noWrap w:val="0"/>
                  <w:vAlign w:val="center"/>
                </w:tcPr>
                <w:p>
                  <w:pPr>
                    <w:pStyle w:val="165"/>
                    <w:rPr>
                      <w:rFonts w:hint="default" w:ascii="Times New Roman" w:hAnsi="Times New Roman" w:eastAsia="宋体"/>
                      <w:lang w:val="en-US" w:eastAsia="zh-CN"/>
                    </w:rPr>
                  </w:pPr>
                  <w:r>
                    <w:rPr>
                      <w:rFonts w:hint="eastAsia"/>
                      <w:lang w:val="en-US" w:eastAsia="zh-CN"/>
                    </w:rPr>
                    <w:t>7.212</w:t>
                  </w:r>
                </w:p>
              </w:tc>
              <w:tc>
                <w:tcPr>
                  <w:tcW w:w="651" w:type="pct"/>
                  <w:tcBorders>
                    <w:top w:val="single" w:color="auto" w:sz="12" w:space="0"/>
                    <w:bottom w:val="single" w:color="auto" w:sz="4" w:space="0"/>
                  </w:tcBorders>
                  <w:noWrap w:val="0"/>
                  <w:vAlign w:val="center"/>
                </w:tcPr>
                <w:p>
                  <w:pPr>
                    <w:pStyle w:val="165"/>
                    <w:rPr>
                      <w:rFonts w:hint="default" w:ascii="Times New Roman" w:hAnsi="Times New Roman" w:eastAsia="宋体"/>
                      <w:lang w:val="en-US" w:eastAsia="zh-CN"/>
                    </w:rPr>
                  </w:pPr>
                  <w:r>
                    <w:rPr>
                      <w:rFonts w:hint="eastAsia"/>
                      <w:lang w:val="en-US" w:eastAsia="zh-CN"/>
                    </w:rPr>
                    <w:t>17.6</w:t>
                  </w:r>
                </w:p>
              </w:tc>
              <w:tc>
                <w:tcPr>
                  <w:tcW w:w="657" w:type="pct"/>
                  <w:tcBorders>
                    <w:top w:val="single" w:color="auto" w:sz="12" w:space="0"/>
                    <w:bottom w:val="single" w:color="auto" w:sz="4" w:space="0"/>
                  </w:tcBorders>
                  <w:noWrap w:val="0"/>
                  <w:vAlign w:val="center"/>
                </w:tcPr>
                <w:p>
                  <w:pPr>
                    <w:pStyle w:val="165"/>
                    <w:rPr>
                      <w:rFonts w:hint="default" w:ascii="Times New Roman" w:hAnsi="Times New Roman" w:eastAsia="宋体"/>
                      <w:lang w:val="en-US" w:eastAsia="zh-CN"/>
                    </w:rPr>
                  </w:pPr>
                  <w:r>
                    <w:rPr>
                      <w:rFonts w:hint="eastAsia"/>
                      <w:lang w:val="en-US" w:eastAsia="zh-CN"/>
                    </w:rPr>
                    <w:t>28.848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3" w:type="pct"/>
                  <w:tcBorders>
                    <w:top w:val="single" w:color="auto" w:sz="4" w:space="0"/>
                  </w:tcBorders>
                  <w:noWrap w:val="0"/>
                  <w:vAlign w:val="center"/>
                </w:tcPr>
                <w:p>
                  <w:pPr>
                    <w:pStyle w:val="165"/>
                    <w:rPr>
                      <w:rFonts w:hint="eastAsia" w:ascii="Times New Roman" w:hAnsi="Times New Roman" w:eastAsia="宋体"/>
                    </w:rPr>
                  </w:pPr>
                  <w:r>
                    <w:rPr>
                      <w:rFonts w:hint="eastAsia" w:ascii="Times New Roman" w:hAnsi="Times New Roman" w:eastAsia="宋体"/>
                    </w:rPr>
                    <w:t>洗涤废水</w:t>
                  </w:r>
                </w:p>
              </w:tc>
              <w:tc>
                <w:tcPr>
                  <w:tcW w:w="560" w:type="pct"/>
                  <w:tcBorders>
                    <w:top w:val="single" w:color="auto" w:sz="4" w:space="0"/>
                  </w:tcBorders>
                  <w:noWrap w:val="0"/>
                  <w:vAlign w:val="center"/>
                </w:tcPr>
                <w:p>
                  <w:pPr>
                    <w:pStyle w:val="165"/>
                    <w:rPr>
                      <w:rFonts w:hint="default" w:ascii="Times New Roman" w:hAnsi="Times New Roman" w:eastAsia="宋体"/>
                      <w:lang w:val="en-US" w:eastAsia="zh-CN"/>
                    </w:rPr>
                  </w:pPr>
                  <w:r>
                    <w:rPr>
                      <w:rFonts w:hint="eastAsia"/>
                      <w:lang w:val="en-US" w:eastAsia="zh-CN"/>
                    </w:rPr>
                    <w:t>8.8</w:t>
                  </w:r>
                </w:p>
              </w:tc>
              <w:tc>
                <w:tcPr>
                  <w:tcW w:w="708" w:type="pct"/>
                  <w:tcBorders>
                    <w:top w:val="single" w:color="auto" w:sz="4" w:space="0"/>
                  </w:tcBorders>
                  <w:noWrap w:val="0"/>
                  <w:vAlign w:val="center"/>
                </w:tcPr>
                <w:p>
                  <w:pPr>
                    <w:pStyle w:val="165"/>
                    <w:rPr>
                      <w:rFonts w:hint="default" w:ascii="Times New Roman" w:hAnsi="Times New Roman" w:eastAsia="宋体"/>
                      <w:lang w:val="en-US" w:eastAsia="zh-CN"/>
                    </w:rPr>
                  </w:pPr>
                  <w:r>
                    <w:rPr>
                      <w:rFonts w:hint="eastAsia"/>
                      <w:lang w:val="en-US" w:eastAsia="zh-CN"/>
                    </w:rPr>
                    <w:t>14.4</w:t>
                  </w:r>
                </w:p>
              </w:tc>
              <w:tc>
                <w:tcPr>
                  <w:tcW w:w="411" w:type="pct"/>
                  <w:tcBorders>
                    <w:top w:val="single" w:color="auto" w:sz="4" w:space="0"/>
                  </w:tcBorders>
                  <w:noWrap w:val="0"/>
                  <w:vAlign w:val="center"/>
                </w:tcPr>
                <w:p>
                  <w:pPr>
                    <w:pStyle w:val="165"/>
                    <w:rPr>
                      <w:rFonts w:hint="eastAsia" w:ascii="Times New Roman" w:hAnsi="Times New Roman" w:eastAsia="宋体"/>
                    </w:rPr>
                  </w:pPr>
                  <w:r>
                    <w:rPr>
                      <w:rFonts w:hint="eastAsia" w:ascii="Times New Roman" w:hAnsi="Times New Roman" w:eastAsia="宋体"/>
                    </w:rPr>
                    <w:t>0</w:t>
                  </w:r>
                </w:p>
              </w:tc>
              <w:tc>
                <w:tcPr>
                  <w:tcW w:w="663" w:type="pct"/>
                  <w:tcBorders>
                    <w:top w:val="single" w:color="auto" w:sz="4" w:space="0"/>
                  </w:tcBorders>
                  <w:noWrap w:val="0"/>
                  <w:vAlign w:val="center"/>
                </w:tcPr>
                <w:p>
                  <w:pPr>
                    <w:pStyle w:val="165"/>
                    <w:rPr>
                      <w:rFonts w:hint="default" w:ascii="Times New Roman" w:hAnsi="Times New Roman" w:eastAsia="宋体"/>
                      <w:lang w:val="en-US" w:eastAsia="zh-CN"/>
                    </w:rPr>
                  </w:pPr>
                  <w:r>
                    <w:rPr>
                      <w:rFonts w:hint="eastAsia"/>
                      <w:lang w:val="en-US" w:eastAsia="zh-CN"/>
                    </w:rPr>
                    <w:t>1.76</w:t>
                  </w:r>
                </w:p>
              </w:tc>
              <w:tc>
                <w:tcPr>
                  <w:tcW w:w="652" w:type="pct"/>
                  <w:tcBorders>
                    <w:top w:val="single" w:color="auto" w:sz="4" w:space="0"/>
                  </w:tcBorders>
                  <w:noWrap w:val="0"/>
                  <w:vAlign w:val="center"/>
                </w:tcPr>
                <w:p>
                  <w:pPr>
                    <w:pStyle w:val="165"/>
                    <w:rPr>
                      <w:rFonts w:hint="default" w:ascii="Times New Roman" w:hAnsi="Times New Roman" w:eastAsia="宋体"/>
                      <w:lang w:val="en-US" w:eastAsia="zh-CN"/>
                    </w:rPr>
                  </w:pPr>
                  <w:r>
                    <w:rPr>
                      <w:rFonts w:hint="eastAsia"/>
                      <w:lang w:val="en-US" w:eastAsia="zh-CN"/>
                    </w:rPr>
                    <w:t>2.88</w:t>
                  </w:r>
                </w:p>
              </w:tc>
              <w:tc>
                <w:tcPr>
                  <w:tcW w:w="651" w:type="pct"/>
                  <w:tcBorders>
                    <w:top w:val="single" w:color="auto" w:sz="4" w:space="0"/>
                  </w:tcBorders>
                  <w:noWrap w:val="0"/>
                  <w:vAlign w:val="center"/>
                </w:tcPr>
                <w:p>
                  <w:pPr>
                    <w:pStyle w:val="165"/>
                    <w:rPr>
                      <w:rFonts w:hint="default" w:ascii="Times New Roman" w:hAnsi="Times New Roman" w:eastAsia="宋体"/>
                      <w:lang w:val="en-US" w:eastAsia="zh-CN"/>
                    </w:rPr>
                  </w:pPr>
                  <w:r>
                    <w:rPr>
                      <w:rFonts w:hint="eastAsia"/>
                      <w:lang w:val="en-US" w:eastAsia="zh-CN"/>
                    </w:rPr>
                    <w:t>7.04</w:t>
                  </w:r>
                </w:p>
              </w:tc>
              <w:tc>
                <w:tcPr>
                  <w:tcW w:w="657" w:type="pct"/>
                  <w:tcBorders>
                    <w:top w:val="single" w:color="auto" w:sz="4" w:space="0"/>
                  </w:tcBorders>
                  <w:noWrap w:val="0"/>
                  <w:vAlign w:val="center"/>
                </w:tcPr>
                <w:p>
                  <w:pPr>
                    <w:pStyle w:val="165"/>
                    <w:rPr>
                      <w:rFonts w:hint="default" w:ascii="Times New Roman" w:hAnsi="Times New Roman" w:eastAsia="宋体"/>
                      <w:lang w:val="en-US" w:eastAsia="zh-CN"/>
                    </w:rPr>
                  </w:pPr>
                  <w:r>
                    <w:rPr>
                      <w:rFonts w:hint="eastAsia"/>
                      <w:lang w:val="en-US" w:eastAsia="zh-CN"/>
                    </w:rPr>
                    <w:t>11.52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3" w:type="pct"/>
                  <w:noWrap w:val="0"/>
                  <w:vAlign w:val="center"/>
                </w:tcPr>
                <w:p>
                  <w:pPr>
                    <w:pStyle w:val="165"/>
                    <w:rPr>
                      <w:rFonts w:hint="eastAsia" w:ascii="Times New Roman" w:hAnsi="Times New Roman" w:eastAsia="宋体"/>
                    </w:rPr>
                  </w:pPr>
                  <w:r>
                    <w:rPr>
                      <w:rFonts w:hint="eastAsia" w:ascii="Times New Roman" w:hAnsi="Times New Roman" w:eastAsia="宋体"/>
                    </w:rPr>
                    <w:t>生活污水</w:t>
                  </w:r>
                </w:p>
              </w:tc>
              <w:tc>
                <w:tcPr>
                  <w:tcW w:w="560" w:type="pct"/>
                  <w:noWrap w:val="0"/>
                  <w:vAlign w:val="center"/>
                </w:tcPr>
                <w:p>
                  <w:pPr>
                    <w:pStyle w:val="165"/>
                    <w:rPr>
                      <w:rFonts w:hint="default" w:ascii="Times New Roman" w:hAnsi="Times New Roman" w:eastAsia="宋体"/>
                      <w:lang w:val="en-US" w:eastAsia="zh-CN"/>
                    </w:rPr>
                  </w:pPr>
                  <w:r>
                    <w:rPr>
                      <w:rFonts w:hint="eastAsia"/>
                      <w:lang w:val="en-US" w:eastAsia="zh-CN"/>
                    </w:rPr>
                    <w:t>2.60</w:t>
                  </w:r>
                </w:p>
              </w:tc>
              <w:tc>
                <w:tcPr>
                  <w:tcW w:w="708" w:type="pct"/>
                  <w:noWrap w:val="0"/>
                  <w:vAlign w:val="center"/>
                </w:tcPr>
                <w:p>
                  <w:pPr>
                    <w:pStyle w:val="165"/>
                    <w:rPr>
                      <w:rFonts w:hint="default" w:ascii="Times New Roman" w:hAnsi="Times New Roman" w:eastAsia="宋体"/>
                      <w:lang w:val="en-US" w:eastAsia="zh-CN"/>
                    </w:rPr>
                  </w:pPr>
                  <w:r>
                    <w:rPr>
                      <w:rFonts w:hint="eastAsia"/>
                      <w:lang w:val="en-US" w:eastAsia="zh-CN"/>
                    </w:rPr>
                    <w:t>4.1</w:t>
                  </w:r>
                </w:p>
              </w:tc>
              <w:tc>
                <w:tcPr>
                  <w:tcW w:w="411" w:type="pct"/>
                  <w:noWrap w:val="0"/>
                  <w:vAlign w:val="center"/>
                </w:tcPr>
                <w:p>
                  <w:pPr>
                    <w:pStyle w:val="165"/>
                    <w:rPr>
                      <w:rFonts w:hint="eastAsia" w:ascii="Times New Roman" w:hAnsi="Times New Roman" w:eastAsia="宋体"/>
                    </w:rPr>
                  </w:pPr>
                  <w:r>
                    <w:rPr>
                      <w:rFonts w:hint="eastAsia" w:ascii="Times New Roman" w:hAnsi="Times New Roman" w:eastAsia="宋体"/>
                    </w:rPr>
                    <w:t>0</w:t>
                  </w:r>
                </w:p>
              </w:tc>
              <w:tc>
                <w:tcPr>
                  <w:tcW w:w="663" w:type="pct"/>
                  <w:noWrap w:val="0"/>
                  <w:vAlign w:val="center"/>
                </w:tcPr>
                <w:p>
                  <w:pPr>
                    <w:pStyle w:val="165"/>
                    <w:rPr>
                      <w:rFonts w:hint="default" w:ascii="Times New Roman" w:hAnsi="Times New Roman" w:eastAsia="宋体"/>
                      <w:lang w:val="en-US" w:eastAsia="zh-CN"/>
                    </w:rPr>
                  </w:pPr>
                  <w:r>
                    <w:rPr>
                      <w:rFonts w:hint="eastAsia"/>
                      <w:lang w:val="en-US" w:eastAsia="zh-CN"/>
                    </w:rPr>
                    <w:t>0.52</w:t>
                  </w:r>
                </w:p>
              </w:tc>
              <w:tc>
                <w:tcPr>
                  <w:tcW w:w="652" w:type="pct"/>
                  <w:noWrap w:val="0"/>
                  <w:vAlign w:val="center"/>
                </w:tcPr>
                <w:p>
                  <w:pPr>
                    <w:pStyle w:val="165"/>
                    <w:rPr>
                      <w:rFonts w:hint="default" w:ascii="Times New Roman" w:hAnsi="Times New Roman" w:eastAsia="宋体"/>
                      <w:lang w:val="en-US" w:eastAsia="zh-CN"/>
                    </w:rPr>
                  </w:pPr>
                  <w:r>
                    <w:rPr>
                      <w:rFonts w:hint="eastAsia"/>
                      <w:lang w:val="en-US" w:eastAsia="zh-CN"/>
                    </w:rPr>
                    <w:t>0.82</w:t>
                  </w:r>
                </w:p>
              </w:tc>
              <w:tc>
                <w:tcPr>
                  <w:tcW w:w="651" w:type="pct"/>
                  <w:noWrap w:val="0"/>
                  <w:vAlign w:val="center"/>
                </w:tcPr>
                <w:p>
                  <w:pPr>
                    <w:pStyle w:val="165"/>
                    <w:rPr>
                      <w:rFonts w:hint="default" w:ascii="Times New Roman" w:hAnsi="Times New Roman" w:eastAsia="宋体"/>
                      <w:lang w:val="en-US" w:eastAsia="zh-CN"/>
                    </w:rPr>
                  </w:pPr>
                  <w:r>
                    <w:rPr>
                      <w:rFonts w:hint="eastAsia"/>
                      <w:lang w:val="en-US" w:eastAsia="zh-CN"/>
                    </w:rPr>
                    <w:t>2.08</w:t>
                  </w:r>
                </w:p>
              </w:tc>
              <w:tc>
                <w:tcPr>
                  <w:tcW w:w="657" w:type="pct"/>
                  <w:noWrap w:val="0"/>
                  <w:vAlign w:val="center"/>
                </w:tcPr>
                <w:p>
                  <w:pPr>
                    <w:pStyle w:val="165"/>
                    <w:rPr>
                      <w:rFonts w:hint="default" w:ascii="Times New Roman" w:hAnsi="Times New Roman" w:eastAsia="宋体"/>
                      <w:lang w:val="en-US" w:eastAsia="zh-CN"/>
                    </w:rPr>
                  </w:pPr>
                  <w:r>
                    <w:rPr>
                      <w:rFonts w:hint="eastAsia"/>
                      <w:lang w:val="en-US" w:eastAsia="zh-CN"/>
                    </w:rPr>
                    <w:t>3.28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3" w:type="pct"/>
                  <w:noWrap w:val="0"/>
                  <w:vAlign w:val="center"/>
                </w:tcPr>
                <w:p>
                  <w:pPr>
                    <w:pStyle w:val="165"/>
                    <w:rPr>
                      <w:rFonts w:hint="eastAsia" w:ascii="Times New Roman" w:hAnsi="Times New Roman" w:eastAsia="宋体"/>
                    </w:rPr>
                  </w:pPr>
                  <w:r>
                    <w:rPr>
                      <w:rFonts w:hint="eastAsia" w:ascii="Times New Roman" w:hAnsi="Times New Roman" w:eastAsia="宋体"/>
                    </w:rPr>
                    <w:t>食堂废水</w:t>
                  </w:r>
                </w:p>
              </w:tc>
              <w:tc>
                <w:tcPr>
                  <w:tcW w:w="560" w:type="pct"/>
                  <w:noWrap w:val="0"/>
                  <w:vAlign w:val="center"/>
                </w:tcPr>
                <w:p>
                  <w:pPr>
                    <w:pStyle w:val="165"/>
                    <w:rPr>
                      <w:rFonts w:hint="default" w:ascii="Times New Roman" w:hAnsi="Times New Roman" w:eastAsia="宋体"/>
                      <w:lang w:val="en-US" w:eastAsia="zh-CN"/>
                    </w:rPr>
                  </w:pPr>
                  <w:r>
                    <w:rPr>
                      <w:rFonts w:hint="eastAsia"/>
                      <w:lang w:val="en-US" w:eastAsia="zh-CN"/>
                    </w:rPr>
                    <w:t>3.24</w:t>
                  </w:r>
                </w:p>
              </w:tc>
              <w:tc>
                <w:tcPr>
                  <w:tcW w:w="708" w:type="pct"/>
                  <w:noWrap w:val="0"/>
                  <w:vAlign w:val="center"/>
                </w:tcPr>
                <w:p>
                  <w:pPr>
                    <w:pStyle w:val="165"/>
                    <w:rPr>
                      <w:rFonts w:hint="default" w:ascii="Times New Roman" w:hAnsi="Times New Roman" w:eastAsia="宋体"/>
                      <w:lang w:val="en-US" w:eastAsia="zh-CN"/>
                    </w:rPr>
                  </w:pPr>
                  <w:r>
                    <w:rPr>
                      <w:rFonts w:hint="eastAsia"/>
                      <w:lang w:val="en-US" w:eastAsia="zh-CN"/>
                    </w:rPr>
                    <w:t>5.24</w:t>
                  </w:r>
                </w:p>
              </w:tc>
              <w:tc>
                <w:tcPr>
                  <w:tcW w:w="411" w:type="pct"/>
                  <w:noWrap w:val="0"/>
                  <w:vAlign w:val="center"/>
                </w:tcPr>
                <w:p>
                  <w:pPr>
                    <w:pStyle w:val="165"/>
                    <w:rPr>
                      <w:rFonts w:hint="eastAsia" w:ascii="Times New Roman" w:hAnsi="Times New Roman" w:eastAsia="宋体"/>
                    </w:rPr>
                  </w:pPr>
                  <w:r>
                    <w:rPr>
                      <w:rFonts w:hint="eastAsia" w:ascii="Times New Roman" w:hAnsi="Times New Roman" w:eastAsia="宋体"/>
                    </w:rPr>
                    <w:t>0</w:t>
                  </w:r>
                </w:p>
              </w:tc>
              <w:tc>
                <w:tcPr>
                  <w:tcW w:w="663" w:type="pct"/>
                  <w:noWrap w:val="0"/>
                  <w:vAlign w:val="center"/>
                </w:tcPr>
                <w:p>
                  <w:pPr>
                    <w:pStyle w:val="165"/>
                    <w:rPr>
                      <w:rFonts w:hint="default" w:ascii="Times New Roman" w:hAnsi="Times New Roman" w:eastAsia="宋体"/>
                      <w:lang w:val="en-US" w:eastAsia="zh-CN"/>
                    </w:rPr>
                  </w:pPr>
                  <w:r>
                    <w:rPr>
                      <w:rFonts w:hint="eastAsia"/>
                      <w:lang w:val="en-US" w:eastAsia="zh-CN"/>
                    </w:rPr>
                    <w:t>0.648</w:t>
                  </w:r>
                </w:p>
              </w:tc>
              <w:tc>
                <w:tcPr>
                  <w:tcW w:w="652" w:type="pct"/>
                  <w:noWrap w:val="0"/>
                  <w:vAlign w:val="center"/>
                </w:tcPr>
                <w:p>
                  <w:pPr>
                    <w:pStyle w:val="165"/>
                    <w:rPr>
                      <w:rFonts w:hint="default" w:ascii="Times New Roman" w:hAnsi="Times New Roman" w:eastAsia="宋体"/>
                      <w:lang w:val="en-US" w:eastAsia="zh-CN"/>
                    </w:rPr>
                  </w:pPr>
                  <w:r>
                    <w:rPr>
                      <w:rFonts w:hint="eastAsia"/>
                      <w:lang w:val="en-US" w:eastAsia="zh-CN"/>
                    </w:rPr>
                    <w:t>1.048</w:t>
                  </w:r>
                </w:p>
              </w:tc>
              <w:tc>
                <w:tcPr>
                  <w:tcW w:w="651" w:type="pct"/>
                  <w:noWrap w:val="0"/>
                  <w:vAlign w:val="center"/>
                </w:tcPr>
                <w:p>
                  <w:pPr>
                    <w:pStyle w:val="165"/>
                    <w:rPr>
                      <w:rFonts w:hint="default" w:ascii="Times New Roman" w:hAnsi="Times New Roman" w:eastAsia="宋体"/>
                      <w:lang w:val="en-US" w:eastAsia="zh-CN"/>
                    </w:rPr>
                  </w:pPr>
                  <w:r>
                    <w:rPr>
                      <w:rFonts w:hint="eastAsia"/>
                      <w:lang w:val="en-US" w:eastAsia="zh-CN"/>
                    </w:rPr>
                    <w:t>2.592</w:t>
                  </w:r>
                </w:p>
              </w:tc>
              <w:tc>
                <w:tcPr>
                  <w:tcW w:w="657" w:type="pct"/>
                  <w:noWrap w:val="0"/>
                  <w:vAlign w:val="center"/>
                </w:tcPr>
                <w:p>
                  <w:pPr>
                    <w:pStyle w:val="165"/>
                    <w:rPr>
                      <w:rFonts w:hint="default" w:ascii="Times New Roman" w:hAnsi="Times New Roman" w:eastAsia="宋体"/>
                      <w:lang w:val="en-US" w:eastAsia="zh-CN"/>
                    </w:rPr>
                  </w:pPr>
                  <w:r>
                    <w:rPr>
                      <w:rFonts w:hint="eastAsia"/>
                      <w:lang w:val="en-US" w:eastAsia="zh-CN"/>
                    </w:rPr>
                    <w:t>4.192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3" w:type="pct"/>
                  <w:noWrap w:val="0"/>
                  <w:vAlign w:val="center"/>
                </w:tcPr>
                <w:p>
                  <w:pPr>
                    <w:pStyle w:val="165"/>
                    <w:rPr>
                      <w:rFonts w:hint="eastAsia" w:ascii="Times New Roman" w:hAnsi="Times New Roman" w:eastAsia="宋体"/>
                    </w:rPr>
                  </w:pPr>
                  <w:r>
                    <w:rPr>
                      <w:rFonts w:hint="eastAsia" w:ascii="Times New Roman" w:hAnsi="Times New Roman" w:eastAsia="宋体"/>
                    </w:rPr>
                    <w:t>绿化用水</w:t>
                  </w:r>
                </w:p>
              </w:tc>
              <w:tc>
                <w:tcPr>
                  <w:tcW w:w="560" w:type="pct"/>
                  <w:noWrap w:val="0"/>
                  <w:vAlign w:val="center"/>
                </w:tcPr>
                <w:p>
                  <w:pPr>
                    <w:pStyle w:val="165"/>
                    <w:rPr>
                      <w:rFonts w:hint="eastAsia" w:ascii="Times New Roman" w:hAnsi="Times New Roman" w:eastAsia="宋体"/>
                      <w:lang w:eastAsia="zh-CN"/>
                    </w:rPr>
                  </w:pPr>
                  <w:r>
                    <w:rPr>
                      <w:rFonts w:hint="eastAsia"/>
                      <w:lang w:val="en-US" w:eastAsia="zh-CN"/>
                    </w:rPr>
                    <w:t>0</w:t>
                  </w:r>
                </w:p>
              </w:tc>
              <w:tc>
                <w:tcPr>
                  <w:tcW w:w="708" w:type="pct"/>
                  <w:noWrap w:val="0"/>
                  <w:vAlign w:val="center"/>
                </w:tcPr>
                <w:p>
                  <w:pPr>
                    <w:pStyle w:val="165"/>
                    <w:rPr>
                      <w:rFonts w:hint="default" w:ascii="Times New Roman" w:hAnsi="Times New Roman" w:eastAsia="宋体"/>
                      <w:lang w:val="en-US" w:eastAsia="zh-CN"/>
                    </w:rPr>
                  </w:pPr>
                  <w:r>
                    <w:rPr>
                      <w:rFonts w:hint="eastAsia"/>
                      <w:lang w:val="en-US" w:eastAsia="zh-CN"/>
                    </w:rPr>
                    <w:t>0.01</w:t>
                  </w:r>
                </w:p>
              </w:tc>
              <w:tc>
                <w:tcPr>
                  <w:tcW w:w="411" w:type="pct"/>
                  <w:noWrap w:val="0"/>
                  <w:vAlign w:val="center"/>
                </w:tcPr>
                <w:p>
                  <w:pPr>
                    <w:pStyle w:val="165"/>
                    <w:rPr>
                      <w:rFonts w:ascii="Times New Roman" w:hAnsi="Times New Roman" w:eastAsia="宋体"/>
                    </w:rPr>
                  </w:pPr>
                  <w:r>
                    <w:rPr>
                      <w:rFonts w:hint="eastAsia" w:ascii="Times New Roman" w:hAnsi="Times New Roman" w:eastAsia="宋体"/>
                    </w:rPr>
                    <w:t>0</w:t>
                  </w:r>
                </w:p>
              </w:tc>
              <w:tc>
                <w:tcPr>
                  <w:tcW w:w="663" w:type="pct"/>
                  <w:noWrap w:val="0"/>
                  <w:vAlign w:val="center"/>
                </w:tcPr>
                <w:p>
                  <w:pPr>
                    <w:pStyle w:val="165"/>
                    <w:rPr>
                      <w:rFonts w:hint="eastAsia" w:ascii="Times New Roman" w:hAnsi="Times New Roman" w:eastAsia="宋体"/>
                      <w:lang w:val="en-US" w:eastAsia="zh-CN"/>
                    </w:rPr>
                  </w:pPr>
                  <w:r>
                    <w:rPr>
                      <w:rFonts w:hint="eastAsia"/>
                      <w:lang w:val="en-US" w:eastAsia="zh-CN"/>
                    </w:rPr>
                    <w:t>0</w:t>
                  </w:r>
                </w:p>
              </w:tc>
              <w:tc>
                <w:tcPr>
                  <w:tcW w:w="652" w:type="pct"/>
                  <w:noWrap w:val="0"/>
                  <w:vAlign w:val="center"/>
                </w:tcPr>
                <w:p>
                  <w:pPr>
                    <w:pStyle w:val="165"/>
                    <w:rPr>
                      <w:rFonts w:hint="default" w:ascii="Times New Roman" w:hAnsi="Times New Roman" w:eastAsia="宋体"/>
                      <w:lang w:val="en-US" w:eastAsia="zh-CN"/>
                    </w:rPr>
                  </w:pPr>
                  <w:r>
                    <w:rPr>
                      <w:rFonts w:hint="eastAsia"/>
                      <w:lang w:val="en-US" w:eastAsia="zh-CN"/>
                    </w:rPr>
                    <w:t>0.01</w:t>
                  </w:r>
                </w:p>
              </w:tc>
              <w:tc>
                <w:tcPr>
                  <w:tcW w:w="651" w:type="pct"/>
                  <w:noWrap w:val="0"/>
                  <w:vAlign w:val="center"/>
                </w:tcPr>
                <w:p>
                  <w:pPr>
                    <w:pStyle w:val="165"/>
                    <w:rPr>
                      <w:rFonts w:hint="eastAsia" w:ascii="Times New Roman" w:hAnsi="Times New Roman" w:eastAsia="宋体"/>
                      <w:lang w:val="en-US" w:eastAsia="zh-CN"/>
                    </w:rPr>
                  </w:pPr>
                  <w:r>
                    <w:rPr>
                      <w:rFonts w:hint="eastAsia"/>
                      <w:lang w:val="en-US" w:eastAsia="zh-CN"/>
                    </w:rPr>
                    <w:t>0</w:t>
                  </w:r>
                </w:p>
              </w:tc>
              <w:tc>
                <w:tcPr>
                  <w:tcW w:w="657" w:type="pct"/>
                  <w:noWrap w:val="0"/>
                  <w:vAlign w:val="center"/>
                </w:tcPr>
                <w:p>
                  <w:pPr>
                    <w:pStyle w:val="165"/>
                    <w:rPr>
                      <w:rFonts w:hint="eastAsia" w:ascii="Times New Roman" w:hAnsi="Times New Roman" w:eastAsia="宋体"/>
                      <w:lang w:val="en-US" w:eastAsia="zh-CN"/>
                    </w:rPr>
                  </w:pPr>
                  <w:r>
                    <w:rPr>
                      <w:rFonts w:hint="eastAsia"/>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3" w:type="pct"/>
                  <w:noWrap w:val="0"/>
                  <w:vAlign w:val="center"/>
                </w:tcPr>
                <w:p>
                  <w:pPr>
                    <w:pStyle w:val="165"/>
                    <w:rPr>
                      <w:rFonts w:hint="eastAsia" w:ascii="Times New Roman" w:hAnsi="Times New Roman" w:eastAsia="宋体"/>
                      <w:lang w:eastAsia="zh-CN"/>
                    </w:rPr>
                  </w:pPr>
                  <w:r>
                    <w:rPr>
                      <w:rFonts w:hint="eastAsia"/>
                      <w:lang w:eastAsia="zh-CN"/>
                    </w:rPr>
                    <w:t>未预见用水</w:t>
                  </w:r>
                </w:p>
              </w:tc>
              <w:tc>
                <w:tcPr>
                  <w:tcW w:w="560" w:type="pct"/>
                  <w:noWrap w:val="0"/>
                  <w:vAlign w:val="center"/>
                </w:tcPr>
                <w:p>
                  <w:pPr>
                    <w:pStyle w:val="165"/>
                    <w:rPr>
                      <w:rFonts w:hint="default"/>
                      <w:lang w:val="en-US" w:eastAsia="zh-CN"/>
                    </w:rPr>
                  </w:pPr>
                  <w:r>
                    <w:rPr>
                      <w:rFonts w:hint="eastAsia"/>
                      <w:lang w:val="en-US" w:eastAsia="zh-CN"/>
                    </w:rPr>
                    <w:t>0</w:t>
                  </w:r>
                </w:p>
              </w:tc>
              <w:tc>
                <w:tcPr>
                  <w:tcW w:w="708" w:type="pct"/>
                  <w:noWrap w:val="0"/>
                  <w:vAlign w:val="center"/>
                </w:tcPr>
                <w:p>
                  <w:pPr>
                    <w:pStyle w:val="165"/>
                    <w:rPr>
                      <w:rFonts w:hint="default"/>
                      <w:lang w:val="en-US" w:eastAsia="zh-CN"/>
                    </w:rPr>
                  </w:pPr>
                  <w:r>
                    <w:rPr>
                      <w:rFonts w:hint="eastAsia"/>
                      <w:lang w:val="en-US" w:eastAsia="zh-CN"/>
                    </w:rPr>
                    <w:t>2.9905</w:t>
                  </w:r>
                </w:p>
              </w:tc>
              <w:tc>
                <w:tcPr>
                  <w:tcW w:w="411" w:type="pct"/>
                  <w:noWrap w:val="0"/>
                  <w:vAlign w:val="center"/>
                </w:tcPr>
                <w:p>
                  <w:pPr>
                    <w:pStyle w:val="165"/>
                    <w:rPr>
                      <w:rFonts w:hint="eastAsia" w:ascii="Times New Roman" w:hAnsi="Times New Roman" w:eastAsia="宋体"/>
                      <w:lang w:val="en-US" w:eastAsia="zh-CN"/>
                    </w:rPr>
                  </w:pPr>
                  <w:r>
                    <w:rPr>
                      <w:rFonts w:hint="eastAsia"/>
                      <w:lang w:val="en-US" w:eastAsia="zh-CN"/>
                    </w:rPr>
                    <w:t>0</w:t>
                  </w:r>
                </w:p>
              </w:tc>
              <w:tc>
                <w:tcPr>
                  <w:tcW w:w="663" w:type="pct"/>
                  <w:noWrap w:val="0"/>
                  <w:vAlign w:val="center"/>
                </w:tcPr>
                <w:p>
                  <w:pPr>
                    <w:pStyle w:val="165"/>
                    <w:rPr>
                      <w:rFonts w:hint="eastAsia" w:ascii="Times New Roman" w:hAnsi="Times New Roman" w:eastAsia="宋体"/>
                      <w:lang w:val="en-US" w:eastAsia="zh-CN"/>
                    </w:rPr>
                  </w:pPr>
                  <w:r>
                    <w:rPr>
                      <w:rFonts w:hint="eastAsia"/>
                      <w:lang w:val="en-US" w:eastAsia="zh-CN"/>
                    </w:rPr>
                    <w:t>0</w:t>
                  </w:r>
                </w:p>
              </w:tc>
              <w:tc>
                <w:tcPr>
                  <w:tcW w:w="652" w:type="pct"/>
                  <w:noWrap w:val="0"/>
                  <w:vAlign w:val="center"/>
                </w:tcPr>
                <w:p>
                  <w:pPr>
                    <w:pStyle w:val="165"/>
                    <w:rPr>
                      <w:rFonts w:hint="default" w:ascii="Times New Roman" w:hAnsi="Times New Roman" w:eastAsia="宋体"/>
                      <w:lang w:val="en-US" w:eastAsia="zh-CN"/>
                    </w:rPr>
                  </w:pPr>
                  <w:r>
                    <w:rPr>
                      <w:rFonts w:hint="eastAsia"/>
                      <w:lang w:val="en-US" w:eastAsia="zh-CN"/>
                    </w:rPr>
                    <w:t>2.9905</w:t>
                  </w:r>
                </w:p>
              </w:tc>
              <w:tc>
                <w:tcPr>
                  <w:tcW w:w="651" w:type="pct"/>
                  <w:noWrap w:val="0"/>
                  <w:vAlign w:val="center"/>
                </w:tcPr>
                <w:p>
                  <w:pPr>
                    <w:pStyle w:val="165"/>
                    <w:rPr>
                      <w:rFonts w:hint="eastAsia" w:ascii="Times New Roman" w:hAnsi="Times New Roman" w:eastAsia="宋体"/>
                      <w:lang w:val="en-US" w:eastAsia="zh-CN"/>
                    </w:rPr>
                  </w:pPr>
                  <w:r>
                    <w:rPr>
                      <w:rFonts w:hint="eastAsia"/>
                      <w:lang w:val="en-US" w:eastAsia="zh-CN"/>
                    </w:rPr>
                    <w:t>0</w:t>
                  </w:r>
                </w:p>
              </w:tc>
              <w:tc>
                <w:tcPr>
                  <w:tcW w:w="657" w:type="pct"/>
                  <w:noWrap w:val="0"/>
                  <w:vAlign w:val="center"/>
                </w:tcPr>
                <w:p>
                  <w:pPr>
                    <w:pStyle w:val="165"/>
                    <w:rPr>
                      <w:rFonts w:hint="eastAsia" w:ascii="Times New Roman" w:hAnsi="Times New Roman" w:eastAsia="宋体"/>
                      <w:lang w:val="en-US" w:eastAsia="zh-CN"/>
                    </w:rPr>
                  </w:pPr>
                  <w:r>
                    <w:rPr>
                      <w:rFonts w:hint="eastAsia"/>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3" w:type="pct"/>
                  <w:noWrap w:val="0"/>
                  <w:vAlign w:val="center"/>
                </w:tcPr>
                <w:p>
                  <w:pPr>
                    <w:pStyle w:val="165"/>
                    <w:rPr>
                      <w:rFonts w:ascii="Times New Roman" w:hAnsi="Times New Roman" w:eastAsia="宋体"/>
                      <w:szCs w:val="21"/>
                    </w:rPr>
                  </w:pPr>
                  <w:r>
                    <w:rPr>
                      <w:rFonts w:ascii="Times New Roman" w:hAnsi="Times New Roman" w:eastAsia="宋体"/>
                    </w:rPr>
                    <w:t>总计</w:t>
                  </w:r>
                </w:p>
              </w:tc>
              <w:tc>
                <w:tcPr>
                  <w:tcW w:w="560" w:type="pct"/>
                  <w:noWrap w:val="0"/>
                  <w:vAlign w:val="center"/>
                </w:tcPr>
                <w:p>
                  <w:pPr>
                    <w:pStyle w:val="165"/>
                    <w:rPr>
                      <w:rFonts w:hint="default" w:ascii="Times New Roman" w:hAnsi="Times New Roman" w:eastAsia="宋体"/>
                      <w:szCs w:val="21"/>
                      <w:lang w:val="en-US" w:eastAsia="zh-CN"/>
                    </w:rPr>
                  </w:pPr>
                  <w:r>
                    <w:rPr>
                      <w:rFonts w:hint="eastAsia"/>
                      <w:lang w:val="en-US" w:eastAsia="zh-CN"/>
                    </w:rPr>
                    <w:t>36.64</w:t>
                  </w:r>
                </w:p>
              </w:tc>
              <w:tc>
                <w:tcPr>
                  <w:tcW w:w="708" w:type="pct"/>
                  <w:noWrap w:val="0"/>
                  <w:vAlign w:val="center"/>
                </w:tcPr>
                <w:p>
                  <w:pPr>
                    <w:pStyle w:val="165"/>
                    <w:rPr>
                      <w:rFonts w:hint="default" w:ascii="Times New Roman" w:hAnsi="Times New Roman" w:eastAsia="宋体"/>
                      <w:lang w:val="en-US" w:eastAsia="zh-CN"/>
                    </w:rPr>
                  </w:pPr>
                  <w:r>
                    <w:rPr>
                      <w:rFonts w:hint="eastAsia"/>
                      <w:lang w:val="en-US" w:eastAsia="zh-CN"/>
                    </w:rPr>
                    <w:t>62.8005</w:t>
                  </w:r>
                </w:p>
              </w:tc>
              <w:tc>
                <w:tcPr>
                  <w:tcW w:w="411" w:type="pct"/>
                  <w:noWrap w:val="0"/>
                  <w:vAlign w:val="center"/>
                </w:tcPr>
                <w:p>
                  <w:pPr>
                    <w:pStyle w:val="165"/>
                    <w:rPr>
                      <w:rFonts w:ascii="Times New Roman" w:hAnsi="Times New Roman" w:eastAsia="宋体"/>
                      <w:szCs w:val="21"/>
                    </w:rPr>
                  </w:pPr>
                  <w:r>
                    <w:rPr>
                      <w:rFonts w:hint="eastAsia" w:ascii="Times New Roman" w:hAnsi="Times New Roman" w:eastAsia="宋体"/>
                    </w:rPr>
                    <w:t>0</w:t>
                  </w:r>
                </w:p>
              </w:tc>
              <w:tc>
                <w:tcPr>
                  <w:tcW w:w="663" w:type="pct"/>
                  <w:noWrap w:val="0"/>
                  <w:vAlign w:val="center"/>
                </w:tcPr>
                <w:p>
                  <w:pPr>
                    <w:pStyle w:val="165"/>
                    <w:rPr>
                      <w:rFonts w:hint="default" w:ascii="Times New Roman" w:hAnsi="Times New Roman" w:eastAsia="宋体"/>
                      <w:lang w:val="en-US" w:eastAsia="zh-CN"/>
                    </w:rPr>
                  </w:pPr>
                  <w:r>
                    <w:rPr>
                      <w:rFonts w:hint="eastAsia"/>
                      <w:lang w:val="en-US" w:eastAsia="zh-CN"/>
                    </w:rPr>
                    <w:t>7.328</w:t>
                  </w:r>
                </w:p>
              </w:tc>
              <w:tc>
                <w:tcPr>
                  <w:tcW w:w="652" w:type="pct"/>
                  <w:noWrap w:val="0"/>
                  <w:vAlign w:val="center"/>
                </w:tcPr>
                <w:p>
                  <w:pPr>
                    <w:pStyle w:val="165"/>
                    <w:rPr>
                      <w:rFonts w:hint="default" w:ascii="Times New Roman" w:hAnsi="Times New Roman" w:eastAsia="宋体"/>
                      <w:szCs w:val="21"/>
                      <w:lang w:val="en-US" w:eastAsia="zh-CN"/>
                    </w:rPr>
                  </w:pPr>
                  <w:r>
                    <w:rPr>
                      <w:rFonts w:hint="eastAsia"/>
                      <w:szCs w:val="21"/>
                      <w:lang w:val="en-US" w:eastAsia="zh-CN"/>
                    </w:rPr>
                    <w:t>14.9605</w:t>
                  </w:r>
                </w:p>
              </w:tc>
              <w:tc>
                <w:tcPr>
                  <w:tcW w:w="651" w:type="pct"/>
                  <w:noWrap w:val="0"/>
                  <w:vAlign w:val="center"/>
                </w:tcPr>
                <w:p>
                  <w:pPr>
                    <w:pStyle w:val="165"/>
                    <w:rPr>
                      <w:rFonts w:hint="default" w:ascii="Times New Roman" w:hAnsi="Times New Roman" w:eastAsia="宋体"/>
                      <w:szCs w:val="21"/>
                      <w:lang w:val="en-US" w:eastAsia="zh-CN"/>
                    </w:rPr>
                  </w:pPr>
                  <w:r>
                    <w:rPr>
                      <w:rFonts w:hint="eastAsia"/>
                      <w:szCs w:val="21"/>
                      <w:lang w:val="en-US" w:eastAsia="zh-CN"/>
                    </w:rPr>
                    <w:t>29.312</w:t>
                  </w:r>
                </w:p>
              </w:tc>
              <w:tc>
                <w:tcPr>
                  <w:tcW w:w="657" w:type="pct"/>
                  <w:noWrap w:val="0"/>
                  <w:vAlign w:val="center"/>
                </w:tcPr>
                <w:p>
                  <w:pPr>
                    <w:pStyle w:val="165"/>
                    <w:rPr>
                      <w:rFonts w:hint="default" w:ascii="Times New Roman" w:hAnsi="Times New Roman" w:eastAsia="宋体"/>
                      <w:lang w:val="en-US" w:eastAsia="zh-CN"/>
                    </w:rPr>
                  </w:pPr>
                  <w:r>
                    <w:rPr>
                      <w:rFonts w:hint="eastAsia"/>
                      <w:lang w:val="en-US" w:eastAsia="zh-CN"/>
                    </w:rPr>
                    <w:t>47.84</w:t>
                  </w:r>
                </w:p>
              </w:tc>
            </w:tr>
          </w:tbl>
          <w:p>
            <w:pPr>
              <w:pStyle w:val="185"/>
              <w:ind w:firstLine="482"/>
              <w:rPr>
                <w:rFonts w:hint="eastAsia" w:ascii="Times New Roman" w:hAnsi="Times New Roman" w:eastAsia="宋体"/>
                <w:b w:val="0"/>
                <w:bCs/>
                <w:color w:val="000000"/>
                <w:lang w:eastAsia="zh-CN"/>
              </w:rPr>
            </w:pPr>
            <w:r>
              <w:rPr>
                <w:rFonts w:hint="eastAsia" w:ascii="Times New Roman" w:hAnsi="Times New Roman" w:eastAsia="宋体"/>
                <w:b w:val="0"/>
                <w:bCs/>
                <w:color w:val="000000"/>
                <w:lang w:eastAsia="zh-CN"/>
              </w:rPr>
              <w:t>本项目废水主要污染物信息见表4-</w:t>
            </w:r>
            <w:r>
              <w:rPr>
                <w:rFonts w:hint="eastAsia" w:ascii="Times New Roman" w:hAnsi="Times New Roman" w:eastAsia="宋体"/>
                <w:b w:val="0"/>
                <w:bCs/>
                <w:color w:val="000000"/>
                <w:lang w:val="en-US" w:eastAsia="zh-CN"/>
              </w:rPr>
              <w:t>5</w:t>
            </w:r>
            <w:r>
              <w:rPr>
                <w:rFonts w:hint="eastAsia" w:ascii="Times New Roman" w:hAnsi="Times New Roman" w:eastAsia="宋体"/>
                <w:b w:val="0"/>
                <w:bCs/>
                <w:color w:val="000000"/>
                <w:lang w:eastAsia="zh-CN"/>
              </w:rPr>
              <w:t>。</w:t>
            </w:r>
          </w:p>
          <w:p>
            <w:pPr>
              <w:pStyle w:val="185"/>
              <w:spacing w:line="240" w:lineRule="auto"/>
              <w:ind w:firstLine="482"/>
              <w:jc w:val="center"/>
              <w:rPr>
                <w:rFonts w:hint="eastAsia" w:ascii="Times New Roman" w:hAnsi="Times New Roman" w:eastAsia="宋体"/>
                <w:b w:val="0"/>
                <w:bCs/>
                <w:color w:val="000000"/>
                <w:sz w:val="21"/>
                <w:szCs w:val="21"/>
              </w:rPr>
            </w:pPr>
            <w:r>
              <w:rPr>
                <w:b/>
                <w:sz w:val="21"/>
                <w:szCs w:val="18"/>
              </w:rPr>
              <w:t>表</w:t>
            </w:r>
            <w:r>
              <w:rPr>
                <w:rFonts w:hint="eastAsia"/>
                <w:b/>
                <w:sz w:val="21"/>
                <w:szCs w:val="18"/>
              </w:rPr>
              <w:t>4-</w:t>
            </w:r>
            <w:r>
              <w:rPr>
                <w:rFonts w:hint="eastAsia"/>
                <w:b/>
                <w:sz w:val="21"/>
                <w:szCs w:val="18"/>
                <w:lang w:val="en-US" w:eastAsia="zh-CN"/>
              </w:rPr>
              <w:t>5</w:t>
            </w:r>
            <w:r>
              <w:rPr>
                <w:b/>
                <w:sz w:val="21"/>
                <w:szCs w:val="18"/>
              </w:rPr>
              <w:t xml:space="preserve"> </w:t>
            </w:r>
            <w:r>
              <w:rPr>
                <w:rFonts w:hint="eastAsia"/>
                <w:b/>
                <w:sz w:val="21"/>
                <w:szCs w:val="18"/>
              </w:rPr>
              <w:t xml:space="preserve"> </w:t>
            </w:r>
            <w:r>
              <w:rPr>
                <w:rFonts w:hint="eastAsia"/>
                <w:b/>
                <w:sz w:val="21"/>
                <w:szCs w:val="18"/>
                <w:lang w:eastAsia="zh-CN"/>
              </w:rPr>
              <w:t>废水</w:t>
            </w:r>
            <w:r>
              <w:rPr>
                <w:rFonts w:hint="eastAsia"/>
                <w:b/>
                <w:sz w:val="21"/>
                <w:szCs w:val="18"/>
              </w:rPr>
              <w:t>主要污染物及排放情况一览表</w:t>
            </w:r>
          </w:p>
          <w:tbl>
            <w:tblPr>
              <w:tblStyle w:val="42"/>
              <w:tblW w:w="821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14"/>
              <w:gridCol w:w="1077"/>
              <w:gridCol w:w="1481"/>
              <w:gridCol w:w="1500"/>
              <w:gridCol w:w="1519"/>
              <w:gridCol w:w="152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1114" w:type="dxa"/>
                  <w:tcBorders>
                    <w:tl2br w:val="nil"/>
                    <w:tr2bl w:val="nil"/>
                  </w:tcBorders>
                  <w:noWrap w:val="0"/>
                  <w:vAlign w:val="center"/>
                </w:tcPr>
                <w:p>
                  <w:pPr>
                    <w:widowControl/>
                    <w:jc w:val="center"/>
                    <w:textAlignment w:val="center"/>
                    <w:rPr>
                      <w:rFonts w:hint="eastAsia"/>
                      <w:b/>
                      <w:bCs/>
                      <w:kern w:val="2"/>
                      <w:sz w:val="21"/>
                      <w:szCs w:val="21"/>
                      <w:lang w:val="en-US" w:eastAsia="zh-CN" w:bidi="ar-SA"/>
                    </w:rPr>
                  </w:pPr>
                  <w:r>
                    <w:rPr>
                      <w:b/>
                      <w:bCs/>
                      <w:kern w:val="0"/>
                      <w:sz w:val="21"/>
                      <w:szCs w:val="21"/>
                      <w:lang w:bidi="ar"/>
                    </w:rPr>
                    <w:t>污染物种类</w:t>
                  </w:r>
                </w:p>
              </w:tc>
              <w:tc>
                <w:tcPr>
                  <w:tcW w:w="1077" w:type="dxa"/>
                  <w:tcBorders>
                    <w:tl2br w:val="nil"/>
                    <w:tr2bl w:val="nil"/>
                  </w:tcBorders>
                  <w:noWrap w:val="0"/>
                  <w:vAlign w:val="center"/>
                </w:tcPr>
                <w:p>
                  <w:pPr>
                    <w:widowControl/>
                    <w:jc w:val="center"/>
                    <w:textAlignment w:val="center"/>
                    <w:rPr>
                      <w:rFonts w:hint="eastAsia" w:eastAsia="宋体"/>
                      <w:b/>
                      <w:bCs/>
                      <w:kern w:val="2"/>
                      <w:sz w:val="21"/>
                      <w:szCs w:val="21"/>
                      <w:lang w:val="en-US" w:eastAsia="zh-CN" w:bidi="ar-SA"/>
                    </w:rPr>
                  </w:pPr>
                  <w:r>
                    <w:rPr>
                      <w:b/>
                      <w:bCs/>
                      <w:kern w:val="0"/>
                      <w:sz w:val="21"/>
                      <w:szCs w:val="21"/>
                      <w:lang w:bidi="ar"/>
                    </w:rPr>
                    <w:t>浓度限值</w:t>
                  </w:r>
                  <w:r>
                    <w:rPr>
                      <w:rFonts w:hint="eastAsia"/>
                      <w:b/>
                      <w:bCs/>
                      <w:kern w:val="0"/>
                      <w:sz w:val="21"/>
                      <w:szCs w:val="21"/>
                      <w:lang w:val="en-US" w:eastAsia="zh-CN" w:bidi="ar"/>
                    </w:rPr>
                    <w:t>(</w:t>
                  </w:r>
                  <w:r>
                    <w:rPr>
                      <w:b/>
                      <w:bCs/>
                      <w:kern w:val="0"/>
                      <w:sz w:val="21"/>
                      <w:szCs w:val="21"/>
                      <w:lang w:bidi="ar"/>
                    </w:rPr>
                    <w:t>mg/L</w:t>
                  </w:r>
                  <w:r>
                    <w:rPr>
                      <w:rFonts w:hint="eastAsia"/>
                      <w:b/>
                      <w:bCs/>
                      <w:kern w:val="0"/>
                      <w:sz w:val="21"/>
                      <w:szCs w:val="21"/>
                      <w:lang w:val="en-US" w:eastAsia="zh-CN" w:bidi="ar"/>
                    </w:rPr>
                    <w:t>)</w:t>
                  </w:r>
                </w:p>
              </w:tc>
              <w:tc>
                <w:tcPr>
                  <w:tcW w:w="1481" w:type="dxa"/>
                  <w:tcBorders>
                    <w:tl2br w:val="nil"/>
                    <w:tr2bl w:val="nil"/>
                  </w:tcBorders>
                  <w:noWrap w:val="0"/>
                  <w:vAlign w:val="center"/>
                </w:tcPr>
                <w:p>
                  <w:pPr>
                    <w:widowControl/>
                    <w:jc w:val="center"/>
                    <w:textAlignment w:val="center"/>
                    <w:rPr>
                      <w:rFonts w:hint="eastAsia"/>
                      <w:b/>
                      <w:bCs/>
                      <w:kern w:val="2"/>
                      <w:sz w:val="21"/>
                      <w:szCs w:val="21"/>
                      <w:lang w:val="en-US" w:eastAsia="zh-CN" w:bidi="ar-SA"/>
                    </w:rPr>
                  </w:pPr>
                  <w:r>
                    <w:rPr>
                      <w:rFonts w:hint="eastAsia"/>
                      <w:b/>
                      <w:bCs/>
                      <w:kern w:val="0"/>
                      <w:sz w:val="21"/>
                      <w:szCs w:val="21"/>
                      <w:lang w:eastAsia="zh-CN" w:bidi="ar"/>
                    </w:rPr>
                    <w:t>本项目</w:t>
                  </w:r>
                  <w:r>
                    <w:rPr>
                      <w:b/>
                      <w:bCs/>
                      <w:kern w:val="0"/>
                      <w:sz w:val="21"/>
                      <w:szCs w:val="21"/>
                      <w:lang w:bidi="ar"/>
                    </w:rPr>
                    <w:t>新增日排放量</w:t>
                  </w:r>
                  <w:r>
                    <w:rPr>
                      <w:rFonts w:hint="eastAsia"/>
                      <w:b/>
                      <w:bCs/>
                      <w:kern w:val="0"/>
                      <w:sz w:val="21"/>
                      <w:szCs w:val="21"/>
                      <w:lang w:bidi="ar"/>
                    </w:rPr>
                    <w:t>（</w:t>
                  </w:r>
                  <w:r>
                    <w:rPr>
                      <w:b/>
                      <w:bCs/>
                      <w:kern w:val="0"/>
                      <w:sz w:val="21"/>
                      <w:szCs w:val="21"/>
                      <w:lang w:bidi="ar"/>
                    </w:rPr>
                    <w:t>t/d</w:t>
                  </w:r>
                  <w:r>
                    <w:rPr>
                      <w:rFonts w:hint="eastAsia"/>
                      <w:b/>
                      <w:bCs/>
                      <w:kern w:val="0"/>
                      <w:sz w:val="21"/>
                      <w:szCs w:val="21"/>
                      <w:lang w:bidi="ar"/>
                    </w:rPr>
                    <w:t>）</w:t>
                  </w:r>
                </w:p>
              </w:tc>
              <w:tc>
                <w:tcPr>
                  <w:tcW w:w="1500" w:type="dxa"/>
                  <w:tcBorders>
                    <w:tl2br w:val="nil"/>
                    <w:tr2bl w:val="nil"/>
                  </w:tcBorders>
                  <w:noWrap w:val="0"/>
                  <w:vAlign w:val="center"/>
                </w:tcPr>
                <w:p>
                  <w:pPr>
                    <w:widowControl/>
                    <w:jc w:val="center"/>
                    <w:textAlignment w:val="center"/>
                    <w:rPr>
                      <w:rFonts w:hint="eastAsia"/>
                      <w:b/>
                      <w:bCs/>
                      <w:kern w:val="2"/>
                      <w:sz w:val="21"/>
                      <w:szCs w:val="21"/>
                      <w:lang w:val="en-US" w:eastAsia="zh-CN" w:bidi="ar-SA"/>
                    </w:rPr>
                  </w:pPr>
                  <w:r>
                    <w:rPr>
                      <w:rFonts w:hint="eastAsia"/>
                      <w:b/>
                      <w:bCs/>
                      <w:kern w:val="0"/>
                      <w:sz w:val="21"/>
                      <w:szCs w:val="21"/>
                      <w:lang w:eastAsia="zh-CN" w:bidi="ar"/>
                    </w:rPr>
                    <w:t>建成后全院</w:t>
                  </w:r>
                  <w:r>
                    <w:rPr>
                      <w:b/>
                      <w:bCs/>
                      <w:kern w:val="0"/>
                      <w:sz w:val="21"/>
                      <w:szCs w:val="21"/>
                      <w:lang w:bidi="ar"/>
                    </w:rPr>
                    <w:t>日排放量（t/d）</w:t>
                  </w:r>
                </w:p>
              </w:tc>
              <w:tc>
                <w:tcPr>
                  <w:tcW w:w="1519" w:type="dxa"/>
                  <w:tcBorders>
                    <w:tl2br w:val="nil"/>
                    <w:tr2bl w:val="nil"/>
                  </w:tcBorders>
                  <w:noWrap w:val="0"/>
                  <w:vAlign w:val="center"/>
                </w:tcPr>
                <w:p>
                  <w:pPr>
                    <w:widowControl/>
                    <w:jc w:val="center"/>
                    <w:textAlignment w:val="center"/>
                    <w:rPr>
                      <w:rFonts w:hint="eastAsia"/>
                      <w:b/>
                      <w:bCs/>
                      <w:kern w:val="2"/>
                      <w:sz w:val="21"/>
                      <w:szCs w:val="21"/>
                      <w:lang w:val="en-US" w:eastAsia="zh-CN" w:bidi="ar-SA"/>
                    </w:rPr>
                  </w:pPr>
                  <w:r>
                    <w:rPr>
                      <w:rFonts w:hint="eastAsia"/>
                      <w:b/>
                      <w:bCs/>
                      <w:kern w:val="0"/>
                      <w:sz w:val="21"/>
                      <w:szCs w:val="21"/>
                      <w:lang w:eastAsia="zh-CN" w:bidi="ar"/>
                    </w:rPr>
                    <w:t>本项目</w:t>
                  </w:r>
                  <w:r>
                    <w:rPr>
                      <w:b/>
                      <w:bCs/>
                      <w:kern w:val="0"/>
                      <w:sz w:val="21"/>
                      <w:szCs w:val="21"/>
                      <w:lang w:bidi="ar"/>
                    </w:rPr>
                    <w:t>新增年排放量（t/a）</w:t>
                  </w:r>
                </w:p>
              </w:tc>
              <w:tc>
                <w:tcPr>
                  <w:tcW w:w="1526" w:type="dxa"/>
                  <w:tcBorders>
                    <w:tl2br w:val="nil"/>
                    <w:tr2bl w:val="nil"/>
                  </w:tcBorders>
                  <w:noWrap w:val="0"/>
                  <w:vAlign w:val="center"/>
                </w:tcPr>
                <w:p>
                  <w:pPr>
                    <w:widowControl/>
                    <w:jc w:val="center"/>
                    <w:textAlignment w:val="center"/>
                    <w:rPr>
                      <w:rFonts w:hint="eastAsia"/>
                      <w:b/>
                      <w:bCs/>
                      <w:kern w:val="2"/>
                      <w:sz w:val="21"/>
                      <w:szCs w:val="21"/>
                      <w:lang w:val="en-US" w:eastAsia="zh-CN" w:bidi="ar-SA"/>
                    </w:rPr>
                  </w:pPr>
                  <w:r>
                    <w:rPr>
                      <w:rFonts w:hint="eastAsia"/>
                      <w:b/>
                      <w:bCs/>
                      <w:kern w:val="0"/>
                      <w:sz w:val="21"/>
                      <w:szCs w:val="21"/>
                      <w:lang w:eastAsia="zh-CN" w:bidi="ar"/>
                    </w:rPr>
                    <w:t>建成后全院</w:t>
                  </w:r>
                  <w:r>
                    <w:rPr>
                      <w:b/>
                      <w:bCs/>
                      <w:kern w:val="0"/>
                      <w:sz w:val="21"/>
                      <w:szCs w:val="21"/>
                      <w:lang w:bidi="ar"/>
                    </w:rPr>
                    <w:t>年排放量（t/a）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114" w:type="dxa"/>
                  <w:tcBorders>
                    <w:tl2br w:val="nil"/>
                    <w:tr2bl w:val="nil"/>
                  </w:tcBorders>
                  <w:noWrap w:val="0"/>
                  <w:vAlign w:val="center"/>
                </w:tcPr>
                <w:p>
                  <w:pPr>
                    <w:widowControl/>
                    <w:jc w:val="center"/>
                    <w:textAlignment w:val="center"/>
                    <w:rPr>
                      <w:rFonts w:hint="eastAsia"/>
                      <w:kern w:val="2"/>
                      <w:sz w:val="21"/>
                      <w:szCs w:val="21"/>
                      <w:lang w:val="en-US" w:eastAsia="zh-CN" w:bidi="ar-SA"/>
                    </w:rPr>
                  </w:pPr>
                  <w:r>
                    <w:rPr>
                      <w:kern w:val="0"/>
                      <w:sz w:val="21"/>
                      <w:szCs w:val="21"/>
                      <w:lang w:bidi="ar"/>
                    </w:rPr>
                    <w:t>COD</w:t>
                  </w:r>
                </w:p>
              </w:tc>
              <w:tc>
                <w:tcPr>
                  <w:tcW w:w="1077" w:type="dxa"/>
                  <w:tcBorders>
                    <w:tl2br w:val="nil"/>
                    <w:tr2bl w:val="nil"/>
                  </w:tcBorders>
                  <w:noWrap w:val="0"/>
                  <w:vAlign w:val="center"/>
                </w:tcPr>
                <w:p>
                  <w:pPr>
                    <w:widowControl/>
                    <w:jc w:val="center"/>
                    <w:textAlignment w:val="center"/>
                    <w:rPr>
                      <w:rFonts w:hint="eastAsia"/>
                      <w:kern w:val="2"/>
                      <w:sz w:val="21"/>
                      <w:szCs w:val="21"/>
                      <w:lang w:val="en-US" w:eastAsia="zh-CN" w:bidi="ar-SA"/>
                    </w:rPr>
                  </w:pPr>
                  <w:r>
                    <w:rPr>
                      <w:kern w:val="0"/>
                      <w:sz w:val="21"/>
                      <w:szCs w:val="21"/>
                      <w:lang w:bidi="ar"/>
                    </w:rPr>
                    <w:t>250</w:t>
                  </w:r>
                </w:p>
              </w:tc>
              <w:tc>
                <w:tcPr>
                  <w:tcW w:w="1481"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0.007328</w:t>
                  </w:r>
                </w:p>
              </w:tc>
              <w:tc>
                <w:tcPr>
                  <w:tcW w:w="1500"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0.01196</w:t>
                  </w:r>
                </w:p>
              </w:tc>
              <w:tc>
                <w:tcPr>
                  <w:tcW w:w="1519"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2.6747</w:t>
                  </w:r>
                </w:p>
              </w:tc>
              <w:tc>
                <w:tcPr>
                  <w:tcW w:w="1526"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4.3654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114" w:type="dxa"/>
                  <w:tcBorders>
                    <w:tl2br w:val="nil"/>
                    <w:tr2bl w:val="nil"/>
                  </w:tcBorders>
                  <w:noWrap w:val="0"/>
                  <w:vAlign w:val="center"/>
                </w:tcPr>
                <w:p>
                  <w:pPr>
                    <w:widowControl/>
                    <w:jc w:val="center"/>
                    <w:textAlignment w:val="center"/>
                    <w:rPr>
                      <w:rFonts w:hint="eastAsia"/>
                      <w:kern w:val="2"/>
                      <w:sz w:val="21"/>
                      <w:szCs w:val="21"/>
                      <w:lang w:val="en-US" w:eastAsia="zh-CN" w:bidi="ar-SA"/>
                    </w:rPr>
                  </w:pPr>
                  <w:r>
                    <w:rPr>
                      <w:kern w:val="0"/>
                      <w:sz w:val="21"/>
                      <w:szCs w:val="21"/>
                      <w:lang w:bidi="ar"/>
                    </w:rPr>
                    <w:t>BOD</w:t>
                  </w:r>
                  <w:r>
                    <w:rPr>
                      <w:kern w:val="0"/>
                      <w:sz w:val="21"/>
                      <w:szCs w:val="21"/>
                      <w:vertAlign w:val="subscript"/>
                      <w:lang w:bidi="ar"/>
                    </w:rPr>
                    <w:t>5</w:t>
                  </w:r>
                </w:p>
              </w:tc>
              <w:tc>
                <w:tcPr>
                  <w:tcW w:w="1077" w:type="dxa"/>
                  <w:tcBorders>
                    <w:tl2br w:val="nil"/>
                    <w:tr2bl w:val="nil"/>
                  </w:tcBorders>
                  <w:noWrap w:val="0"/>
                  <w:vAlign w:val="center"/>
                </w:tcPr>
                <w:p>
                  <w:pPr>
                    <w:widowControl/>
                    <w:jc w:val="center"/>
                    <w:textAlignment w:val="center"/>
                    <w:rPr>
                      <w:rFonts w:hint="eastAsia"/>
                      <w:kern w:val="2"/>
                      <w:sz w:val="21"/>
                      <w:szCs w:val="21"/>
                      <w:lang w:val="en-US" w:eastAsia="zh-CN" w:bidi="ar-SA"/>
                    </w:rPr>
                  </w:pPr>
                  <w:r>
                    <w:rPr>
                      <w:kern w:val="0"/>
                      <w:sz w:val="21"/>
                      <w:szCs w:val="21"/>
                      <w:lang w:bidi="ar"/>
                    </w:rPr>
                    <w:t>100</w:t>
                  </w:r>
                </w:p>
              </w:tc>
              <w:tc>
                <w:tcPr>
                  <w:tcW w:w="1481"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0.002931</w:t>
                  </w:r>
                </w:p>
              </w:tc>
              <w:tc>
                <w:tcPr>
                  <w:tcW w:w="1500"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0.004784</w:t>
                  </w:r>
                </w:p>
              </w:tc>
              <w:tc>
                <w:tcPr>
                  <w:tcW w:w="1519"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1.0699</w:t>
                  </w:r>
                </w:p>
              </w:tc>
              <w:tc>
                <w:tcPr>
                  <w:tcW w:w="1526"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1.7462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114" w:type="dxa"/>
                  <w:tcBorders>
                    <w:tl2br w:val="nil"/>
                    <w:tr2bl w:val="nil"/>
                  </w:tcBorders>
                  <w:noWrap w:val="0"/>
                  <w:vAlign w:val="center"/>
                </w:tcPr>
                <w:p>
                  <w:pPr>
                    <w:widowControl/>
                    <w:jc w:val="center"/>
                    <w:textAlignment w:val="center"/>
                    <w:rPr>
                      <w:rFonts w:hint="eastAsia"/>
                      <w:kern w:val="2"/>
                      <w:sz w:val="21"/>
                      <w:szCs w:val="21"/>
                      <w:lang w:val="en-US" w:eastAsia="zh-CN" w:bidi="ar-SA"/>
                    </w:rPr>
                  </w:pPr>
                  <w:r>
                    <w:rPr>
                      <w:kern w:val="0"/>
                      <w:sz w:val="21"/>
                      <w:szCs w:val="21"/>
                      <w:lang w:bidi="ar"/>
                    </w:rPr>
                    <w:t>SS</w:t>
                  </w:r>
                </w:p>
              </w:tc>
              <w:tc>
                <w:tcPr>
                  <w:tcW w:w="1077" w:type="dxa"/>
                  <w:tcBorders>
                    <w:tl2br w:val="nil"/>
                    <w:tr2bl w:val="nil"/>
                  </w:tcBorders>
                  <w:noWrap w:val="0"/>
                  <w:vAlign w:val="center"/>
                </w:tcPr>
                <w:p>
                  <w:pPr>
                    <w:widowControl/>
                    <w:jc w:val="center"/>
                    <w:textAlignment w:val="center"/>
                    <w:rPr>
                      <w:rFonts w:hint="eastAsia"/>
                      <w:kern w:val="2"/>
                      <w:sz w:val="21"/>
                      <w:szCs w:val="21"/>
                      <w:lang w:val="en-US" w:eastAsia="zh-CN" w:bidi="ar-SA"/>
                    </w:rPr>
                  </w:pPr>
                  <w:r>
                    <w:rPr>
                      <w:kern w:val="0"/>
                      <w:sz w:val="21"/>
                      <w:szCs w:val="21"/>
                      <w:lang w:bidi="ar"/>
                    </w:rPr>
                    <w:t>60</w:t>
                  </w:r>
                </w:p>
              </w:tc>
              <w:tc>
                <w:tcPr>
                  <w:tcW w:w="1481"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0.001758</w:t>
                  </w:r>
                </w:p>
              </w:tc>
              <w:tc>
                <w:tcPr>
                  <w:tcW w:w="1500"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0.002870</w:t>
                  </w:r>
                </w:p>
              </w:tc>
              <w:tc>
                <w:tcPr>
                  <w:tcW w:w="1519"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0.6419</w:t>
                  </w:r>
                </w:p>
              </w:tc>
              <w:tc>
                <w:tcPr>
                  <w:tcW w:w="1526"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1.0477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114" w:type="dxa"/>
                  <w:tcBorders>
                    <w:tl2br w:val="nil"/>
                    <w:tr2bl w:val="nil"/>
                  </w:tcBorders>
                  <w:noWrap w:val="0"/>
                  <w:vAlign w:val="center"/>
                </w:tcPr>
                <w:p>
                  <w:pPr>
                    <w:widowControl/>
                    <w:jc w:val="center"/>
                    <w:textAlignment w:val="center"/>
                    <w:rPr>
                      <w:rFonts w:hint="eastAsia"/>
                      <w:kern w:val="2"/>
                      <w:sz w:val="21"/>
                      <w:szCs w:val="21"/>
                      <w:lang w:val="en-US" w:eastAsia="zh-CN" w:bidi="ar-SA"/>
                    </w:rPr>
                  </w:pPr>
                  <w:r>
                    <w:rPr>
                      <w:kern w:val="0"/>
                      <w:sz w:val="21"/>
                      <w:szCs w:val="21"/>
                      <w:lang w:bidi="ar"/>
                    </w:rPr>
                    <w:t>NH</w:t>
                  </w:r>
                  <w:r>
                    <w:rPr>
                      <w:kern w:val="0"/>
                      <w:sz w:val="21"/>
                      <w:szCs w:val="21"/>
                      <w:vertAlign w:val="subscript"/>
                      <w:lang w:bidi="ar"/>
                    </w:rPr>
                    <w:t>3</w:t>
                  </w:r>
                  <w:r>
                    <w:rPr>
                      <w:kern w:val="0"/>
                      <w:sz w:val="21"/>
                      <w:szCs w:val="21"/>
                      <w:lang w:bidi="ar"/>
                    </w:rPr>
                    <w:t>-N</w:t>
                  </w:r>
                </w:p>
              </w:tc>
              <w:tc>
                <w:tcPr>
                  <w:tcW w:w="1077" w:type="dxa"/>
                  <w:tcBorders>
                    <w:tl2br w:val="nil"/>
                    <w:tr2bl w:val="nil"/>
                  </w:tcBorders>
                  <w:noWrap w:val="0"/>
                  <w:vAlign w:val="center"/>
                </w:tcPr>
                <w:p>
                  <w:pPr>
                    <w:widowControl/>
                    <w:jc w:val="center"/>
                    <w:textAlignment w:val="center"/>
                    <w:rPr>
                      <w:rFonts w:hint="eastAsia"/>
                      <w:kern w:val="2"/>
                      <w:sz w:val="21"/>
                      <w:szCs w:val="21"/>
                      <w:lang w:val="en-US" w:eastAsia="zh-CN" w:bidi="ar-SA"/>
                    </w:rPr>
                  </w:pPr>
                  <w:r>
                    <w:rPr>
                      <w:kern w:val="0"/>
                      <w:sz w:val="21"/>
                      <w:szCs w:val="21"/>
                      <w:lang w:bidi="ar"/>
                    </w:rPr>
                    <w:t>45</w:t>
                  </w:r>
                </w:p>
              </w:tc>
              <w:tc>
                <w:tcPr>
                  <w:tcW w:w="1481"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0.001319</w:t>
                  </w:r>
                </w:p>
              </w:tc>
              <w:tc>
                <w:tcPr>
                  <w:tcW w:w="1500"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0.002153</w:t>
                  </w:r>
                </w:p>
              </w:tc>
              <w:tc>
                <w:tcPr>
                  <w:tcW w:w="1519"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0.4814</w:t>
                  </w:r>
                </w:p>
              </w:tc>
              <w:tc>
                <w:tcPr>
                  <w:tcW w:w="1526"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0.7858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1114" w:type="dxa"/>
                  <w:tcBorders>
                    <w:tl2br w:val="nil"/>
                    <w:tr2bl w:val="nil"/>
                  </w:tcBorders>
                  <w:noWrap w:val="0"/>
                  <w:vAlign w:val="center"/>
                </w:tcPr>
                <w:p>
                  <w:pPr>
                    <w:widowControl/>
                    <w:jc w:val="center"/>
                    <w:textAlignment w:val="center"/>
                    <w:rPr>
                      <w:rFonts w:hint="eastAsia"/>
                      <w:kern w:val="2"/>
                      <w:sz w:val="21"/>
                      <w:szCs w:val="21"/>
                      <w:lang w:val="en-US" w:eastAsia="zh-CN" w:bidi="ar-SA"/>
                    </w:rPr>
                  </w:pPr>
                  <w:r>
                    <w:rPr>
                      <w:kern w:val="0"/>
                      <w:sz w:val="21"/>
                      <w:szCs w:val="21"/>
                      <w:lang w:bidi="ar"/>
                    </w:rPr>
                    <w:t>动植物油</w:t>
                  </w:r>
                </w:p>
              </w:tc>
              <w:tc>
                <w:tcPr>
                  <w:tcW w:w="1077" w:type="dxa"/>
                  <w:tcBorders>
                    <w:tl2br w:val="nil"/>
                    <w:tr2bl w:val="nil"/>
                  </w:tcBorders>
                  <w:noWrap w:val="0"/>
                  <w:vAlign w:val="center"/>
                </w:tcPr>
                <w:p>
                  <w:pPr>
                    <w:widowControl/>
                    <w:jc w:val="center"/>
                    <w:textAlignment w:val="center"/>
                    <w:rPr>
                      <w:rFonts w:hint="eastAsia"/>
                      <w:kern w:val="2"/>
                      <w:sz w:val="21"/>
                      <w:szCs w:val="21"/>
                      <w:lang w:val="en-US" w:eastAsia="zh-CN" w:bidi="ar-SA"/>
                    </w:rPr>
                  </w:pPr>
                  <w:r>
                    <w:rPr>
                      <w:kern w:val="0"/>
                      <w:sz w:val="21"/>
                      <w:szCs w:val="21"/>
                      <w:lang w:bidi="ar"/>
                    </w:rPr>
                    <w:t>20</w:t>
                  </w:r>
                </w:p>
              </w:tc>
              <w:tc>
                <w:tcPr>
                  <w:tcW w:w="1481"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0.000586</w:t>
                  </w:r>
                </w:p>
              </w:tc>
              <w:tc>
                <w:tcPr>
                  <w:tcW w:w="1500"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0.000957</w:t>
                  </w:r>
                </w:p>
              </w:tc>
              <w:tc>
                <w:tcPr>
                  <w:tcW w:w="1519"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0.2140</w:t>
                  </w:r>
                </w:p>
              </w:tc>
              <w:tc>
                <w:tcPr>
                  <w:tcW w:w="1526"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0.3492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1114" w:type="dxa"/>
                  <w:tcBorders>
                    <w:tl2br w:val="nil"/>
                    <w:tr2bl w:val="nil"/>
                  </w:tcBorders>
                  <w:noWrap w:val="0"/>
                  <w:vAlign w:val="center"/>
                </w:tcPr>
                <w:p>
                  <w:pPr>
                    <w:widowControl/>
                    <w:jc w:val="center"/>
                    <w:textAlignment w:val="center"/>
                    <w:rPr>
                      <w:rFonts w:hint="eastAsia" w:eastAsia="宋体"/>
                      <w:kern w:val="0"/>
                      <w:sz w:val="21"/>
                      <w:szCs w:val="21"/>
                      <w:lang w:eastAsia="zh-CN" w:bidi="ar"/>
                    </w:rPr>
                  </w:pPr>
                  <w:r>
                    <w:rPr>
                      <w:rFonts w:hint="eastAsia"/>
                      <w:kern w:val="0"/>
                      <w:sz w:val="21"/>
                      <w:szCs w:val="21"/>
                      <w:lang w:eastAsia="zh-CN" w:bidi="ar"/>
                    </w:rPr>
                    <w:t>粪大肠菌群</w:t>
                  </w:r>
                  <w:r>
                    <w:rPr>
                      <w:rFonts w:hint="eastAsia"/>
                      <w:kern w:val="0"/>
                      <w:sz w:val="21"/>
                      <w:szCs w:val="21"/>
                      <w:lang w:val="en-US" w:eastAsia="zh-CN" w:bidi="ar"/>
                    </w:rPr>
                    <w:t>(</w:t>
                  </w:r>
                  <w:r>
                    <w:rPr>
                      <w:rFonts w:hint="eastAsia"/>
                      <w:iCs/>
                      <w:szCs w:val="21"/>
                    </w:rPr>
                    <w:t>MPN/L</w:t>
                  </w:r>
                  <w:r>
                    <w:rPr>
                      <w:rFonts w:hint="eastAsia"/>
                      <w:kern w:val="0"/>
                      <w:sz w:val="21"/>
                      <w:szCs w:val="21"/>
                      <w:lang w:val="en-US" w:eastAsia="zh-CN" w:bidi="ar"/>
                    </w:rPr>
                    <w:t>)</w:t>
                  </w:r>
                </w:p>
              </w:tc>
              <w:tc>
                <w:tcPr>
                  <w:tcW w:w="1077" w:type="dxa"/>
                  <w:tcBorders>
                    <w:tl2br w:val="nil"/>
                    <w:tr2bl w:val="nil"/>
                  </w:tcBorders>
                  <w:noWrap w:val="0"/>
                  <w:vAlign w:val="center"/>
                </w:tcPr>
                <w:p>
                  <w:pPr>
                    <w:widowControl/>
                    <w:jc w:val="center"/>
                    <w:textAlignment w:val="center"/>
                    <w:rPr>
                      <w:rFonts w:hint="default" w:eastAsia="宋体"/>
                      <w:kern w:val="0"/>
                      <w:sz w:val="21"/>
                      <w:szCs w:val="21"/>
                      <w:lang w:val="en-US" w:eastAsia="zh-CN" w:bidi="ar"/>
                    </w:rPr>
                  </w:pPr>
                  <w:r>
                    <w:rPr>
                      <w:rFonts w:hint="eastAsia"/>
                      <w:kern w:val="0"/>
                      <w:sz w:val="21"/>
                      <w:szCs w:val="21"/>
                      <w:lang w:val="en-US" w:eastAsia="zh-CN" w:bidi="ar"/>
                    </w:rPr>
                    <w:t>5000</w:t>
                  </w:r>
                </w:p>
              </w:tc>
              <w:tc>
                <w:tcPr>
                  <w:tcW w:w="1481"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1.4656</w:t>
                  </w:r>
                  <w:r>
                    <w:rPr>
                      <w:rFonts w:hint="eastAsia" w:ascii="汉仪细圆B5" w:hAnsi="汉仪细圆B5" w:eastAsia="汉仪细圆B5" w:cs="汉仪细圆B5"/>
                      <w:b w:val="0"/>
                      <w:bCs/>
                      <w:color w:val="000000"/>
                      <w:sz w:val="21"/>
                      <w:szCs w:val="21"/>
                      <w:vertAlign w:val="baseline"/>
                      <w:lang w:val="en-US" w:eastAsia="zh-CN"/>
                    </w:rPr>
                    <w:t>×</w:t>
                  </w:r>
                  <w:r>
                    <w:rPr>
                      <w:rFonts w:hint="eastAsia" w:ascii="Times New Roman" w:hAnsi="Times New Roman" w:eastAsia="宋体"/>
                      <w:b w:val="0"/>
                      <w:bCs/>
                      <w:color w:val="000000"/>
                      <w:sz w:val="21"/>
                      <w:szCs w:val="21"/>
                      <w:vertAlign w:val="baseline"/>
                      <w:lang w:val="en-US" w:eastAsia="zh-CN"/>
                    </w:rPr>
                    <w:t>10</w:t>
                  </w:r>
                  <w:r>
                    <w:rPr>
                      <w:rFonts w:hint="eastAsia" w:ascii="Times New Roman" w:hAnsi="Times New Roman" w:eastAsia="宋体"/>
                      <w:b w:val="0"/>
                      <w:bCs/>
                      <w:color w:val="000000"/>
                      <w:sz w:val="21"/>
                      <w:szCs w:val="21"/>
                      <w:vertAlign w:val="superscript"/>
                      <w:lang w:val="en-US" w:eastAsia="zh-CN"/>
                    </w:rPr>
                    <w:t>8</w:t>
                  </w:r>
                </w:p>
              </w:tc>
              <w:tc>
                <w:tcPr>
                  <w:tcW w:w="1500"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cs="Times New Roman"/>
                      <w:b w:val="0"/>
                      <w:bCs/>
                      <w:color w:val="000000"/>
                      <w:sz w:val="21"/>
                      <w:szCs w:val="21"/>
                      <w:vertAlign w:val="baseline"/>
                      <w:lang w:val="en-US" w:eastAsia="zh-CN"/>
                    </w:rPr>
                  </w:pPr>
                  <w:r>
                    <w:rPr>
                      <w:rFonts w:hint="eastAsia" w:ascii="Times New Roman" w:hAnsi="Times New Roman" w:eastAsia="宋体" w:cs="Times New Roman"/>
                      <w:b w:val="0"/>
                      <w:bCs/>
                      <w:color w:val="000000"/>
                      <w:sz w:val="21"/>
                      <w:szCs w:val="21"/>
                      <w:vertAlign w:val="baseline"/>
                      <w:lang w:val="en-US" w:eastAsia="zh-CN"/>
                    </w:rPr>
                    <w:t>2.392×10</w:t>
                  </w:r>
                  <w:r>
                    <w:rPr>
                      <w:rFonts w:hint="eastAsia" w:ascii="Times New Roman" w:hAnsi="Times New Roman" w:eastAsia="宋体" w:cs="Times New Roman"/>
                      <w:b w:val="0"/>
                      <w:bCs/>
                      <w:color w:val="000000"/>
                      <w:sz w:val="21"/>
                      <w:szCs w:val="21"/>
                      <w:vertAlign w:val="superscript"/>
                      <w:lang w:val="en-US" w:eastAsia="zh-CN"/>
                    </w:rPr>
                    <w:t>8</w:t>
                  </w:r>
                </w:p>
              </w:tc>
              <w:tc>
                <w:tcPr>
                  <w:tcW w:w="1519"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cs="Times New Roman"/>
                      <w:b w:val="0"/>
                      <w:bCs/>
                      <w:color w:val="000000"/>
                      <w:sz w:val="21"/>
                      <w:szCs w:val="21"/>
                      <w:vertAlign w:val="baseline"/>
                      <w:lang w:val="en-US" w:eastAsia="zh-CN"/>
                    </w:rPr>
                  </w:pPr>
                  <w:r>
                    <w:rPr>
                      <w:rFonts w:hint="eastAsia" w:ascii="Times New Roman" w:hAnsi="Times New Roman" w:eastAsia="宋体" w:cs="Times New Roman"/>
                      <w:b w:val="0"/>
                      <w:bCs/>
                      <w:color w:val="000000"/>
                      <w:sz w:val="21"/>
                      <w:szCs w:val="21"/>
                      <w:vertAlign w:val="baseline"/>
                      <w:lang w:val="en-US" w:eastAsia="zh-CN"/>
                    </w:rPr>
                    <w:t>5.3494×10</w:t>
                  </w:r>
                  <w:r>
                    <w:rPr>
                      <w:rFonts w:hint="eastAsia" w:ascii="Times New Roman" w:hAnsi="Times New Roman" w:eastAsia="宋体" w:cs="Times New Roman"/>
                      <w:b w:val="0"/>
                      <w:bCs/>
                      <w:color w:val="000000"/>
                      <w:sz w:val="21"/>
                      <w:szCs w:val="21"/>
                      <w:vertAlign w:val="superscript"/>
                      <w:lang w:val="en-US" w:eastAsia="zh-CN"/>
                    </w:rPr>
                    <w:t>10</w:t>
                  </w:r>
                </w:p>
              </w:tc>
              <w:tc>
                <w:tcPr>
                  <w:tcW w:w="1526" w:type="dxa"/>
                  <w:tcBorders>
                    <w:tl2br w:val="nil"/>
                    <w:tr2bl w:val="nil"/>
                  </w:tcBorders>
                  <w:noWrap w:val="0"/>
                  <w:vAlign w:val="center"/>
                </w:tcPr>
                <w:p>
                  <w:pPr>
                    <w:pStyle w:val="185"/>
                    <w:spacing w:line="240" w:lineRule="auto"/>
                    <w:ind w:left="0" w:leftChars="0" w:firstLine="0" w:firstLineChars="0"/>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8.7308</w:t>
                  </w:r>
                  <w:r>
                    <w:rPr>
                      <w:rFonts w:hint="eastAsia" w:ascii="汉仪细圆B5" w:hAnsi="汉仪细圆B5" w:eastAsia="汉仪细圆B5" w:cs="汉仪细圆B5"/>
                      <w:b w:val="0"/>
                      <w:bCs/>
                      <w:color w:val="000000"/>
                      <w:sz w:val="21"/>
                      <w:szCs w:val="21"/>
                      <w:vertAlign w:val="baseline"/>
                      <w:lang w:val="en-US" w:eastAsia="zh-CN"/>
                    </w:rPr>
                    <w:t>×</w:t>
                  </w:r>
                  <w:r>
                    <w:rPr>
                      <w:rFonts w:hint="eastAsia" w:ascii="Times New Roman" w:hAnsi="Times New Roman" w:eastAsia="宋体"/>
                      <w:b w:val="0"/>
                      <w:bCs/>
                      <w:color w:val="000000"/>
                      <w:sz w:val="21"/>
                      <w:szCs w:val="21"/>
                      <w:vertAlign w:val="baseline"/>
                      <w:lang w:val="en-US" w:eastAsia="zh-CN"/>
                    </w:rPr>
                    <w:t>10</w:t>
                  </w:r>
                  <w:r>
                    <w:rPr>
                      <w:rFonts w:hint="eastAsia" w:ascii="Times New Roman" w:hAnsi="Times New Roman" w:eastAsia="宋体"/>
                      <w:b w:val="0"/>
                      <w:bCs/>
                      <w:color w:val="000000"/>
                      <w:sz w:val="21"/>
                      <w:szCs w:val="21"/>
                      <w:vertAlign w:val="superscript"/>
                      <w:lang w:val="en-US" w:eastAsia="zh-CN"/>
                    </w:rPr>
                    <w:t>10</w:t>
                  </w:r>
                </w:p>
              </w:tc>
            </w:tr>
          </w:tbl>
          <w:p>
            <w:pPr>
              <w:spacing w:line="360" w:lineRule="auto"/>
              <w:ind w:firstLine="480"/>
              <w:rPr>
                <w:rFonts w:hAnsi="宋体"/>
                <w:b/>
                <w:sz w:val="24"/>
              </w:rPr>
            </w:pPr>
            <w:r>
              <w:rPr>
                <w:rFonts w:hint="eastAsia" w:hAnsi="宋体"/>
                <w:b/>
                <w:sz w:val="24"/>
                <w:lang w:val="en-US" w:eastAsia="zh-CN"/>
              </w:rPr>
              <w:t>3</w:t>
            </w:r>
            <w:r>
              <w:rPr>
                <w:rFonts w:hint="eastAsia" w:hAnsi="宋体"/>
                <w:b/>
                <w:sz w:val="24"/>
              </w:rPr>
              <w:t>、非正常排放</w:t>
            </w:r>
          </w:p>
          <w:p>
            <w:pPr>
              <w:spacing w:line="360" w:lineRule="auto"/>
              <w:ind w:firstLine="480"/>
              <w:rPr>
                <w:rFonts w:hAnsi="宋体"/>
                <w:sz w:val="24"/>
              </w:rPr>
            </w:pPr>
            <w:r>
              <w:rPr>
                <w:rFonts w:hint="eastAsia" w:hAnsi="宋体"/>
                <w:sz w:val="24"/>
              </w:rPr>
              <w:t>当隔油池、化粪池发生故障时，生活污水和医疗废水未经预处理直接排入院内污水处理站，会对其污水处理站造成一定的冲击；当院内污水处理站</w:t>
            </w:r>
            <w:r>
              <w:rPr>
                <w:rFonts w:hint="eastAsia" w:hAnsi="宋体"/>
                <w:sz w:val="24"/>
                <w:lang w:eastAsia="zh-CN"/>
              </w:rPr>
              <w:t>和应急池</w:t>
            </w:r>
            <w:r>
              <w:rPr>
                <w:rFonts w:hint="eastAsia" w:hAnsi="宋体"/>
                <w:sz w:val="24"/>
              </w:rPr>
              <w:t>发生故障时，本项目产生的污水未经处理直接排入城市污水管网，会对城市污水处理厂的污水处理站造成一定的冲击，为避免本项目医疗综合污水的非正常排放，应采取以下措施：</w:t>
            </w:r>
          </w:p>
          <w:p>
            <w:pPr>
              <w:spacing w:line="360" w:lineRule="auto"/>
              <w:ind w:firstLine="480"/>
              <w:rPr>
                <w:rFonts w:hAnsi="宋体"/>
                <w:sz w:val="24"/>
              </w:rPr>
            </w:pPr>
            <w:r>
              <w:rPr>
                <w:rFonts w:hint="eastAsia" w:hAnsi="宋体"/>
                <w:sz w:val="24"/>
              </w:rPr>
              <w:t>（</w:t>
            </w:r>
            <w:r>
              <w:rPr>
                <w:rFonts w:hAnsi="宋体"/>
                <w:sz w:val="24"/>
              </w:rPr>
              <w:t>1</w:t>
            </w:r>
            <w:r>
              <w:rPr>
                <w:rFonts w:hint="eastAsia" w:hAnsi="宋体"/>
                <w:sz w:val="24"/>
              </w:rPr>
              <w:t>）当隔油池、化粪池</w:t>
            </w:r>
            <w:r>
              <w:rPr>
                <w:rFonts w:hint="eastAsia" w:hAnsi="宋体"/>
                <w:sz w:val="24"/>
                <w:lang w:eastAsia="zh-CN"/>
              </w:rPr>
              <w:t>、事故应急池</w:t>
            </w:r>
            <w:r>
              <w:rPr>
                <w:rFonts w:hint="eastAsia" w:hAnsi="宋体"/>
                <w:sz w:val="24"/>
              </w:rPr>
              <w:t>或院内污水处理站发生故障时，应停止生活污水和医疗废水的产生，待隔油池、化粪池</w:t>
            </w:r>
            <w:r>
              <w:rPr>
                <w:rFonts w:hint="eastAsia" w:hAnsi="宋体"/>
                <w:sz w:val="24"/>
                <w:lang w:eastAsia="zh-CN"/>
              </w:rPr>
              <w:t>、事故应急池</w:t>
            </w:r>
            <w:r>
              <w:rPr>
                <w:rFonts w:hint="eastAsia" w:hAnsi="宋体"/>
                <w:sz w:val="24"/>
              </w:rPr>
              <w:t>或院内污水处理站恢复正常工作后方可重新使用。</w:t>
            </w:r>
          </w:p>
          <w:p>
            <w:pPr>
              <w:spacing w:line="360" w:lineRule="auto"/>
              <w:ind w:firstLine="480"/>
              <w:rPr>
                <w:rFonts w:hint="eastAsia" w:hAnsi="宋体"/>
                <w:sz w:val="24"/>
              </w:rPr>
            </w:pPr>
            <w:r>
              <w:rPr>
                <w:rFonts w:hint="eastAsia" w:hAnsi="宋体"/>
                <w:sz w:val="24"/>
              </w:rPr>
              <w:t>（</w:t>
            </w:r>
            <w:r>
              <w:rPr>
                <w:rFonts w:hAnsi="宋体"/>
                <w:sz w:val="24"/>
              </w:rPr>
              <w:t>2</w:t>
            </w:r>
            <w:r>
              <w:rPr>
                <w:rFonts w:hint="eastAsia" w:hAnsi="宋体"/>
                <w:sz w:val="24"/>
              </w:rPr>
              <w:t>）定期巡查和维修，及时发现有可能引起故障的异常运行苗头，消除事故隐患。</w:t>
            </w:r>
          </w:p>
          <w:p>
            <w:pPr>
              <w:pStyle w:val="185"/>
              <w:ind w:firstLine="482"/>
              <w:rPr>
                <w:rFonts w:hint="eastAsia" w:ascii="Times New Roman" w:hAnsi="Times New Roman" w:eastAsia="宋体"/>
                <w:b/>
                <w:bCs w:val="0"/>
                <w:color w:val="000000"/>
                <w:lang w:eastAsia="zh-CN"/>
              </w:rPr>
            </w:pPr>
            <w:r>
              <w:rPr>
                <w:rFonts w:hint="eastAsia" w:ascii="Times New Roman" w:hAnsi="Times New Roman" w:eastAsia="宋体"/>
                <w:b/>
                <w:bCs w:val="0"/>
                <w:color w:val="000000"/>
                <w:lang w:eastAsia="zh-CN"/>
              </w:rPr>
              <w:t>（三）监测要求</w:t>
            </w:r>
          </w:p>
          <w:p>
            <w:pPr>
              <w:pStyle w:val="185"/>
              <w:ind w:firstLine="482"/>
              <w:rPr>
                <w:rFonts w:hint="eastAsia" w:ascii="Times New Roman" w:hAnsi="Times New Roman" w:eastAsia="宋体"/>
                <w:b w:val="0"/>
                <w:bCs/>
                <w:color w:val="000000"/>
              </w:rPr>
            </w:pPr>
            <w:r>
              <w:rPr>
                <w:sz w:val="24"/>
              </w:rPr>
              <w:t>本项目医院为</w:t>
            </w:r>
            <w:r>
              <w:rPr>
                <w:rFonts w:hint="eastAsia"/>
                <w:sz w:val="24"/>
                <w:lang w:eastAsia="zh-CN"/>
              </w:rPr>
              <w:t>精神病专科医院</w:t>
            </w:r>
            <w:r>
              <w:rPr>
                <w:sz w:val="24"/>
              </w:rPr>
              <w:t>，不属于综合医院、中医医院、中西医结合医院、民族医院等；根据《排污单位自行监测技术指南 总则》（HJ 819-2017），并参照《排污许可证申请与核发技术规范 医疗机构》(HJ 1105—2020)，结合项目实际情况，</w:t>
            </w:r>
            <w:r>
              <w:rPr>
                <w:rFonts w:hint="eastAsia"/>
                <w:sz w:val="24"/>
                <w:lang w:eastAsia="zh-CN"/>
              </w:rPr>
              <w:t>本次</w:t>
            </w:r>
            <w:r>
              <w:rPr>
                <w:sz w:val="24"/>
              </w:rPr>
              <w:t>环评对项目废水环境监测计划建议如下：</w:t>
            </w:r>
          </w:p>
          <w:p>
            <w:pPr>
              <w:jc w:val="center"/>
              <w:rPr>
                <w:b/>
                <w:bCs/>
                <w:kern w:val="0"/>
                <w:szCs w:val="21"/>
              </w:rPr>
            </w:pPr>
            <w:r>
              <w:rPr>
                <w:b/>
                <w:bCs/>
                <w:kern w:val="0"/>
                <w:szCs w:val="21"/>
              </w:rPr>
              <w:t>表4-</w:t>
            </w:r>
            <w:r>
              <w:rPr>
                <w:rFonts w:hint="eastAsia"/>
                <w:b/>
                <w:bCs/>
                <w:kern w:val="0"/>
                <w:szCs w:val="21"/>
              </w:rPr>
              <w:t>6</w:t>
            </w:r>
            <w:r>
              <w:rPr>
                <w:b/>
                <w:bCs/>
                <w:kern w:val="0"/>
                <w:szCs w:val="21"/>
              </w:rPr>
              <w:t xml:space="preserve">  废水污染源监测计划表</w:t>
            </w:r>
          </w:p>
          <w:tbl>
            <w:tblPr>
              <w:tblStyle w:val="41"/>
              <w:tblW w:w="81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2"/>
              <w:gridCol w:w="649"/>
              <w:gridCol w:w="637"/>
              <w:gridCol w:w="3331"/>
              <w:gridCol w:w="1106"/>
              <w:gridCol w:w="1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662" w:type="dxa"/>
                  <w:tcBorders>
                    <w:top w:val="single" w:color="auto" w:sz="4" w:space="0"/>
                    <w:left w:val="single" w:color="auto" w:sz="4" w:space="0"/>
                    <w:bottom w:val="single" w:color="auto" w:sz="4" w:space="0"/>
                    <w:right w:val="single" w:color="auto" w:sz="4" w:space="0"/>
                  </w:tcBorders>
                  <w:noWrap w:val="0"/>
                  <w:vAlign w:val="center"/>
                </w:tcPr>
                <w:p>
                  <w:pPr>
                    <w:topLinePunct/>
                    <w:spacing w:line="240" w:lineRule="auto"/>
                    <w:jc w:val="center"/>
                    <w:rPr>
                      <w:kern w:val="0"/>
                      <w:szCs w:val="21"/>
                    </w:rPr>
                  </w:pPr>
                  <w:r>
                    <w:rPr>
                      <w:kern w:val="0"/>
                      <w:szCs w:val="21"/>
                    </w:rPr>
                    <w:t>项目</w:t>
                  </w:r>
                </w:p>
              </w:tc>
              <w:tc>
                <w:tcPr>
                  <w:tcW w:w="649" w:type="dxa"/>
                  <w:tcBorders>
                    <w:top w:val="single" w:color="auto" w:sz="4" w:space="0"/>
                    <w:left w:val="single" w:color="auto" w:sz="4" w:space="0"/>
                    <w:bottom w:val="single" w:color="auto" w:sz="4" w:space="0"/>
                    <w:right w:val="single" w:color="auto" w:sz="4" w:space="0"/>
                  </w:tcBorders>
                  <w:noWrap w:val="0"/>
                  <w:vAlign w:val="center"/>
                </w:tcPr>
                <w:p>
                  <w:pPr>
                    <w:topLinePunct/>
                    <w:spacing w:line="240" w:lineRule="auto"/>
                    <w:jc w:val="center"/>
                    <w:rPr>
                      <w:kern w:val="0"/>
                      <w:szCs w:val="21"/>
                    </w:rPr>
                  </w:pPr>
                  <w:r>
                    <w:rPr>
                      <w:kern w:val="0"/>
                      <w:szCs w:val="21"/>
                    </w:rPr>
                    <w:t>类别</w:t>
                  </w:r>
                </w:p>
              </w:tc>
              <w:tc>
                <w:tcPr>
                  <w:tcW w:w="637" w:type="dxa"/>
                  <w:tcBorders>
                    <w:top w:val="single" w:color="auto" w:sz="4" w:space="0"/>
                    <w:left w:val="single" w:color="auto" w:sz="4" w:space="0"/>
                    <w:bottom w:val="single" w:color="auto" w:sz="4" w:space="0"/>
                    <w:right w:val="single" w:color="auto" w:sz="4" w:space="0"/>
                  </w:tcBorders>
                  <w:noWrap w:val="0"/>
                  <w:vAlign w:val="center"/>
                </w:tcPr>
                <w:p>
                  <w:pPr>
                    <w:topLinePunct/>
                    <w:spacing w:line="240" w:lineRule="auto"/>
                    <w:jc w:val="center"/>
                    <w:rPr>
                      <w:kern w:val="0"/>
                      <w:szCs w:val="21"/>
                    </w:rPr>
                  </w:pPr>
                  <w:r>
                    <w:rPr>
                      <w:kern w:val="0"/>
                      <w:szCs w:val="21"/>
                    </w:rPr>
                    <w:t>监测点位</w:t>
                  </w:r>
                </w:p>
              </w:tc>
              <w:tc>
                <w:tcPr>
                  <w:tcW w:w="3331" w:type="dxa"/>
                  <w:tcBorders>
                    <w:top w:val="single" w:color="auto" w:sz="4" w:space="0"/>
                    <w:left w:val="single" w:color="auto" w:sz="4" w:space="0"/>
                    <w:bottom w:val="single" w:color="auto" w:sz="4" w:space="0"/>
                    <w:right w:val="single" w:color="auto" w:sz="4" w:space="0"/>
                  </w:tcBorders>
                  <w:noWrap w:val="0"/>
                  <w:vAlign w:val="center"/>
                </w:tcPr>
                <w:p>
                  <w:pPr>
                    <w:topLinePunct/>
                    <w:spacing w:line="240" w:lineRule="auto"/>
                    <w:jc w:val="center"/>
                    <w:rPr>
                      <w:kern w:val="0"/>
                      <w:szCs w:val="21"/>
                    </w:rPr>
                  </w:pPr>
                  <w:r>
                    <w:rPr>
                      <w:kern w:val="0"/>
                      <w:szCs w:val="21"/>
                    </w:rPr>
                    <w:t>监测指标</w:t>
                  </w:r>
                </w:p>
              </w:tc>
              <w:tc>
                <w:tcPr>
                  <w:tcW w:w="1106" w:type="dxa"/>
                  <w:tcBorders>
                    <w:top w:val="single" w:color="auto" w:sz="4" w:space="0"/>
                    <w:left w:val="single" w:color="auto" w:sz="4" w:space="0"/>
                    <w:bottom w:val="single" w:color="auto" w:sz="4" w:space="0"/>
                    <w:right w:val="single" w:color="auto" w:sz="4" w:space="0"/>
                  </w:tcBorders>
                  <w:noWrap w:val="0"/>
                  <w:vAlign w:val="center"/>
                </w:tcPr>
                <w:p>
                  <w:pPr>
                    <w:topLinePunct/>
                    <w:spacing w:line="240" w:lineRule="auto"/>
                    <w:jc w:val="center"/>
                    <w:rPr>
                      <w:kern w:val="0"/>
                      <w:szCs w:val="21"/>
                    </w:rPr>
                  </w:pPr>
                  <w:r>
                    <w:rPr>
                      <w:kern w:val="0"/>
                      <w:szCs w:val="21"/>
                    </w:rPr>
                    <w:t>监测频次</w:t>
                  </w:r>
                </w:p>
              </w:tc>
              <w:tc>
                <w:tcPr>
                  <w:tcW w:w="1812" w:type="dxa"/>
                  <w:tcBorders>
                    <w:top w:val="single" w:color="auto" w:sz="4" w:space="0"/>
                    <w:left w:val="single" w:color="auto" w:sz="4" w:space="0"/>
                    <w:bottom w:val="single" w:color="auto" w:sz="4" w:space="0"/>
                    <w:right w:val="single" w:color="auto" w:sz="4" w:space="0"/>
                  </w:tcBorders>
                  <w:noWrap w:val="0"/>
                  <w:vAlign w:val="center"/>
                </w:tcPr>
                <w:p>
                  <w:pPr>
                    <w:topLinePunct/>
                    <w:spacing w:line="240" w:lineRule="auto"/>
                    <w:jc w:val="center"/>
                    <w:rPr>
                      <w:kern w:val="0"/>
                      <w:szCs w:val="21"/>
                    </w:rPr>
                  </w:pPr>
                  <w:r>
                    <w:rPr>
                      <w:kern w:val="0"/>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662" w:type="dxa"/>
                  <w:vMerge w:val="restart"/>
                  <w:tcBorders>
                    <w:top w:val="nil"/>
                    <w:left w:val="single" w:color="auto" w:sz="4" w:space="0"/>
                    <w:right w:val="single" w:color="auto" w:sz="4" w:space="0"/>
                  </w:tcBorders>
                  <w:noWrap w:val="0"/>
                  <w:vAlign w:val="center"/>
                </w:tcPr>
                <w:p>
                  <w:pPr>
                    <w:topLinePunct/>
                    <w:spacing w:line="240" w:lineRule="auto"/>
                    <w:jc w:val="center"/>
                    <w:rPr>
                      <w:kern w:val="0"/>
                      <w:szCs w:val="21"/>
                    </w:rPr>
                  </w:pPr>
                  <w:r>
                    <w:rPr>
                      <w:kern w:val="0"/>
                      <w:szCs w:val="21"/>
                    </w:rPr>
                    <w:t>废水</w:t>
                  </w:r>
                </w:p>
              </w:tc>
              <w:tc>
                <w:tcPr>
                  <w:tcW w:w="649" w:type="dxa"/>
                  <w:vMerge w:val="restart"/>
                  <w:tcBorders>
                    <w:top w:val="nil"/>
                    <w:left w:val="single" w:color="auto" w:sz="4" w:space="0"/>
                    <w:right w:val="single" w:color="auto" w:sz="4" w:space="0"/>
                  </w:tcBorders>
                  <w:noWrap w:val="0"/>
                  <w:vAlign w:val="center"/>
                </w:tcPr>
                <w:p>
                  <w:pPr>
                    <w:topLinePunct/>
                    <w:spacing w:line="240" w:lineRule="auto"/>
                    <w:jc w:val="center"/>
                    <w:rPr>
                      <w:kern w:val="0"/>
                      <w:szCs w:val="21"/>
                    </w:rPr>
                  </w:pPr>
                  <w:r>
                    <w:rPr>
                      <w:kern w:val="0"/>
                      <w:szCs w:val="21"/>
                    </w:rPr>
                    <w:t>间接排放</w:t>
                  </w:r>
                </w:p>
              </w:tc>
              <w:tc>
                <w:tcPr>
                  <w:tcW w:w="637" w:type="dxa"/>
                  <w:vMerge w:val="restart"/>
                  <w:tcBorders>
                    <w:top w:val="nil"/>
                    <w:left w:val="single" w:color="auto" w:sz="4" w:space="0"/>
                    <w:right w:val="single" w:color="auto" w:sz="4" w:space="0"/>
                  </w:tcBorders>
                  <w:noWrap w:val="0"/>
                  <w:vAlign w:val="center"/>
                </w:tcPr>
                <w:p>
                  <w:pPr>
                    <w:topLinePunct/>
                    <w:spacing w:line="240" w:lineRule="auto"/>
                    <w:jc w:val="center"/>
                    <w:rPr>
                      <w:kern w:val="0"/>
                      <w:szCs w:val="21"/>
                    </w:rPr>
                  </w:pPr>
                  <w:r>
                    <w:rPr>
                      <w:kern w:val="0"/>
                      <w:szCs w:val="21"/>
                    </w:rPr>
                    <w:t>污水处理站排口</w:t>
                  </w:r>
                </w:p>
              </w:tc>
              <w:tc>
                <w:tcPr>
                  <w:tcW w:w="3331" w:type="dxa"/>
                  <w:tcBorders>
                    <w:top w:val="single" w:color="auto" w:sz="4" w:space="0"/>
                    <w:left w:val="single" w:color="auto" w:sz="4" w:space="0"/>
                    <w:bottom w:val="single" w:color="auto" w:sz="4" w:space="0"/>
                    <w:right w:val="single" w:color="auto" w:sz="4" w:space="0"/>
                  </w:tcBorders>
                  <w:noWrap w:val="0"/>
                  <w:vAlign w:val="center"/>
                </w:tcPr>
                <w:p>
                  <w:pPr>
                    <w:topLinePunct/>
                    <w:spacing w:line="240" w:lineRule="auto"/>
                    <w:jc w:val="center"/>
                    <w:rPr>
                      <w:kern w:val="0"/>
                      <w:szCs w:val="21"/>
                    </w:rPr>
                  </w:pPr>
                  <w:r>
                    <w:rPr>
                      <w:kern w:val="0"/>
                      <w:szCs w:val="21"/>
                    </w:rPr>
                    <w:t>流量</w:t>
                  </w:r>
                </w:p>
              </w:tc>
              <w:tc>
                <w:tcPr>
                  <w:tcW w:w="1106" w:type="dxa"/>
                  <w:tcBorders>
                    <w:top w:val="single" w:color="auto" w:sz="4" w:space="0"/>
                    <w:left w:val="single" w:color="auto" w:sz="4" w:space="0"/>
                    <w:right w:val="single" w:color="auto" w:sz="4" w:space="0"/>
                  </w:tcBorders>
                  <w:noWrap w:val="0"/>
                  <w:vAlign w:val="center"/>
                </w:tcPr>
                <w:p>
                  <w:pPr>
                    <w:topLinePunct/>
                    <w:spacing w:line="240" w:lineRule="auto"/>
                    <w:jc w:val="center"/>
                    <w:rPr>
                      <w:rFonts w:hint="eastAsia" w:eastAsia="宋体"/>
                      <w:szCs w:val="21"/>
                      <w:lang w:eastAsia="zh-CN"/>
                    </w:rPr>
                  </w:pPr>
                  <w:r>
                    <w:rPr>
                      <w:rFonts w:hint="eastAsia"/>
                      <w:szCs w:val="21"/>
                      <w:lang w:eastAsia="zh-CN"/>
                    </w:rPr>
                    <w:t>自动监测</w:t>
                  </w:r>
                </w:p>
              </w:tc>
              <w:tc>
                <w:tcPr>
                  <w:tcW w:w="1812" w:type="dxa"/>
                  <w:vMerge w:val="restart"/>
                  <w:tcBorders>
                    <w:top w:val="nil"/>
                    <w:left w:val="single" w:color="auto" w:sz="4" w:space="0"/>
                    <w:right w:val="single" w:color="auto" w:sz="4" w:space="0"/>
                  </w:tcBorders>
                  <w:noWrap w:val="0"/>
                  <w:vAlign w:val="center"/>
                </w:tcPr>
                <w:p>
                  <w:pPr>
                    <w:topLinePunct/>
                    <w:spacing w:line="240" w:lineRule="auto"/>
                    <w:jc w:val="center"/>
                    <w:rPr>
                      <w:kern w:val="0"/>
                      <w:szCs w:val="21"/>
                    </w:rPr>
                  </w:pPr>
                  <w:r>
                    <w:rPr>
                      <w:kern w:val="0"/>
                      <w:szCs w:val="21"/>
                    </w:rPr>
                    <w:t>《医疗机构水污染排放标准》（GB18466-2005）中表2预处理标准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662" w:type="dxa"/>
                  <w:vMerge w:val="continue"/>
                  <w:tcBorders>
                    <w:left w:val="single" w:color="auto" w:sz="4" w:space="0"/>
                    <w:right w:val="single" w:color="auto" w:sz="4" w:space="0"/>
                  </w:tcBorders>
                  <w:noWrap w:val="0"/>
                  <w:vAlign w:val="center"/>
                </w:tcPr>
                <w:p>
                  <w:pPr>
                    <w:topLinePunct/>
                    <w:spacing w:line="240" w:lineRule="auto"/>
                    <w:jc w:val="center"/>
                    <w:rPr>
                      <w:kern w:val="0"/>
                      <w:szCs w:val="21"/>
                    </w:rPr>
                  </w:pPr>
                </w:p>
              </w:tc>
              <w:tc>
                <w:tcPr>
                  <w:tcW w:w="649" w:type="dxa"/>
                  <w:vMerge w:val="continue"/>
                  <w:tcBorders>
                    <w:left w:val="single" w:color="auto" w:sz="4" w:space="0"/>
                    <w:right w:val="single" w:color="auto" w:sz="4" w:space="0"/>
                  </w:tcBorders>
                  <w:noWrap w:val="0"/>
                  <w:vAlign w:val="center"/>
                </w:tcPr>
                <w:p>
                  <w:pPr>
                    <w:topLinePunct/>
                    <w:spacing w:line="240" w:lineRule="auto"/>
                    <w:jc w:val="center"/>
                    <w:rPr>
                      <w:kern w:val="0"/>
                      <w:szCs w:val="21"/>
                    </w:rPr>
                  </w:pPr>
                </w:p>
              </w:tc>
              <w:tc>
                <w:tcPr>
                  <w:tcW w:w="637" w:type="dxa"/>
                  <w:vMerge w:val="continue"/>
                  <w:tcBorders>
                    <w:left w:val="single" w:color="auto" w:sz="4" w:space="0"/>
                    <w:right w:val="single" w:color="auto" w:sz="4" w:space="0"/>
                  </w:tcBorders>
                  <w:noWrap w:val="0"/>
                  <w:vAlign w:val="center"/>
                </w:tcPr>
                <w:p>
                  <w:pPr>
                    <w:topLinePunct/>
                    <w:spacing w:line="240" w:lineRule="auto"/>
                    <w:jc w:val="center"/>
                    <w:rPr>
                      <w:kern w:val="0"/>
                      <w:szCs w:val="21"/>
                    </w:rPr>
                  </w:pPr>
                </w:p>
              </w:tc>
              <w:tc>
                <w:tcPr>
                  <w:tcW w:w="3331" w:type="dxa"/>
                  <w:tcBorders>
                    <w:top w:val="single" w:color="auto" w:sz="4" w:space="0"/>
                    <w:left w:val="single" w:color="auto" w:sz="4" w:space="0"/>
                    <w:bottom w:val="single" w:color="auto" w:sz="4" w:space="0"/>
                    <w:right w:val="single" w:color="auto" w:sz="4" w:space="0"/>
                  </w:tcBorders>
                  <w:noWrap w:val="0"/>
                  <w:vAlign w:val="center"/>
                </w:tcPr>
                <w:p>
                  <w:pPr>
                    <w:pStyle w:val="286"/>
                    <w:topLinePunct/>
                    <w:spacing w:before="0" w:beforeLines="0" w:line="240" w:lineRule="auto"/>
                    <w:rPr>
                      <w:rFonts w:ascii="Times New Roman" w:eastAsia="宋体"/>
                      <w:snapToGrid/>
                      <w:spacing w:val="0"/>
                      <w:sz w:val="21"/>
                      <w:szCs w:val="21"/>
                    </w:rPr>
                  </w:pPr>
                  <w:r>
                    <w:rPr>
                      <w:rFonts w:ascii="Times New Roman" w:eastAsia="宋体"/>
                      <w:snapToGrid/>
                      <w:spacing w:val="0"/>
                      <w:sz w:val="21"/>
                      <w:szCs w:val="21"/>
                    </w:rPr>
                    <w:t>pH</w:t>
                  </w:r>
                </w:p>
              </w:tc>
              <w:tc>
                <w:tcPr>
                  <w:tcW w:w="1106" w:type="dxa"/>
                  <w:tcBorders>
                    <w:left w:val="single" w:color="auto" w:sz="4" w:space="0"/>
                    <w:right w:val="single" w:color="auto" w:sz="4" w:space="0"/>
                  </w:tcBorders>
                  <w:noWrap w:val="0"/>
                  <w:vAlign w:val="center"/>
                </w:tcPr>
                <w:p>
                  <w:pPr>
                    <w:pStyle w:val="286"/>
                    <w:topLinePunct/>
                    <w:spacing w:before="0" w:beforeLines="0" w:line="240" w:lineRule="auto"/>
                    <w:rPr>
                      <w:rFonts w:ascii="Times New Roman" w:eastAsia="宋体"/>
                      <w:snapToGrid/>
                      <w:spacing w:val="0"/>
                      <w:sz w:val="21"/>
                      <w:szCs w:val="21"/>
                    </w:rPr>
                  </w:pPr>
                  <w:r>
                    <w:rPr>
                      <w:rFonts w:ascii="Times New Roman" w:eastAsia="宋体"/>
                      <w:snapToGrid/>
                      <w:spacing w:val="0"/>
                      <w:sz w:val="21"/>
                      <w:szCs w:val="21"/>
                      <w:lang w:eastAsia="zh-CN"/>
                    </w:rPr>
                    <w:t>1次/12时</w:t>
                  </w:r>
                </w:p>
              </w:tc>
              <w:tc>
                <w:tcPr>
                  <w:tcW w:w="1812" w:type="dxa"/>
                  <w:vMerge w:val="continue"/>
                  <w:tcBorders>
                    <w:left w:val="single" w:color="auto" w:sz="4" w:space="0"/>
                    <w:right w:val="single" w:color="auto" w:sz="4" w:space="0"/>
                  </w:tcBorders>
                  <w:noWrap w:val="0"/>
                  <w:vAlign w:val="center"/>
                </w:tcPr>
                <w:p>
                  <w:pPr>
                    <w:widowControl/>
                    <w:spacing w:line="240" w:lineRule="auto"/>
                    <w:jc w:val="left"/>
                    <w:rPr>
                      <w:b/>
                      <w:spacing w:val="4"/>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662" w:type="dxa"/>
                  <w:vMerge w:val="continue"/>
                  <w:tcBorders>
                    <w:left w:val="single" w:color="auto" w:sz="4" w:space="0"/>
                    <w:right w:val="single" w:color="auto" w:sz="4" w:space="0"/>
                  </w:tcBorders>
                  <w:noWrap w:val="0"/>
                  <w:vAlign w:val="center"/>
                </w:tcPr>
                <w:p>
                  <w:pPr>
                    <w:topLinePunct/>
                    <w:spacing w:line="240" w:lineRule="auto"/>
                    <w:jc w:val="center"/>
                    <w:rPr>
                      <w:kern w:val="0"/>
                      <w:szCs w:val="21"/>
                    </w:rPr>
                  </w:pPr>
                </w:p>
              </w:tc>
              <w:tc>
                <w:tcPr>
                  <w:tcW w:w="649" w:type="dxa"/>
                  <w:vMerge w:val="continue"/>
                  <w:tcBorders>
                    <w:left w:val="single" w:color="auto" w:sz="4" w:space="0"/>
                    <w:right w:val="single" w:color="auto" w:sz="4" w:space="0"/>
                  </w:tcBorders>
                  <w:noWrap w:val="0"/>
                  <w:vAlign w:val="center"/>
                </w:tcPr>
                <w:p>
                  <w:pPr>
                    <w:topLinePunct/>
                    <w:spacing w:line="240" w:lineRule="auto"/>
                    <w:jc w:val="center"/>
                    <w:rPr>
                      <w:kern w:val="0"/>
                      <w:szCs w:val="21"/>
                    </w:rPr>
                  </w:pPr>
                </w:p>
              </w:tc>
              <w:tc>
                <w:tcPr>
                  <w:tcW w:w="637" w:type="dxa"/>
                  <w:vMerge w:val="continue"/>
                  <w:tcBorders>
                    <w:left w:val="single" w:color="auto" w:sz="4" w:space="0"/>
                    <w:right w:val="single" w:color="auto" w:sz="4" w:space="0"/>
                  </w:tcBorders>
                  <w:noWrap w:val="0"/>
                  <w:vAlign w:val="center"/>
                </w:tcPr>
                <w:p>
                  <w:pPr>
                    <w:topLinePunct/>
                    <w:spacing w:line="240" w:lineRule="auto"/>
                    <w:jc w:val="center"/>
                    <w:rPr>
                      <w:kern w:val="0"/>
                      <w:szCs w:val="21"/>
                    </w:rPr>
                  </w:pPr>
                </w:p>
              </w:tc>
              <w:tc>
                <w:tcPr>
                  <w:tcW w:w="3331" w:type="dxa"/>
                  <w:tcBorders>
                    <w:top w:val="single" w:color="auto" w:sz="4" w:space="0"/>
                    <w:left w:val="single" w:color="auto" w:sz="4" w:space="0"/>
                    <w:bottom w:val="single" w:color="auto" w:sz="4" w:space="0"/>
                    <w:right w:val="single" w:color="auto" w:sz="4" w:space="0"/>
                  </w:tcBorders>
                  <w:noWrap w:val="0"/>
                  <w:vAlign w:val="center"/>
                </w:tcPr>
                <w:p>
                  <w:pPr>
                    <w:pStyle w:val="286"/>
                    <w:topLinePunct/>
                    <w:spacing w:before="0" w:beforeLines="0" w:line="240" w:lineRule="auto"/>
                    <w:rPr>
                      <w:rFonts w:ascii="Times New Roman" w:eastAsia="宋体"/>
                      <w:snapToGrid/>
                      <w:spacing w:val="0"/>
                      <w:sz w:val="21"/>
                      <w:szCs w:val="21"/>
                    </w:rPr>
                  </w:pPr>
                  <w:r>
                    <w:rPr>
                      <w:rFonts w:ascii="Times New Roman" w:eastAsia="宋体"/>
                      <w:snapToGrid/>
                      <w:spacing w:val="0"/>
                      <w:sz w:val="21"/>
                      <w:szCs w:val="21"/>
                    </w:rPr>
                    <w:t>COD、SS</w:t>
                  </w:r>
                </w:p>
              </w:tc>
              <w:tc>
                <w:tcPr>
                  <w:tcW w:w="1106" w:type="dxa"/>
                  <w:tcBorders>
                    <w:left w:val="single" w:color="auto" w:sz="4" w:space="0"/>
                    <w:right w:val="single" w:color="auto" w:sz="4" w:space="0"/>
                  </w:tcBorders>
                  <w:noWrap w:val="0"/>
                  <w:vAlign w:val="center"/>
                </w:tcPr>
                <w:p>
                  <w:pPr>
                    <w:pStyle w:val="286"/>
                    <w:topLinePunct/>
                    <w:spacing w:before="0" w:beforeLines="0" w:line="240" w:lineRule="auto"/>
                    <w:rPr>
                      <w:rFonts w:ascii="Times New Roman" w:eastAsia="宋体"/>
                      <w:snapToGrid/>
                      <w:spacing w:val="0"/>
                      <w:sz w:val="21"/>
                      <w:szCs w:val="21"/>
                    </w:rPr>
                  </w:pPr>
                  <w:r>
                    <w:rPr>
                      <w:rFonts w:ascii="Times New Roman" w:eastAsia="宋体"/>
                      <w:snapToGrid/>
                      <w:spacing w:val="0"/>
                      <w:sz w:val="21"/>
                      <w:szCs w:val="21"/>
                      <w:lang w:eastAsia="zh-CN"/>
                    </w:rPr>
                    <w:t>1次/周</w:t>
                  </w:r>
                </w:p>
              </w:tc>
              <w:tc>
                <w:tcPr>
                  <w:tcW w:w="1812" w:type="dxa"/>
                  <w:vMerge w:val="continue"/>
                  <w:tcBorders>
                    <w:left w:val="single" w:color="auto" w:sz="4" w:space="0"/>
                    <w:right w:val="single" w:color="auto" w:sz="4" w:space="0"/>
                  </w:tcBorders>
                  <w:noWrap w:val="0"/>
                  <w:vAlign w:val="center"/>
                </w:tcPr>
                <w:p>
                  <w:pPr>
                    <w:widowControl/>
                    <w:spacing w:line="240" w:lineRule="auto"/>
                    <w:jc w:val="left"/>
                    <w:rPr>
                      <w:b/>
                      <w:spacing w:val="4"/>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 w:hRule="atLeast"/>
                <w:jc w:val="center"/>
              </w:trPr>
              <w:tc>
                <w:tcPr>
                  <w:tcW w:w="662" w:type="dxa"/>
                  <w:vMerge w:val="continue"/>
                  <w:tcBorders>
                    <w:left w:val="single" w:color="auto" w:sz="4" w:space="0"/>
                    <w:right w:val="single" w:color="auto" w:sz="4" w:space="0"/>
                  </w:tcBorders>
                  <w:noWrap w:val="0"/>
                  <w:vAlign w:val="center"/>
                </w:tcPr>
                <w:p>
                  <w:pPr>
                    <w:topLinePunct/>
                    <w:spacing w:line="240" w:lineRule="auto"/>
                    <w:jc w:val="center"/>
                    <w:rPr>
                      <w:kern w:val="0"/>
                      <w:szCs w:val="21"/>
                    </w:rPr>
                  </w:pPr>
                </w:p>
              </w:tc>
              <w:tc>
                <w:tcPr>
                  <w:tcW w:w="649" w:type="dxa"/>
                  <w:vMerge w:val="continue"/>
                  <w:tcBorders>
                    <w:left w:val="single" w:color="auto" w:sz="4" w:space="0"/>
                    <w:right w:val="single" w:color="auto" w:sz="4" w:space="0"/>
                  </w:tcBorders>
                  <w:noWrap w:val="0"/>
                  <w:vAlign w:val="center"/>
                </w:tcPr>
                <w:p>
                  <w:pPr>
                    <w:topLinePunct/>
                    <w:spacing w:line="240" w:lineRule="auto"/>
                    <w:jc w:val="center"/>
                    <w:rPr>
                      <w:kern w:val="0"/>
                      <w:szCs w:val="21"/>
                    </w:rPr>
                  </w:pPr>
                </w:p>
              </w:tc>
              <w:tc>
                <w:tcPr>
                  <w:tcW w:w="637" w:type="dxa"/>
                  <w:vMerge w:val="continue"/>
                  <w:tcBorders>
                    <w:left w:val="single" w:color="auto" w:sz="4" w:space="0"/>
                    <w:right w:val="single" w:color="auto" w:sz="4" w:space="0"/>
                  </w:tcBorders>
                  <w:noWrap w:val="0"/>
                  <w:vAlign w:val="center"/>
                </w:tcPr>
                <w:p>
                  <w:pPr>
                    <w:topLinePunct/>
                    <w:spacing w:line="240" w:lineRule="auto"/>
                    <w:jc w:val="center"/>
                    <w:rPr>
                      <w:kern w:val="0"/>
                      <w:szCs w:val="21"/>
                    </w:rPr>
                  </w:pPr>
                </w:p>
              </w:tc>
              <w:tc>
                <w:tcPr>
                  <w:tcW w:w="3331" w:type="dxa"/>
                  <w:tcBorders>
                    <w:top w:val="single" w:color="auto" w:sz="4" w:space="0"/>
                    <w:left w:val="single" w:color="auto" w:sz="4" w:space="0"/>
                    <w:bottom w:val="single" w:color="auto" w:sz="4" w:space="0"/>
                    <w:right w:val="single" w:color="auto" w:sz="4" w:space="0"/>
                  </w:tcBorders>
                  <w:noWrap w:val="0"/>
                  <w:vAlign w:val="center"/>
                </w:tcPr>
                <w:p>
                  <w:pPr>
                    <w:pStyle w:val="286"/>
                    <w:topLinePunct/>
                    <w:spacing w:before="0" w:beforeLines="0" w:line="240" w:lineRule="auto"/>
                    <w:rPr>
                      <w:rFonts w:hint="eastAsia" w:ascii="Times New Roman" w:eastAsia="宋体"/>
                      <w:snapToGrid/>
                      <w:spacing w:val="0"/>
                      <w:sz w:val="21"/>
                      <w:szCs w:val="21"/>
                      <w:lang w:eastAsia="zh-CN"/>
                    </w:rPr>
                  </w:pPr>
                  <w:r>
                    <w:rPr>
                      <w:rFonts w:hint="eastAsia" w:ascii="Times New Roman" w:eastAsia="宋体"/>
                      <w:snapToGrid/>
                      <w:spacing w:val="0"/>
                      <w:sz w:val="21"/>
                      <w:szCs w:val="21"/>
                      <w:lang w:eastAsia="zh-CN"/>
                    </w:rPr>
                    <w:t>粪大肠菌群</w:t>
                  </w:r>
                </w:p>
              </w:tc>
              <w:tc>
                <w:tcPr>
                  <w:tcW w:w="1106" w:type="dxa"/>
                  <w:tcBorders>
                    <w:left w:val="single" w:color="auto" w:sz="4" w:space="0"/>
                    <w:right w:val="single" w:color="auto" w:sz="4" w:space="0"/>
                  </w:tcBorders>
                  <w:noWrap w:val="0"/>
                  <w:vAlign w:val="center"/>
                </w:tcPr>
                <w:p>
                  <w:pPr>
                    <w:pStyle w:val="286"/>
                    <w:topLinePunct/>
                    <w:spacing w:before="0" w:beforeLines="0" w:line="240" w:lineRule="auto"/>
                    <w:rPr>
                      <w:rFonts w:ascii="Times New Roman" w:eastAsia="宋体"/>
                      <w:snapToGrid/>
                      <w:spacing w:val="0"/>
                      <w:sz w:val="21"/>
                      <w:szCs w:val="21"/>
                    </w:rPr>
                  </w:pPr>
                  <w:r>
                    <w:rPr>
                      <w:rFonts w:ascii="Times New Roman" w:eastAsia="宋体"/>
                      <w:snapToGrid/>
                      <w:spacing w:val="0"/>
                      <w:sz w:val="21"/>
                      <w:szCs w:val="21"/>
                      <w:lang w:eastAsia="zh-CN"/>
                    </w:rPr>
                    <w:t>1次/月</w:t>
                  </w:r>
                </w:p>
              </w:tc>
              <w:tc>
                <w:tcPr>
                  <w:tcW w:w="1812" w:type="dxa"/>
                  <w:vMerge w:val="continue"/>
                  <w:tcBorders>
                    <w:left w:val="single" w:color="auto" w:sz="4" w:space="0"/>
                    <w:right w:val="single" w:color="auto" w:sz="4" w:space="0"/>
                  </w:tcBorders>
                  <w:noWrap w:val="0"/>
                  <w:vAlign w:val="center"/>
                </w:tcPr>
                <w:p>
                  <w:pPr>
                    <w:widowControl/>
                    <w:spacing w:line="240" w:lineRule="auto"/>
                    <w:jc w:val="left"/>
                    <w:rPr>
                      <w:b/>
                      <w:spacing w:val="4"/>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662" w:type="dxa"/>
                  <w:vMerge w:val="continue"/>
                  <w:tcBorders>
                    <w:left w:val="single" w:color="auto" w:sz="4" w:space="0"/>
                    <w:right w:val="single" w:color="auto" w:sz="4" w:space="0"/>
                  </w:tcBorders>
                  <w:noWrap w:val="0"/>
                  <w:vAlign w:val="center"/>
                </w:tcPr>
                <w:p>
                  <w:pPr>
                    <w:topLinePunct/>
                    <w:spacing w:line="240" w:lineRule="auto"/>
                    <w:jc w:val="center"/>
                    <w:rPr>
                      <w:kern w:val="0"/>
                      <w:szCs w:val="21"/>
                    </w:rPr>
                  </w:pPr>
                </w:p>
              </w:tc>
              <w:tc>
                <w:tcPr>
                  <w:tcW w:w="649" w:type="dxa"/>
                  <w:vMerge w:val="continue"/>
                  <w:tcBorders>
                    <w:left w:val="single" w:color="auto" w:sz="4" w:space="0"/>
                    <w:right w:val="single" w:color="auto" w:sz="4" w:space="0"/>
                  </w:tcBorders>
                  <w:noWrap w:val="0"/>
                  <w:vAlign w:val="center"/>
                </w:tcPr>
                <w:p>
                  <w:pPr>
                    <w:topLinePunct/>
                    <w:spacing w:line="240" w:lineRule="auto"/>
                    <w:jc w:val="center"/>
                    <w:rPr>
                      <w:kern w:val="0"/>
                      <w:szCs w:val="21"/>
                    </w:rPr>
                  </w:pPr>
                </w:p>
              </w:tc>
              <w:tc>
                <w:tcPr>
                  <w:tcW w:w="637" w:type="dxa"/>
                  <w:vMerge w:val="continue"/>
                  <w:tcBorders>
                    <w:left w:val="single" w:color="auto" w:sz="4" w:space="0"/>
                    <w:right w:val="single" w:color="auto" w:sz="4" w:space="0"/>
                  </w:tcBorders>
                  <w:noWrap w:val="0"/>
                  <w:vAlign w:val="center"/>
                </w:tcPr>
                <w:p>
                  <w:pPr>
                    <w:topLinePunct/>
                    <w:spacing w:line="240" w:lineRule="auto"/>
                    <w:jc w:val="center"/>
                    <w:rPr>
                      <w:kern w:val="0"/>
                      <w:szCs w:val="21"/>
                    </w:rPr>
                  </w:pPr>
                </w:p>
              </w:tc>
              <w:tc>
                <w:tcPr>
                  <w:tcW w:w="3331" w:type="dxa"/>
                  <w:tcBorders>
                    <w:top w:val="single" w:color="auto" w:sz="4" w:space="0"/>
                    <w:left w:val="single" w:color="auto" w:sz="4" w:space="0"/>
                    <w:bottom w:val="single" w:color="auto" w:sz="4" w:space="0"/>
                    <w:right w:val="single" w:color="auto" w:sz="4" w:space="0"/>
                  </w:tcBorders>
                  <w:noWrap w:val="0"/>
                  <w:vAlign w:val="center"/>
                </w:tcPr>
                <w:p>
                  <w:pPr>
                    <w:pStyle w:val="286"/>
                    <w:topLinePunct/>
                    <w:spacing w:before="0" w:beforeLines="0" w:line="240" w:lineRule="auto"/>
                    <w:rPr>
                      <w:rFonts w:ascii="Times New Roman" w:eastAsia="宋体"/>
                      <w:snapToGrid/>
                      <w:spacing w:val="0"/>
                      <w:sz w:val="21"/>
                      <w:szCs w:val="21"/>
                    </w:rPr>
                  </w:pPr>
                  <w:r>
                    <w:rPr>
                      <w:rFonts w:ascii="Times New Roman" w:eastAsia="宋体"/>
                      <w:snapToGrid/>
                      <w:spacing w:val="0"/>
                      <w:sz w:val="21"/>
                      <w:szCs w:val="21"/>
                    </w:rPr>
                    <w:t>BOD</w:t>
                  </w:r>
                  <w:r>
                    <w:rPr>
                      <w:rFonts w:ascii="Times New Roman" w:eastAsia="宋体"/>
                      <w:snapToGrid/>
                      <w:spacing w:val="0"/>
                      <w:sz w:val="21"/>
                      <w:szCs w:val="21"/>
                      <w:vertAlign w:val="subscript"/>
                    </w:rPr>
                    <w:t>5</w:t>
                  </w:r>
                  <w:r>
                    <w:rPr>
                      <w:rFonts w:ascii="Times New Roman" w:eastAsia="宋体"/>
                      <w:snapToGrid/>
                      <w:spacing w:val="0"/>
                      <w:sz w:val="21"/>
                      <w:szCs w:val="21"/>
                    </w:rPr>
                    <w:t>、石油类、挥发酚、动植物油、阴离子表面活性剂、</w:t>
                  </w:r>
                  <w:r>
                    <w:rPr>
                      <w:rFonts w:hint="eastAsia" w:ascii="Times New Roman" w:eastAsia="宋体"/>
                      <w:snapToGrid/>
                      <w:spacing w:val="0"/>
                      <w:sz w:val="21"/>
                      <w:szCs w:val="21"/>
                      <w:lang w:eastAsia="zh-CN"/>
                    </w:rPr>
                    <w:t>总氰化物</w:t>
                  </w:r>
                </w:p>
              </w:tc>
              <w:tc>
                <w:tcPr>
                  <w:tcW w:w="1106" w:type="dxa"/>
                  <w:tcBorders>
                    <w:left w:val="single" w:color="auto" w:sz="4" w:space="0"/>
                    <w:right w:val="single" w:color="auto" w:sz="4" w:space="0"/>
                  </w:tcBorders>
                  <w:noWrap w:val="0"/>
                  <w:vAlign w:val="center"/>
                </w:tcPr>
                <w:p>
                  <w:pPr>
                    <w:pStyle w:val="286"/>
                    <w:topLinePunct/>
                    <w:spacing w:before="0" w:beforeLines="0" w:line="240" w:lineRule="auto"/>
                    <w:rPr>
                      <w:rFonts w:ascii="Times New Roman" w:eastAsia="宋体"/>
                      <w:snapToGrid/>
                      <w:spacing w:val="0"/>
                      <w:sz w:val="21"/>
                      <w:szCs w:val="21"/>
                    </w:rPr>
                  </w:pPr>
                  <w:r>
                    <w:rPr>
                      <w:rFonts w:ascii="Times New Roman" w:eastAsia="宋体"/>
                      <w:snapToGrid/>
                      <w:spacing w:val="0"/>
                      <w:sz w:val="21"/>
                      <w:szCs w:val="21"/>
                      <w:lang w:eastAsia="zh-CN"/>
                    </w:rPr>
                    <w:t>1次/季度</w:t>
                  </w:r>
                </w:p>
              </w:tc>
              <w:tc>
                <w:tcPr>
                  <w:tcW w:w="1812" w:type="dxa"/>
                  <w:vMerge w:val="continue"/>
                  <w:tcBorders>
                    <w:left w:val="single" w:color="auto" w:sz="4" w:space="0"/>
                    <w:right w:val="single" w:color="auto" w:sz="4" w:space="0"/>
                  </w:tcBorders>
                  <w:noWrap w:val="0"/>
                  <w:vAlign w:val="center"/>
                </w:tcPr>
                <w:p>
                  <w:pPr>
                    <w:widowControl/>
                    <w:spacing w:line="240" w:lineRule="auto"/>
                    <w:jc w:val="left"/>
                    <w:rPr>
                      <w:b/>
                      <w:spacing w:val="4"/>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2" w:type="dxa"/>
                  <w:vMerge w:val="continue"/>
                  <w:tcBorders>
                    <w:left w:val="single" w:color="auto" w:sz="4" w:space="0"/>
                    <w:bottom w:val="single" w:color="auto" w:sz="4" w:space="0"/>
                    <w:right w:val="single" w:color="auto" w:sz="4" w:space="0"/>
                  </w:tcBorders>
                  <w:noWrap w:val="0"/>
                  <w:vAlign w:val="center"/>
                </w:tcPr>
                <w:p>
                  <w:pPr>
                    <w:topLinePunct/>
                    <w:spacing w:line="240" w:lineRule="auto"/>
                    <w:jc w:val="center"/>
                    <w:rPr>
                      <w:kern w:val="0"/>
                      <w:szCs w:val="21"/>
                    </w:rPr>
                  </w:pPr>
                </w:p>
              </w:tc>
              <w:tc>
                <w:tcPr>
                  <w:tcW w:w="649" w:type="dxa"/>
                  <w:vMerge w:val="continue"/>
                  <w:tcBorders>
                    <w:left w:val="single" w:color="auto" w:sz="4" w:space="0"/>
                    <w:bottom w:val="single" w:color="auto" w:sz="4" w:space="0"/>
                    <w:right w:val="single" w:color="auto" w:sz="4" w:space="0"/>
                  </w:tcBorders>
                  <w:noWrap w:val="0"/>
                  <w:vAlign w:val="center"/>
                </w:tcPr>
                <w:p>
                  <w:pPr>
                    <w:topLinePunct/>
                    <w:spacing w:line="240" w:lineRule="auto"/>
                    <w:jc w:val="center"/>
                    <w:rPr>
                      <w:kern w:val="0"/>
                      <w:szCs w:val="21"/>
                    </w:rPr>
                  </w:pPr>
                </w:p>
              </w:tc>
              <w:tc>
                <w:tcPr>
                  <w:tcW w:w="637" w:type="dxa"/>
                  <w:vMerge w:val="continue"/>
                  <w:tcBorders>
                    <w:left w:val="single" w:color="auto" w:sz="4" w:space="0"/>
                    <w:bottom w:val="single" w:color="auto" w:sz="4" w:space="0"/>
                    <w:right w:val="single" w:color="auto" w:sz="4" w:space="0"/>
                  </w:tcBorders>
                  <w:noWrap w:val="0"/>
                  <w:vAlign w:val="center"/>
                </w:tcPr>
                <w:p>
                  <w:pPr>
                    <w:topLinePunct/>
                    <w:spacing w:line="240" w:lineRule="auto"/>
                    <w:jc w:val="center"/>
                    <w:rPr>
                      <w:kern w:val="0"/>
                      <w:szCs w:val="21"/>
                    </w:rPr>
                  </w:pPr>
                </w:p>
              </w:tc>
              <w:tc>
                <w:tcPr>
                  <w:tcW w:w="3331" w:type="dxa"/>
                  <w:tcBorders>
                    <w:top w:val="single" w:color="auto" w:sz="4" w:space="0"/>
                    <w:left w:val="single" w:color="auto" w:sz="4" w:space="0"/>
                    <w:bottom w:val="single" w:color="auto" w:sz="4" w:space="0"/>
                    <w:right w:val="single" w:color="auto" w:sz="4" w:space="0"/>
                  </w:tcBorders>
                  <w:noWrap w:val="0"/>
                  <w:vAlign w:val="center"/>
                </w:tcPr>
                <w:p>
                  <w:pPr>
                    <w:pStyle w:val="286"/>
                    <w:topLinePunct/>
                    <w:spacing w:before="0" w:beforeLines="0" w:line="240" w:lineRule="auto"/>
                    <w:rPr>
                      <w:rFonts w:ascii="Times New Roman" w:eastAsia="宋体"/>
                      <w:snapToGrid/>
                      <w:spacing w:val="0"/>
                      <w:sz w:val="21"/>
                      <w:szCs w:val="21"/>
                    </w:rPr>
                  </w:pPr>
                  <w:r>
                    <w:rPr>
                      <w:rFonts w:hint="eastAsia" w:ascii="Times New Roman" w:eastAsia="宋体"/>
                      <w:snapToGrid/>
                      <w:spacing w:val="0"/>
                      <w:sz w:val="21"/>
                      <w:szCs w:val="21"/>
                      <w:lang w:eastAsia="zh-CN"/>
                    </w:rPr>
                    <w:t>肠道致病菌、色度、氨氮、</w:t>
                  </w:r>
                  <w:r>
                    <w:rPr>
                      <w:rFonts w:ascii="Times New Roman" w:eastAsia="宋体"/>
                      <w:snapToGrid/>
                      <w:spacing w:val="0"/>
                      <w:sz w:val="21"/>
                      <w:szCs w:val="21"/>
                    </w:rPr>
                    <w:t>总余氯</w:t>
                  </w:r>
                </w:p>
              </w:tc>
              <w:tc>
                <w:tcPr>
                  <w:tcW w:w="1106" w:type="dxa"/>
                  <w:tcBorders>
                    <w:left w:val="single" w:color="auto" w:sz="4" w:space="0"/>
                    <w:bottom w:val="single" w:color="auto" w:sz="4" w:space="0"/>
                    <w:right w:val="single" w:color="auto" w:sz="4" w:space="0"/>
                  </w:tcBorders>
                  <w:noWrap w:val="0"/>
                  <w:vAlign w:val="center"/>
                </w:tcPr>
                <w:p>
                  <w:pPr>
                    <w:pStyle w:val="286"/>
                    <w:topLinePunct/>
                    <w:spacing w:before="0" w:beforeLines="0" w:line="240" w:lineRule="auto"/>
                    <w:rPr>
                      <w:rFonts w:ascii="Times New Roman" w:eastAsia="宋体"/>
                      <w:snapToGrid/>
                      <w:spacing w:val="0"/>
                      <w:sz w:val="21"/>
                      <w:szCs w:val="21"/>
                    </w:rPr>
                  </w:pPr>
                  <w:r>
                    <w:rPr>
                      <w:rFonts w:hint="eastAsia" w:ascii="Times New Roman" w:eastAsia="宋体"/>
                      <w:snapToGrid/>
                      <w:spacing w:val="0"/>
                      <w:sz w:val="21"/>
                      <w:szCs w:val="21"/>
                      <w:lang w:val="en-US" w:eastAsia="zh-CN"/>
                    </w:rPr>
                    <w:t>-</w:t>
                  </w:r>
                </w:p>
              </w:tc>
              <w:tc>
                <w:tcPr>
                  <w:tcW w:w="1812" w:type="dxa"/>
                  <w:vMerge w:val="continue"/>
                  <w:tcBorders>
                    <w:left w:val="single" w:color="auto" w:sz="4" w:space="0"/>
                    <w:bottom w:val="single" w:color="auto" w:sz="4" w:space="0"/>
                    <w:right w:val="single" w:color="auto" w:sz="4" w:space="0"/>
                  </w:tcBorders>
                  <w:noWrap w:val="0"/>
                  <w:vAlign w:val="center"/>
                </w:tcPr>
                <w:p>
                  <w:pPr>
                    <w:widowControl/>
                    <w:spacing w:line="240" w:lineRule="auto"/>
                    <w:jc w:val="left"/>
                    <w:rPr>
                      <w:b/>
                      <w:spacing w:val="4"/>
                      <w:kern w:val="0"/>
                      <w:szCs w:val="21"/>
                    </w:rPr>
                  </w:pPr>
                </w:p>
              </w:tc>
            </w:tr>
          </w:tbl>
          <w:p>
            <w:pPr>
              <w:spacing w:line="360" w:lineRule="auto"/>
              <w:ind w:firstLine="482" w:firstLineChars="200"/>
              <w:rPr>
                <w:rFonts w:hint="eastAsia"/>
                <w:sz w:val="24"/>
              </w:rPr>
            </w:pPr>
            <w:r>
              <w:rPr>
                <w:rFonts w:hint="eastAsia" w:hAnsi="宋体"/>
                <w:b/>
                <w:bCs/>
                <w:sz w:val="24"/>
                <w:lang w:eastAsia="zh-CN"/>
              </w:rPr>
              <w:t>（四）</w:t>
            </w:r>
            <w:r>
              <w:rPr>
                <w:rFonts w:hint="eastAsia"/>
                <w:b/>
                <w:bCs/>
                <w:sz w:val="24"/>
              </w:rPr>
              <w:t>地表水环境影响分析结论</w:t>
            </w:r>
          </w:p>
          <w:p>
            <w:pPr>
              <w:pStyle w:val="72"/>
              <w:ind w:firstLine="480"/>
              <w:rPr>
                <w:rFonts w:hint="eastAsia"/>
                <w:b/>
                <w:szCs w:val="21"/>
              </w:rPr>
            </w:pPr>
            <w:r>
              <w:rPr>
                <w:rFonts w:hint="eastAsia"/>
                <w:szCs w:val="24"/>
              </w:rPr>
              <w:t>根据分析，本项目采取的水污染控制和水环境影响减缓措施可行有效，无需整改，对地表</w:t>
            </w:r>
            <w:r>
              <w:rPr>
                <w:rFonts w:hint="eastAsia"/>
                <w:bCs/>
                <w:szCs w:val="21"/>
              </w:rPr>
              <w:t>水环境影响可接受。</w:t>
            </w:r>
          </w:p>
          <w:p>
            <w:pPr>
              <w:jc w:val="center"/>
              <w:rPr>
                <w:rFonts w:hint="eastAsia"/>
                <w:b/>
                <w:szCs w:val="21"/>
                <w:lang w:val="zh-CN"/>
              </w:rPr>
            </w:pPr>
            <w:r>
              <w:rPr>
                <w:rFonts w:hint="eastAsia"/>
                <w:b/>
                <w:szCs w:val="21"/>
                <w:lang w:val="zh-CN"/>
              </w:rPr>
              <w:t>表</w:t>
            </w:r>
            <w:r>
              <w:rPr>
                <w:rFonts w:hint="eastAsia"/>
                <w:b/>
                <w:szCs w:val="21"/>
              </w:rPr>
              <w:t>4-</w:t>
            </w:r>
            <w:r>
              <w:rPr>
                <w:rFonts w:hint="eastAsia"/>
                <w:b/>
                <w:szCs w:val="21"/>
                <w:lang w:val="en-US" w:eastAsia="zh-CN"/>
              </w:rPr>
              <w:t>7</w:t>
            </w:r>
            <w:r>
              <w:rPr>
                <w:rFonts w:hint="eastAsia"/>
                <w:b/>
                <w:szCs w:val="21"/>
              </w:rPr>
              <w:t xml:space="preserve"> </w:t>
            </w:r>
            <w:r>
              <w:rPr>
                <w:rFonts w:hint="eastAsia"/>
                <w:b/>
                <w:szCs w:val="21"/>
                <w:lang w:val="zh-CN"/>
              </w:rPr>
              <w:t>项目废水治理措施及整改要求汇总表</w:t>
            </w:r>
          </w:p>
          <w:tbl>
            <w:tblPr>
              <w:tblStyle w:val="41"/>
              <w:tblW w:w="8248" w:type="dxa"/>
              <w:tblInd w:w="0" w:type="dxa"/>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
            <w:tblGrid>
              <w:gridCol w:w="1108"/>
              <w:gridCol w:w="5370"/>
              <w:gridCol w:w="1132"/>
              <w:gridCol w:w="638"/>
            </w:tblGrid>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535" w:hRule="atLeast"/>
              </w:trPr>
              <w:tc>
                <w:tcPr>
                  <w:tcW w:w="671" w:type="pct"/>
                  <w:noWrap w:val="0"/>
                  <w:vAlign w:val="center"/>
                </w:tcPr>
                <w:p>
                  <w:pPr>
                    <w:autoSpaceDE w:val="0"/>
                    <w:autoSpaceDN w:val="0"/>
                    <w:adjustRightInd w:val="0"/>
                    <w:jc w:val="center"/>
                    <w:rPr>
                      <w:rFonts w:ascii="宋体" w:cs="宋体"/>
                      <w:b/>
                      <w:bCs/>
                      <w:kern w:val="0"/>
                      <w:szCs w:val="21"/>
                      <w:lang w:val="zh-CN"/>
                    </w:rPr>
                  </w:pPr>
                  <w:r>
                    <w:rPr>
                      <w:rFonts w:hint="eastAsia" w:ascii="宋体" w:cs="宋体"/>
                      <w:b/>
                      <w:bCs/>
                      <w:kern w:val="0"/>
                      <w:szCs w:val="21"/>
                      <w:lang w:val="zh-CN"/>
                    </w:rPr>
                    <w:t>污染源</w:t>
                  </w:r>
                </w:p>
              </w:tc>
              <w:tc>
                <w:tcPr>
                  <w:tcW w:w="3255" w:type="pct"/>
                  <w:noWrap w:val="0"/>
                  <w:vAlign w:val="center"/>
                </w:tcPr>
                <w:p>
                  <w:pPr>
                    <w:autoSpaceDE w:val="0"/>
                    <w:autoSpaceDN w:val="0"/>
                    <w:adjustRightInd w:val="0"/>
                    <w:jc w:val="center"/>
                    <w:rPr>
                      <w:rFonts w:ascii="宋体" w:cs="宋体"/>
                      <w:b/>
                      <w:bCs/>
                      <w:kern w:val="0"/>
                      <w:szCs w:val="21"/>
                      <w:lang w:val="zh-CN"/>
                    </w:rPr>
                  </w:pPr>
                  <w:r>
                    <w:rPr>
                      <w:rFonts w:hint="eastAsia" w:ascii="宋体" w:cs="宋体"/>
                      <w:b/>
                      <w:bCs/>
                      <w:kern w:val="0"/>
                      <w:szCs w:val="21"/>
                      <w:lang w:val="zh-CN"/>
                    </w:rPr>
                    <w:t>现有措施及排放情况</w:t>
                  </w:r>
                </w:p>
              </w:tc>
              <w:tc>
                <w:tcPr>
                  <w:tcW w:w="686" w:type="pct"/>
                  <w:noWrap w:val="0"/>
                  <w:vAlign w:val="center"/>
                </w:tcPr>
                <w:p>
                  <w:pPr>
                    <w:autoSpaceDE w:val="0"/>
                    <w:autoSpaceDN w:val="0"/>
                    <w:adjustRightInd w:val="0"/>
                    <w:jc w:val="center"/>
                    <w:rPr>
                      <w:rFonts w:ascii="宋体" w:cs="宋体"/>
                      <w:b/>
                      <w:bCs/>
                      <w:kern w:val="0"/>
                      <w:szCs w:val="21"/>
                      <w:lang w:val="zh-CN"/>
                    </w:rPr>
                  </w:pPr>
                  <w:r>
                    <w:rPr>
                      <w:rFonts w:hint="eastAsia" w:ascii="宋体" w:cs="宋体"/>
                      <w:b/>
                      <w:bCs/>
                      <w:kern w:val="0"/>
                      <w:szCs w:val="21"/>
                      <w:lang w:val="zh-CN"/>
                    </w:rPr>
                    <w:t>现有措施是否可行</w:t>
                  </w:r>
                </w:p>
              </w:tc>
              <w:tc>
                <w:tcPr>
                  <w:tcW w:w="386" w:type="pct"/>
                  <w:noWrap w:val="0"/>
                  <w:vAlign w:val="center"/>
                </w:tcPr>
                <w:p>
                  <w:pPr>
                    <w:autoSpaceDE w:val="0"/>
                    <w:autoSpaceDN w:val="0"/>
                    <w:adjustRightInd w:val="0"/>
                    <w:jc w:val="center"/>
                    <w:rPr>
                      <w:rFonts w:ascii="宋体" w:cs="宋体"/>
                      <w:b/>
                      <w:bCs/>
                      <w:kern w:val="0"/>
                      <w:szCs w:val="21"/>
                      <w:lang w:val="zh-CN"/>
                    </w:rPr>
                  </w:pPr>
                  <w:r>
                    <w:rPr>
                      <w:rFonts w:hint="eastAsia" w:ascii="宋体" w:cs="宋体"/>
                      <w:b/>
                      <w:bCs/>
                      <w:kern w:val="0"/>
                      <w:szCs w:val="21"/>
                      <w:lang w:val="zh-CN"/>
                    </w:rPr>
                    <w:t>整改要求</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90" w:hRule="atLeast"/>
              </w:trPr>
              <w:tc>
                <w:tcPr>
                  <w:tcW w:w="671" w:type="pct"/>
                  <w:noWrap w:val="0"/>
                  <w:vAlign w:val="center"/>
                </w:tcPr>
                <w:p>
                  <w:pPr>
                    <w:pStyle w:val="165"/>
                    <w:rPr>
                      <w:rFonts w:ascii="宋体" w:cs="宋体"/>
                      <w:szCs w:val="21"/>
                      <w:lang w:val="zh-CN"/>
                    </w:rPr>
                  </w:pPr>
                  <w:r>
                    <w:rPr>
                      <w:rFonts w:hint="eastAsia"/>
                    </w:rPr>
                    <w:t>医疗废水</w:t>
                  </w:r>
                </w:p>
              </w:tc>
              <w:tc>
                <w:tcPr>
                  <w:tcW w:w="3255" w:type="pct"/>
                  <w:vMerge w:val="restart"/>
                  <w:noWrap w:val="0"/>
                  <w:vAlign w:val="center"/>
                </w:tcPr>
                <w:p>
                  <w:pPr>
                    <w:pStyle w:val="165"/>
                    <w:rPr>
                      <w:rFonts w:hint="eastAsia" w:ascii="宋体" w:hAnsi="宋体" w:cs="宋体"/>
                      <w:szCs w:val="21"/>
                    </w:rPr>
                  </w:pPr>
                  <w:r>
                    <w:rPr>
                      <w:rFonts w:hint="eastAsia"/>
                    </w:rPr>
                    <w:t>化粪池预处理后进入院内污水处理站处理，处理达标后排入市政污水管网</w:t>
                  </w:r>
                </w:p>
              </w:tc>
              <w:tc>
                <w:tcPr>
                  <w:tcW w:w="686" w:type="pct"/>
                  <w:vMerge w:val="restart"/>
                  <w:noWrap w:val="0"/>
                  <w:vAlign w:val="center"/>
                </w:tcPr>
                <w:p>
                  <w:pPr>
                    <w:autoSpaceDE w:val="0"/>
                    <w:autoSpaceDN w:val="0"/>
                    <w:adjustRightInd w:val="0"/>
                    <w:jc w:val="center"/>
                    <w:rPr>
                      <w:rFonts w:hint="eastAsia" w:ascii="宋体" w:cs="宋体"/>
                      <w:kern w:val="0"/>
                      <w:szCs w:val="21"/>
                    </w:rPr>
                  </w:pPr>
                  <w:r>
                    <w:rPr>
                      <w:rFonts w:hint="eastAsia" w:ascii="宋体" w:cs="宋体"/>
                      <w:kern w:val="0"/>
                      <w:szCs w:val="21"/>
                      <w:lang w:val="zh-CN"/>
                    </w:rPr>
                    <w:t>可行</w:t>
                  </w:r>
                </w:p>
              </w:tc>
              <w:tc>
                <w:tcPr>
                  <w:tcW w:w="386" w:type="pct"/>
                  <w:vMerge w:val="restart"/>
                  <w:noWrap w:val="0"/>
                  <w:vAlign w:val="center"/>
                </w:tcPr>
                <w:p>
                  <w:pPr>
                    <w:autoSpaceDE w:val="0"/>
                    <w:autoSpaceDN w:val="0"/>
                    <w:adjustRightInd w:val="0"/>
                    <w:jc w:val="center"/>
                    <w:rPr>
                      <w:rFonts w:ascii="宋体" w:cs="宋体"/>
                      <w:kern w:val="0"/>
                      <w:szCs w:val="21"/>
                      <w:lang w:val="zh-CN"/>
                    </w:rPr>
                  </w:pPr>
                  <w:r>
                    <w:rPr>
                      <w:rFonts w:hint="eastAsia" w:ascii="宋体" w:cs="宋体"/>
                      <w:kern w:val="0"/>
                      <w:szCs w:val="21"/>
                      <w:lang w:val="zh-CN"/>
                    </w:rPr>
                    <w:t>增加流量自动监测设备</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70" w:hRule="atLeast"/>
              </w:trPr>
              <w:tc>
                <w:tcPr>
                  <w:tcW w:w="671" w:type="pct"/>
                  <w:noWrap w:val="0"/>
                  <w:vAlign w:val="center"/>
                </w:tcPr>
                <w:p>
                  <w:pPr>
                    <w:pStyle w:val="165"/>
                    <w:rPr>
                      <w:rFonts w:hint="eastAsia" w:ascii="宋体" w:cs="宋体"/>
                      <w:szCs w:val="21"/>
                      <w:lang w:val="zh-CN"/>
                    </w:rPr>
                  </w:pPr>
                  <w:r>
                    <w:rPr>
                      <w:rFonts w:hint="eastAsia"/>
                    </w:rPr>
                    <w:t>洗涤废水</w:t>
                  </w:r>
                </w:p>
              </w:tc>
              <w:tc>
                <w:tcPr>
                  <w:tcW w:w="3255" w:type="pct"/>
                  <w:vMerge w:val="continue"/>
                  <w:noWrap w:val="0"/>
                  <w:vAlign w:val="center"/>
                </w:tcPr>
                <w:p>
                  <w:pPr>
                    <w:pStyle w:val="165"/>
                    <w:rPr>
                      <w:rFonts w:hint="eastAsia" w:ascii="宋体" w:hAnsi="宋体" w:cs="宋体"/>
                      <w:szCs w:val="21"/>
                    </w:rPr>
                  </w:pPr>
                </w:p>
              </w:tc>
              <w:tc>
                <w:tcPr>
                  <w:tcW w:w="686" w:type="pct"/>
                  <w:vMerge w:val="continue"/>
                  <w:noWrap w:val="0"/>
                  <w:vAlign w:val="center"/>
                </w:tcPr>
                <w:p>
                  <w:pPr>
                    <w:autoSpaceDE w:val="0"/>
                    <w:autoSpaceDN w:val="0"/>
                    <w:adjustRightInd w:val="0"/>
                    <w:jc w:val="center"/>
                    <w:rPr>
                      <w:rFonts w:hint="eastAsia" w:ascii="宋体" w:cs="宋体"/>
                      <w:kern w:val="0"/>
                      <w:szCs w:val="21"/>
                      <w:lang w:val="zh-CN"/>
                    </w:rPr>
                  </w:pPr>
                </w:p>
              </w:tc>
              <w:tc>
                <w:tcPr>
                  <w:tcW w:w="386" w:type="pct"/>
                  <w:vMerge w:val="continue"/>
                  <w:noWrap w:val="0"/>
                  <w:vAlign w:val="center"/>
                </w:tcPr>
                <w:p>
                  <w:pPr>
                    <w:autoSpaceDE w:val="0"/>
                    <w:autoSpaceDN w:val="0"/>
                    <w:adjustRightInd w:val="0"/>
                    <w:jc w:val="center"/>
                    <w:rPr>
                      <w:rFonts w:hint="eastAsia" w:ascii="宋体" w:cs="宋体"/>
                      <w:kern w:val="0"/>
                      <w:szCs w:val="21"/>
                      <w:lang w:val="zh-CN"/>
                    </w:rPr>
                  </w:pP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70" w:hRule="atLeast"/>
              </w:trPr>
              <w:tc>
                <w:tcPr>
                  <w:tcW w:w="671" w:type="pct"/>
                  <w:noWrap w:val="0"/>
                  <w:vAlign w:val="center"/>
                </w:tcPr>
                <w:p>
                  <w:pPr>
                    <w:pStyle w:val="165"/>
                    <w:rPr>
                      <w:rFonts w:hint="eastAsia" w:ascii="宋体" w:cs="宋体"/>
                      <w:szCs w:val="21"/>
                      <w:lang w:val="zh-CN"/>
                    </w:rPr>
                  </w:pPr>
                  <w:r>
                    <w:rPr>
                      <w:rFonts w:hint="eastAsia"/>
                    </w:rPr>
                    <w:t>生活污水</w:t>
                  </w:r>
                </w:p>
              </w:tc>
              <w:tc>
                <w:tcPr>
                  <w:tcW w:w="3255" w:type="pct"/>
                  <w:vMerge w:val="continue"/>
                  <w:noWrap w:val="0"/>
                  <w:vAlign w:val="center"/>
                </w:tcPr>
                <w:p>
                  <w:pPr>
                    <w:autoSpaceDE w:val="0"/>
                    <w:autoSpaceDN w:val="0"/>
                    <w:adjustRightInd w:val="0"/>
                    <w:jc w:val="center"/>
                    <w:rPr>
                      <w:rFonts w:hint="eastAsia" w:ascii="宋体" w:cs="宋体"/>
                      <w:kern w:val="0"/>
                      <w:szCs w:val="21"/>
                      <w:lang w:val="zh-CN"/>
                    </w:rPr>
                  </w:pPr>
                </w:p>
              </w:tc>
              <w:tc>
                <w:tcPr>
                  <w:tcW w:w="686" w:type="pct"/>
                  <w:vMerge w:val="continue"/>
                  <w:noWrap w:val="0"/>
                  <w:vAlign w:val="center"/>
                </w:tcPr>
                <w:p>
                  <w:pPr>
                    <w:autoSpaceDE w:val="0"/>
                    <w:autoSpaceDN w:val="0"/>
                    <w:adjustRightInd w:val="0"/>
                    <w:jc w:val="center"/>
                    <w:rPr>
                      <w:rFonts w:hint="eastAsia" w:ascii="宋体" w:cs="宋体"/>
                      <w:kern w:val="0"/>
                      <w:szCs w:val="21"/>
                      <w:lang w:val="zh-CN"/>
                    </w:rPr>
                  </w:pPr>
                </w:p>
              </w:tc>
              <w:tc>
                <w:tcPr>
                  <w:tcW w:w="386" w:type="pct"/>
                  <w:vMerge w:val="continue"/>
                  <w:noWrap w:val="0"/>
                  <w:vAlign w:val="center"/>
                </w:tcPr>
                <w:p>
                  <w:pPr>
                    <w:autoSpaceDE w:val="0"/>
                    <w:autoSpaceDN w:val="0"/>
                    <w:adjustRightInd w:val="0"/>
                    <w:jc w:val="center"/>
                    <w:rPr>
                      <w:rFonts w:hint="eastAsia" w:ascii="宋体" w:cs="宋体"/>
                      <w:kern w:val="0"/>
                      <w:szCs w:val="21"/>
                      <w:lang w:val="zh-CN"/>
                    </w:rPr>
                  </w:pP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89" w:hRule="atLeast"/>
              </w:trPr>
              <w:tc>
                <w:tcPr>
                  <w:tcW w:w="671" w:type="pct"/>
                  <w:noWrap w:val="0"/>
                  <w:vAlign w:val="center"/>
                </w:tcPr>
                <w:p>
                  <w:pPr>
                    <w:pStyle w:val="165"/>
                    <w:rPr>
                      <w:rFonts w:hint="eastAsia" w:ascii="宋体" w:cs="宋体"/>
                      <w:szCs w:val="21"/>
                      <w:lang w:val="zh-CN"/>
                    </w:rPr>
                  </w:pPr>
                  <w:r>
                    <w:rPr>
                      <w:rFonts w:hint="eastAsia"/>
                    </w:rPr>
                    <w:t>食堂废水</w:t>
                  </w:r>
                </w:p>
              </w:tc>
              <w:tc>
                <w:tcPr>
                  <w:tcW w:w="3255" w:type="pct"/>
                  <w:noWrap w:val="0"/>
                  <w:vAlign w:val="center"/>
                </w:tcPr>
                <w:p>
                  <w:pPr>
                    <w:pStyle w:val="165"/>
                    <w:rPr>
                      <w:rFonts w:hint="eastAsia" w:ascii="宋体" w:cs="宋体"/>
                      <w:szCs w:val="21"/>
                      <w:lang w:val="zh-CN"/>
                    </w:rPr>
                  </w:pPr>
                  <w:r>
                    <w:rPr>
                      <w:rFonts w:hint="eastAsia"/>
                    </w:rPr>
                    <w:t>经隔油池、化粪池预处理后进入院内污水处理站处理，处理达标后排入市政污水管网</w:t>
                  </w:r>
                </w:p>
              </w:tc>
              <w:tc>
                <w:tcPr>
                  <w:tcW w:w="686" w:type="pct"/>
                  <w:vMerge w:val="continue"/>
                  <w:noWrap w:val="0"/>
                  <w:vAlign w:val="center"/>
                </w:tcPr>
                <w:p>
                  <w:pPr>
                    <w:autoSpaceDE w:val="0"/>
                    <w:autoSpaceDN w:val="0"/>
                    <w:adjustRightInd w:val="0"/>
                    <w:jc w:val="center"/>
                    <w:rPr>
                      <w:rFonts w:hint="eastAsia" w:ascii="宋体" w:cs="宋体"/>
                      <w:kern w:val="0"/>
                      <w:szCs w:val="21"/>
                      <w:lang w:val="zh-CN"/>
                    </w:rPr>
                  </w:pPr>
                </w:p>
              </w:tc>
              <w:tc>
                <w:tcPr>
                  <w:tcW w:w="386" w:type="pct"/>
                  <w:vMerge w:val="continue"/>
                  <w:noWrap w:val="0"/>
                  <w:vAlign w:val="center"/>
                </w:tcPr>
                <w:p>
                  <w:pPr>
                    <w:autoSpaceDE w:val="0"/>
                    <w:autoSpaceDN w:val="0"/>
                    <w:adjustRightInd w:val="0"/>
                    <w:jc w:val="center"/>
                    <w:rPr>
                      <w:rFonts w:hint="eastAsia" w:ascii="宋体" w:cs="宋体"/>
                      <w:kern w:val="0"/>
                      <w:szCs w:val="21"/>
                      <w:lang w:val="zh-CN"/>
                    </w:rPr>
                  </w:pPr>
                </w:p>
              </w:tc>
            </w:tr>
          </w:tbl>
          <w:p>
            <w:pPr>
              <w:spacing w:line="360" w:lineRule="auto"/>
              <w:rPr>
                <w:b/>
                <w:sz w:val="24"/>
              </w:rPr>
            </w:pPr>
            <w:r>
              <w:rPr>
                <w:rFonts w:hint="eastAsia"/>
                <w:b/>
                <w:sz w:val="24"/>
              </w:rPr>
              <w:t>二、废气</w:t>
            </w:r>
          </w:p>
          <w:p>
            <w:pPr>
              <w:pStyle w:val="72"/>
              <w:ind w:firstLine="482"/>
              <w:rPr>
                <w:rFonts w:hint="eastAsia"/>
                <w:b/>
                <w:bCs/>
              </w:rPr>
            </w:pPr>
            <w:r>
              <w:rPr>
                <w:rFonts w:hint="eastAsia"/>
                <w:b/>
                <w:bCs/>
                <w:lang w:eastAsia="zh-CN"/>
              </w:rPr>
              <w:t>（一）</w:t>
            </w:r>
            <w:r>
              <w:rPr>
                <w:rFonts w:hint="eastAsia"/>
                <w:b/>
                <w:bCs/>
              </w:rPr>
              <w:t>废气</w:t>
            </w:r>
            <w:r>
              <w:rPr>
                <w:rFonts w:hint="eastAsia"/>
                <w:b/>
                <w:bCs/>
                <w:lang w:eastAsia="zh-CN"/>
              </w:rPr>
              <w:t>污染物</w:t>
            </w:r>
            <w:r>
              <w:rPr>
                <w:rFonts w:hint="eastAsia"/>
                <w:b/>
                <w:bCs/>
              </w:rPr>
              <w:t>源强分析及治理措施</w:t>
            </w:r>
          </w:p>
          <w:p>
            <w:pPr>
              <w:pStyle w:val="72"/>
              <w:ind w:firstLine="480"/>
              <w:rPr>
                <w:rFonts w:hint="eastAsia"/>
              </w:rPr>
            </w:pPr>
            <w:r>
              <w:rPr>
                <w:rFonts w:hint="eastAsia"/>
              </w:rPr>
              <w:t>医院院区供热主要用电和天然气，洗衣房烘干机和食堂使用天然气，其余均使用电；本项目建成营运期，产生的废气主要包括污水处理站废气、食堂油烟、备用发电机组废气和天然气燃烧废气。</w:t>
            </w:r>
          </w:p>
          <w:p>
            <w:pPr>
              <w:pStyle w:val="72"/>
              <w:ind w:firstLine="480"/>
              <w:rPr>
                <w:rFonts w:hint="eastAsia"/>
              </w:rPr>
            </w:pPr>
            <w:r>
              <w:rPr>
                <w:rFonts w:hint="eastAsia"/>
                <w:lang w:val="en-US" w:eastAsia="zh-CN"/>
              </w:rPr>
              <w:t>1、</w:t>
            </w:r>
            <w:r>
              <w:rPr>
                <w:rFonts w:hint="eastAsia"/>
              </w:rPr>
              <w:t>污水处理站废气</w:t>
            </w:r>
          </w:p>
          <w:p>
            <w:pPr>
              <w:pStyle w:val="72"/>
              <w:bidi w:val="0"/>
              <w:rPr>
                <w:rFonts w:hint="eastAsia"/>
              </w:rPr>
            </w:pPr>
            <w:r>
              <w:rPr>
                <w:rFonts w:hint="eastAsia"/>
              </w:rPr>
              <w:t>医院污水处理站产生的恶臭气体的成分主要是氨气和硫化氢。硫化氢气体具有臭鸡蛋味，有一定的刺激性。恶臭气体产生量随污水水质、气温以及曝气量的不同而变化。本项目污水处理站采用“二级生化+消毒”，臭气主要产生于接触氧化池和调节池。废气在各处理单元的排污系数通过单位时间内单位面积散发量来表征。根据有关资料，接触氧化池（15m</w:t>
            </w:r>
            <w:r>
              <w:rPr>
                <w:rFonts w:hint="eastAsia"/>
                <w:vertAlign w:val="superscript"/>
              </w:rPr>
              <w:t>2</w:t>
            </w:r>
            <w:r>
              <w:rPr>
                <w:rFonts w:hint="eastAsia"/>
              </w:rPr>
              <w:t>）NH</w:t>
            </w:r>
            <w:r>
              <w:rPr>
                <w:rFonts w:hint="eastAsia"/>
                <w:vertAlign w:val="subscript"/>
              </w:rPr>
              <w:t>3</w:t>
            </w:r>
            <w:r>
              <w:rPr>
                <w:rFonts w:hint="eastAsia"/>
              </w:rPr>
              <w:t>、H</w:t>
            </w:r>
            <w:r>
              <w:rPr>
                <w:rFonts w:hint="eastAsia"/>
                <w:vertAlign w:val="subscript"/>
              </w:rPr>
              <w:t>2</w:t>
            </w:r>
            <w:r>
              <w:rPr>
                <w:rFonts w:hint="eastAsia"/>
              </w:rPr>
              <w:t>S的排放系数为0.61mg/s</w:t>
            </w:r>
            <w:r>
              <w:t>·</w:t>
            </w:r>
            <w:r>
              <w:rPr>
                <w:rFonts w:hint="eastAsia"/>
              </w:rPr>
              <w:t>m</w:t>
            </w:r>
            <w:r>
              <w:rPr>
                <w:rFonts w:hint="eastAsia"/>
                <w:vertAlign w:val="superscript"/>
              </w:rPr>
              <w:t>2</w:t>
            </w:r>
            <w:r>
              <w:rPr>
                <w:rFonts w:hint="eastAsia"/>
              </w:rPr>
              <w:t>和1.068×10</w:t>
            </w:r>
            <w:r>
              <w:rPr>
                <w:rFonts w:hint="eastAsia"/>
                <w:vertAlign w:val="superscript"/>
              </w:rPr>
              <w:t>-3</w:t>
            </w:r>
            <w:r>
              <w:rPr>
                <w:rFonts w:hint="eastAsia"/>
              </w:rPr>
              <w:t>mg/s</w:t>
            </w:r>
            <w:r>
              <w:t>·</w:t>
            </w:r>
            <w:r>
              <w:rPr>
                <w:rFonts w:hint="eastAsia"/>
              </w:rPr>
              <w:t>m</w:t>
            </w:r>
            <w:r>
              <w:rPr>
                <w:rFonts w:hint="eastAsia"/>
                <w:vertAlign w:val="superscript"/>
              </w:rPr>
              <w:t>2</w:t>
            </w:r>
            <w:r>
              <w:rPr>
                <w:rFonts w:hint="eastAsia"/>
              </w:rPr>
              <w:t>，调节池（10m</w:t>
            </w:r>
            <w:r>
              <w:rPr>
                <w:rFonts w:hint="eastAsia"/>
                <w:vertAlign w:val="superscript"/>
              </w:rPr>
              <w:t>2</w:t>
            </w:r>
            <w:r>
              <w:rPr>
                <w:rFonts w:hint="eastAsia"/>
              </w:rPr>
              <w:t>）NH</w:t>
            </w:r>
            <w:r>
              <w:rPr>
                <w:rFonts w:hint="eastAsia"/>
                <w:vertAlign w:val="subscript"/>
              </w:rPr>
              <w:t>3</w:t>
            </w:r>
            <w:r>
              <w:rPr>
                <w:rFonts w:hint="eastAsia"/>
              </w:rPr>
              <w:t>、H</w:t>
            </w:r>
            <w:r>
              <w:rPr>
                <w:rFonts w:hint="eastAsia"/>
                <w:vertAlign w:val="subscript"/>
              </w:rPr>
              <w:t>2</w:t>
            </w:r>
            <w:r>
              <w:rPr>
                <w:rFonts w:hint="eastAsia"/>
              </w:rPr>
              <w:t>S的排放系数为0.52mg/s</w:t>
            </w:r>
            <w:r>
              <w:t>·</w:t>
            </w:r>
            <w:r>
              <w:rPr>
                <w:rFonts w:hint="eastAsia"/>
              </w:rPr>
              <w:t>m</w:t>
            </w:r>
            <w:r>
              <w:rPr>
                <w:rFonts w:hint="eastAsia"/>
                <w:vertAlign w:val="superscript"/>
              </w:rPr>
              <w:t>2</w:t>
            </w:r>
            <w:r>
              <w:rPr>
                <w:rFonts w:hint="eastAsia"/>
              </w:rPr>
              <w:t>和1.091×10</w:t>
            </w:r>
            <w:r>
              <w:rPr>
                <w:rFonts w:hint="eastAsia"/>
                <w:vertAlign w:val="superscript"/>
              </w:rPr>
              <w:t>-3</w:t>
            </w:r>
            <w:r>
              <w:rPr>
                <w:rFonts w:hint="eastAsia"/>
              </w:rPr>
              <w:t>mg/s</w:t>
            </w:r>
            <w:r>
              <w:t>·</w:t>
            </w:r>
            <w:r>
              <w:rPr>
                <w:rFonts w:hint="eastAsia"/>
              </w:rPr>
              <w:t>m</w:t>
            </w:r>
            <w:r>
              <w:rPr>
                <w:rFonts w:hint="eastAsia"/>
                <w:vertAlign w:val="superscript"/>
              </w:rPr>
              <w:t>2</w:t>
            </w:r>
            <w:r>
              <w:rPr>
                <w:rFonts w:hint="eastAsia"/>
              </w:rPr>
              <w:t>，由此可估算污水处理设施NH</w:t>
            </w:r>
            <w:r>
              <w:rPr>
                <w:rFonts w:hint="eastAsia"/>
                <w:vertAlign w:val="subscript"/>
              </w:rPr>
              <w:t>3</w:t>
            </w:r>
            <w:r>
              <w:rPr>
                <w:rFonts w:hint="eastAsia"/>
              </w:rPr>
              <w:t>产生量为112.7g/h，0.987t/a；H</w:t>
            </w:r>
            <w:r>
              <w:rPr>
                <w:rFonts w:hint="eastAsia"/>
                <w:vertAlign w:val="subscript"/>
              </w:rPr>
              <w:t>2</w:t>
            </w:r>
            <w:r>
              <w:rPr>
                <w:rFonts w:hint="eastAsia"/>
              </w:rPr>
              <w:t>S产生量为0.097g/h，0.85kg/a。</w:t>
            </w:r>
          </w:p>
          <w:p>
            <w:pPr>
              <w:pStyle w:val="72"/>
              <w:bidi w:val="0"/>
              <w:rPr>
                <w:rFonts w:hint="eastAsia" w:ascii="宋体" w:hAnsi="宋体"/>
              </w:rPr>
            </w:pPr>
            <w:r>
              <w:rPr>
                <w:rFonts w:hint="eastAsia"/>
              </w:rPr>
              <w:t>院内污水处理站位于项目西南侧，位于所在地常年主</w:t>
            </w:r>
            <w:r>
              <w:rPr>
                <w:rFonts w:hint="eastAsia" w:ascii="宋体" w:hAnsi="宋体" w:cs="宋体"/>
              </w:rPr>
              <w:t>导风向下风向，加之</w:t>
            </w:r>
            <w:r>
              <w:rPr>
                <w:rFonts w:hint="eastAsia" w:ascii="宋体" w:hAnsi="宋体"/>
              </w:rPr>
              <w:t>采取全地埋式工艺，调节池等均加盖封闭并定期喷洒植物除臭剂，加强周边绿化等措施后，对大气环境及周边环境敏感点影响较小。</w:t>
            </w:r>
          </w:p>
          <w:p>
            <w:pPr>
              <w:adjustRightInd w:val="0"/>
              <w:snapToGrid w:val="0"/>
              <w:spacing w:line="360" w:lineRule="auto"/>
              <w:ind w:firstLine="482" w:firstLineChars="200"/>
              <w:rPr>
                <w:rFonts w:hint="eastAsia"/>
              </w:rPr>
            </w:pPr>
            <w:r>
              <w:rPr>
                <w:rFonts w:hint="eastAsia" w:ascii="宋体" w:hAnsi="宋体"/>
                <w:b/>
                <w:bCs/>
                <w:sz w:val="24"/>
              </w:rPr>
              <w:t>项目污水处理站臭气治理措施可行有效，对周边大气环境影响较小。</w:t>
            </w:r>
          </w:p>
          <w:p>
            <w:pPr>
              <w:pStyle w:val="72"/>
              <w:ind w:firstLine="480"/>
              <w:rPr>
                <w:rFonts w:hint="eastAsia"/>
              </w:rPr>
            </w:pPr>
            <w:r>
              <w:rPr>
                <w:rFonts w:hint="eastAsia"/>
                <w:lang w:val="en-US" w:eastAsia="zh-CN"/>
              </w:rPr>
              <w:t>2、</w:t>
            </w:r>
            <w:r>
              <w:rPr>
                <w:rFonts w:hint="eastAsia"/>
              </w:rPr>
              <w:t>食堂油烟</w:t>
            </w:r>
          </w:p>
          <w:p>
            <w:pPr>
              <w:pStyle w:val="72"/>
              <w:ind w:firstLine="480"/>
              <w:rPr>
                <w:rFonts w:hint="eastAsia"/>
              </w:rPr>
            </w:pPr>
            <w:r>
              <w:rPr>
                <w:rFonts w:hint="eastAsia"/>
              </w:rPr>
              <w:t>本项目在院区东北面设置食堂，供医院病人及医务人员饮食。食堂使用清洁能源天然气作为燃料，燃烧废气污染影响较小，主要污染因子为食堂油烟。本项目基准灶头数为2个，预计平均每天2</w:t>
            </w:r>
            <w:r>
              <w:rPr>
                <w:rFonts w:hint="eastAsia"/>
                <w:lang w:val="en-US" w:eastAsia="zh-CN"/>
              </w:rPr>
              <w:t>62</w:t>
            </w:r>
            <w:r>
              <w:rPr>
                <w:rFonts w:hint="eastAsia"/>
              </w:rPr>
              <w:t>人在医院就餐，根据调查食堂用油量平均按0.02kg/人·天计，则日耗油量为</w:t>
            </w:r>
            <w:r>
              <w:rPr>
                <w:rFonts w:hint="eastAsia"/>
                <w:lang w:val="en-US" w:eastAsia="zh-CN"/>
              </w:rPr>
              <w:t>5.24</w:t>
            </w:r>
            <w:r>
              <w:rPr>
                <w:rFonts w:hint="eastAsia"/>
              </w:rPr>
              <w:t>kg/d，年用油量约</w:t>
            </w:r>
            <w:r>
              <w:rPr>
                <w:rFonts w:hint="eastAsia"/>
                <w:lang w:val="en-US" w:eastAsia="zh-CN"/>
              </w:rPr>
              <w:t>1912.6</w:t>
            </w:r>
            <w:r>
              <w:rPr>
                <w:rFonts w:hint="eastAsia"/>
              </w:rPr>
              <w:t>kg/a。油的平均挥发量为总耗油的量的2.83%，经估算，本项目日产油烟量0.1</w:t>
            </w:r>
            <w:r>
              <w:rPr>
                <w:rFonts w:hint="eastAsia"/>
                <w:lang w:val="en-US" w:eastAsia="zh-CN"/>
              </w:rPr>
              <w:t>483</w:t>
            </w:r>
            <w:r>
              <w:rPr>
                <w:rFonts w:hint="eastAsia"/>
              </w:rPr>
              <w:t>kg/d，年产生油烟量为</w:t>
            </w:r>
            <w:r>
              <w:rPr>
                <w:rFonts w:hint="eastAsia"/>
                <w:lang w:val="en-US" w:eastAsia="zh-CN"/>
              </w:rPr>
              <w:t>54.1295</w:t>
            </w:r>
            <w:r>
              <w:rPr>
                <w:rFonts w:hint="eastAsia"/>
              </w:rPr>
              <w:t>kg/a。按日高峰期3小时计，则高峰期食堂产生油烟的量为油烟速率为0.04</w:t>
            </w:r>
            <w:r>
              <w:rPr>
                <w:rFonts w:hint="eastAsia"/>
                <w:lang w:val="en-US" w:eastAsia="zh-CN"/>
              </w:rPr>
              <w:t>94</w:t>
            </w:r>
            <w:r>
              <w:rPr>
                <w:rFonts w:hint="eastAsia"/>
              </w:rPr>
              <w:t>kg/h。</w:t>
            </w:r>
          </w:p>
          <w:p>
            <w:pPr>
              <w:pStyle w:val="72"/>
              <w:ind w:firstLine="480"/>
              <w:rPr>
                <w:rFonts w:hint="eastAsia"/>
              </w:rPr>
            </w:pPr>
            <w:r>
              <w:rPr>
                <w:rFonts w:hint="eastAsia"/>
              </w:rPr>
              <w:t>食堂油烟采用油烟净化器净化处理后屋顶排放。油烟净化器风机风量为3000m</w:t>
            </w:r>
            <w:r>
              <w:rPr>
                <w:rFonts w:hint="eastAsia"/>
                <w:vertAlign w:val="superscript"/>
              </w:rPr>
              <w:t>3</w:t>
            </w:r>
            <w:r>
              <w:rPr>
                <w:rFonts w:hint="eastAsia"/>
              </w:rPr>
              <w:t>/h，净化效率90%，则油烟排放浓度约为1.33mg/m</w:t>
            </w:r>
            <w:r>
              <w:rPr>
                <w:rFonts w:hint="eastAsia"/>
                <w:vertAlign w:val="superscript"/>
              </w:rPr>
              <w:t>3</w:t>
            </w:r>
            <w:r>
              <w:rPr>
                <w:rFonts w:hint="eastAsia"/>
              </w:rPr>
              <w:t>。参照《饮食业油烟排放标准》(GB18483-2001)，满足其中小型规模最高允许排放浓度2.0mg/m</w:t>
            </w:r>
            <w:r>
              <w:rPr>
                <w:rFonts w:hint="eastAsia"/>
                <w:vertAlign w:val="superscript"/>
              </w:rPr>
              <w:t>3</w:t>
            </w:r>
            <w:r>
              <w:rPr>
                <w:rFonts w:hint="eastAsia"/>
              </w:rPr>
              <w:t>的要求，</w:t>
            </w:r>
            <w:r>
              <w:rPr>
                <w:rFonts w:hint="eastAsia"/>
                <w:b/>
                <w:bCs/>
              </w:rPr>
              <w:t>对周围环境影响较小。</w:t>
            </w:r>
          </w:p>
          <w:p>
            <w:pPr>
              <w:pStyle w:val="72"/>
              <w:ind w:firstLine="480"/>
              <w:rPr>
                <w:rFonts w:hint="eastAsia"/>
              </w:rPr>
            </w:pPr>
            <w:r>
              <w:rPr>
                <w:rFonts w:hint="eastAsia"/>
                <w:lang w:val="en-US" w:eastAsia="zh-CN"/>
              </w:rPr>
              <w:t>3、</w:t>
            </w:r>
            <w:r>
              <w:rPr>
                <w:rFonts w:hint="eastAsia"/>
              </w:rPr>
              <w:t>备用发电机组废气</w:t>
            </w:r>
          </w:p>
          <w:p>
            <w:pPr>
              <w:pStyle w:val="72"/>
              <w:ind w:firstLine="480"/>
              <w:rPr>
                <w:rFonts w:hint="eastAsia"/>
              </w:rPr>
            </w:pPr>
            <w:r>
              <w:rPr>
                <w:rFonts w:hint="eastAsia"/>
              </w:rPr>
              <w:t>本项目于门诊楼</w:t>
            </w:r>
            <w:r>
              <w:rPr>
                <w:rFonts w:hint="eastAsia"/>
                <w:lang w:eastAsia="zh-CN"/>
              </w:rPr>
              <w:t>（</w:t>
            </w:r>
            <w:r>
              <w:rPr>
                <w:rFonts w:hint="eastAsia"/>
                <w:lang w:val="en-US" w:eastAsia="zh-CN"/>
              </w:rPr>
              <w:t>1号楼</w:t>
            </w:r>
            <w:r>
              <w:rPr>
                <w:rFonts w:hint="eastAsia"/>
                <w:lang w:eastAsia="zh-CN"/>
              </w:rPr>
              <w:t>）</w:t>
            </w:r>
            <w:r>
              <w:rPr>
                <w:rFonts w:hint="eastAsia"/>
              </w:rPr>
              <w:t>1层角落备用发电机房，设置一套100KW发电机组，运行时会产生SO</w:t>
            </w:r>
            <w:r>
              <w:rPr>
                <w:rFonts w:hint="eastAsia"/>
                <w:vertAlign w:val="subscript"/>
              </w:rPr>
              <w:t>2</w:t>
            </w:r>
            <w:r>
              <w:rPr>
                <w:rFonts w:hint="eastAsia"/>
              </w:rPr>
              <w:t>、CO、NO</w:t>
            </w:r>
            <w:r>
              <w:rPr>
                <w:rFonts w:hint="eastAsia"/>
                <w:vertAlign w:val="subscript"/>
              </w:rPr>
              <w:t>X</w:t>
            </w:r>
            <w:r>
              <w:rPr>
                <w:rFonts w:hint="eastAsia"/>
              </w:rPr>
              <w:t>、PM</w:t>
            </w:r>
            <w:r>
              <w:rPr>
                <w:rFonts w:hint="eastAsia"/>
                <w:vertAlign w:val="subscript"/>
              </w:rPr>
              <w:t>10</w:t>
            </w:r>
            <w:r>
              <w:rPr>
                <w:rFonts w:hint="eastAsia"/>
              </w:rPr>
              <w:t>等污染物，由发电机房专门排气孔排放。由于备用发电机组使用频率非常低，主要为意外电网线路故障所致，因此储油量较小，设计最大储存量约为0.1t。</w:t>
            </w:r>
          </w:p>
          <w:p>
            <w:pPr>
              <w:pStyle w:val="72"/>
              <w:ind w:firstLine="480"/>
              <w:rPr>
                <w:rFonts w:hint="eastAsia"/>
              </w:rPr>
            </w:pPr>
            <w:r>
              <w:rPr>
                <w:rFonts w:hint="eastAsia"/>
              </w:rPr>
              <w:t>发电机组运行时产生的污染物主要为烟尘、SO</w:t>
            </w:r>
            <w:r>
              <w:rPr>
                <w:rFonts w:hint="eastAsia"/>
                <w:vertAlign w:val="subscript"/>
              </w:rPr>
              <w:t>2</w:t>
            </w:r>
            <w:r>
              <w:rPr>
                <w:rFonts w:hint="eastAsia"/>
              </w:rPr>
              <w:t>、NOx等，发电机产生的烟气污染物排放量很少，且发电机使用几率小，因此，排放的废气对项目区及周边环境空气影响较小。</w:t>
            </w:r>
          </w:p>
          <w:p>
            <w:pPr>
              <w:pStyle w:val="72"/>
              <w:bidi w:val="0"/>
              <w:rPr>
                <w:rFonts w:hint="eastAsia"/>
              </w:rPr>
            </w:pPr>
            <w:r>
              <w:rPr>
                <w:rFonts w:hint="eastAsia"/>
                <w:lang w:val="en-US" w:eastAsia="zh-CN"/>
              </w:rPr>
              <w:t>4、</w:t>
            </w:r>
            <w:r>
              <w:rPr>
                <w:rFonts w:hint="eastAsia"/>
              </w:rPr>
              <w:t>天然气燃烧废气</w:t>
            </w:r>
          </w:p>
          <w:p>
            <w:pPr>
              <w:pStyle w:val="72"/>
              <w:ind w:firstLine="480"/>
              <w:rPr>
                <w:rFonts w:hint="eastAsia"/>
              </w:rPr>
            </w:pPr>
            <w:r>
              <w:rPr>
                <w:rFonts w:hint="eastAsia"/>
              </w:rPr>
              <w:t>项目食堂燃料为天然气，天然气属于清洁能源，燃烧后产生的污染物较少，不会对周边的环境产生较大的影响。</w:t>
            </w:r>
          </w:p>
          <w:p>
            <w:pPr>
              <w:pStyle w:val="72"/>
              <w:bidi w:val="0"/>
              <w:rPr>
                <w:rFonts w:hint="eastAsia"/>
                <w:szCs w:val="21"/>
                <w:lang w:bidi="ar"/>
              </w:rPr>
            </w:pPr>
            <w:r>
              <w:rPr>
                <w:rFonts w:hint="eastAsia"/>
                <w:sz w:val="24"/>
                <w:szCs w:val="32"/>
              </w:rPr>
              <w:t>项目运营期大</w:t>
            </w:r>
            <w:r>
              <w:rPr>
                <w:rFonts w:hint="eastAsia"/>
                <w:sz w:val="24"/>
                <w:lang w:bidi="ar"/>
              </w:rPr>
              <w:t>气污染物主要以无组织形式排放，本项目扩建完成后废气产排污治理情况如下：</w:t>
            </w:r>
          </w:p>
          <w:p>
            <w:pPr>
              <w:adjustRightInd w:val="0"/>
              <w:jc w:val="center"/>
              <w:rPr>
                <w:rFonts w:hint="eastAsia" w:eastAsia="宋体"/>
                <w:b/>
                <w:bCs/>
                <w:szCs w:val="21"/>
                <w:lang w:eastAsia="zh-CN" w:bidi="ar"/>
              </w:rPr>
            </w:pPr>
            <w:r>
              <w:rPr>
                <w:rFonts w:hint="eastAsia"/>
                <w:b/>
                <w:bCs/>
                <w:szCs w:val="21"/>
                <w:lang w:bidi="ar"/>
              </w:rPr>
              <w:t>表4</w:t>
            </w:r>
            <w:r>
              <w:rPr>
                <w:rFonts w:hint="eastAsia"/>
                <w:b/>
                <w:bCs/>
                <w:szCs w:val="21"/>
                <w:lang w:val="en-US" w:eastAsia="zh-CN" w:bidi="ar"/>
              </w:rPr>
              <w:t>-8</w:t>
            </w:r>
            <w:r>
              <w:rPr>
                <w:rFonts w:hint="eastAsia"/>
                <w:b/>
                <w:bCs/>
                <w:szCs w:val="21"/>
                <w:lang w:bidi="ar"/>
              </w:rPr>
              <w:t xml:space="preserve">  </w:t>
            </w:r>
            <w:r>
              <w:rPr>
                <w:rFonts w:hint="eastAsia"/>
                <w:b/>
                <w:bCs/>
                <w:szCs w:val="21"/>
                <w:lang w:eastAsia="zh-CN" w:bidi="ar"/>
              </w:rPr>
              <w:t>本项目建成后全院废气产排污情况一览表</w:t>
            </w:r>
          </w:p>
          <w:tbl>
            <w:tblPr>
              <w:tblStyle w:val="41"/>
              <w:tblW w:w="8176" w:type="dxa"/>
              <w:jc w:val="center"/>
              <w:tblBorders>
                <w:top w:val="single" w:color="auto" w:sz="2" w:space="0"/>
                <w:left w:val="none" w:color="auto" w:sz="0" w:space="0"/>
                <w:bottom w:val="sing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5"/>
              <w:gridCol w:w="979"/>
              <w:gridCol w:w="754"/>
              <w:gridCol w:w="1636"/>
              <w:gridCol w:w="1650"/>
              <w:gridCol w:w="1725"/>
              <w:gridCol w:w="1007"/>
            </w:tblGrid>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259" w:type="pct"/>
                  <w:vMerge w:val="restart"/>
                  <w:noWrap w:val="0"/>
                  <w:vAlign w:val="center"/>
                </w:tcPr>
                <w:p>
                  <w:pPr>
                    <w:adjustRightInd w:val="0"/>
                    <w:jc w:val="center"/>
                    <w:rPr>
                      <w:rFonts w:hint="eastAsia"/>
                      <w:b/>
                      <w:bCs/>
                      <w:szCs w:val="21"/>
                      <w:lang w:bidi="ar"/>
                    </w:rPr>
                  </w:pPr>
                  <w:r>
                    <w:rPr>
                      <w:rFonts w:hint="eastAsia"/>
                      <w:b/>
                      <w:bCs/>
                      <w:szCs w:val="21"/>
                      <w:lang w:bidi="ar"/>
                    </w:rPr>
                    <w:t>序号</w:t>
                  </w:r>
                </w:p>
              </w:tc>
              <w:tc>
                <w:tcPr>
                  <w:tcW w:w="598" w:type="pct"/>
                  <w:vMerge w:val="restart"/>
                  <w:noWrap w:val="0"/>
                  <w:vAlign w:val="center"/>
                </w:tcPr>
                <w:p>
                  <w:pPr>
                    <w:adjustRightInd w:val="0"/>
                    <w:jc w:val="center"/>
                    <w:rPr>
                      <w:rFonts w:hint="eastAsia"/>
                      <w:b/>
                      <w:bCs/>
                      <w:szCs w:val="21"/>
                      <w:lang w:bidi="ar"/>
                    </w:rPr>
                  </w:pPr>
                  <w:r>
                    <w:rPr>
                      <w:rFonts w:hint="eastAsia"/>
                      <w:b/>
                      <w:bCs/>
                      <w:szCs w:val="21"/>
                      <w:lang w:bidi="ar"/>
                    </w:rPr>
                    <w:t>污染物</w:t>
                  </w:r>
                </w:p>
              </w:tc>
              <w:tc>
                <w:tcPr>
                  <w:tcW w:w="461" w:type="pct"/>
                  <w:vMerge w:val="restart"/>
                  <w:noWrap w:val="0"/>
                  <w:vAlign w:val="center"/>
                </w:tcPr>
                <w:p>
                  <w:pPr>
                    <w:adjustRightInd w:val="0"/>
                    <w:jc w:val="center"/>
                    <w:rPr>
                      <w:rFonts w:hint="eastAsia" w:eastAsia="宋体"/>
                      <w:b/>
                      <w:bCs/>
                      <w:szCs w:val="21"/>
                      <w:lang w:eastAsia="zh-CN" w:bidi="ar"/>
                    </w:rPr>
                  </w:pPr>
                  <w:r>
                    <w:rPr>
                      <w:rFonts w:hint="eastAsia"/>
                      <w:b/>
                      <w:bCs/>
                      <w:szCs w:val="21"/>
                      <w:lang w:eastAsia="zh-CN" w:bidi="ar"/>
                    </w:rPr>
                    <w:t>排放形式</w:t>
                  </w:r>
                </w:p>
              </w:tc>
              <w:tc>
                <w:tcPr>
                  <w:tcW w:w="1000" w:type="pct"/>
                  <w:vMerge w:val="restart"/>
                  <w:noWrap w:val="0"/>
                  <w:vAlign w:val="center"/>
                </w:tcPr>
                <w:p>
                  <w:pPr>
                    <w:adjustRightInd w:val="0"/>
                    <w:jc w:val="center"/>
                    <w:rPr>
                      <w:rFonts w:hint="eastAsia"/>
                      <w:b/>
                      <w:bCs/>
                      <w:szCs w:val="21"/>
                      <w:lang w:bidi="ar"/>
                    </w:rPr>
                  </w:pPr>
                  <w:r>
                    <w:rPr>
                      <w:rFonts w:hint="eastAsia"/>
                      <w:b/>
                      <w:bCs/>
                      <w:szCs w:val="21"/>
                      <w:lang w:bidi="ar"/>
                    </w:rPr>
                    <w:t>主要污染防治措施</w:t>
                  </w:r>
                </w:p>
              </w:tc>
              <w:tc>
                <w:tcPr>
                  <w:tcW w:w="2063" w:type="pct"/>
                  <w:gridSpan w:val="2"/>
                  <w:noWrap w:val="0"/>
                  <w:vAlign w:val="center"/>
                </w:tcPr>
                <w:p>
                  <w:pPr>
                    <w:adjustRightInd w:val="0"/>
                    <w:jc w:val="center"/>
                    <w:rPr>
                      <w:rFonts w:hint="eastAsia"/>
                      <w:b/>
                      <w:bCs/>
                      <w:szCs w:val="21"/>
                      <w:lang w:bidi="ar"/>
                    </w:rPr>
                  </w:pPr>
                  <w:r>
                    <w:rPr>
                      <w:rFonts w:hint="eastAsia"/>
                      <w:b/>
                      <w:bCs/>
                      <w:szCs w:val="21"/>
                      <w:lang w:bidi="ar"/>
                    </w:rPr>
                    <w:t>国家或地方污染物排放标准</w:t>
                  </w:r>
                </w:p>
              </w:tc>
              <w:tc>
                <w:tcPr>
                  <w:tcW w:w="615" w:type="pct"/>
                  <w:vMerge w:val="restart"/>
                  <w:noWrap w:val="0"/>
                  <w:vAlign w:val="center"/>
                </w:tcPr>
                <w:p>
                  <w:pPr>
                    <w:adjustRightInd w:val="0"/>
                    <w:jc w:val="center"/>
                    <w:rPr>
                      <w:rFonts w:hint="eastAsia"/>
                      <w:b/>
                      <w:bCs/>
                      <w:szCs w:val="21"/>
                      <w:lang w:bidi="ar"/>
                    </w:rPr>
                  </w:pPr>
                  <w:r>
                    <w:rPr>
                      <w:rFonts w:hint="eastAsia"/>
                      <w:b/>
                      <w:bCs/>
                      <w:szCs w:val="21"/>
                      <w:lang w:bidi="ar"/>
                    </w:rPr>
                    <w:t>年排放量t/a</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259" w:type="pct"/>
                  <w:vMerge w:val="continue"/>
                  <w:noWrap w:val="0"/>
                  <w:vAlign w:val="center"/>
                </w:tcPr>
                <w:p>
                  <w:pPr>
                    <w:adjustRightInd w:val="0"/>
                    <w:jc w:val="center"/>
                    <w:rPr>
                      <w:rFonts w:hint="eastAsia"/>
                      <w:szCs w:val="21"/>
                      <w:lang w:bidi="ar"/>
                    </w:rPr>
                  </w:pPr>
                </w:p>
              </w:tc>
              <w:tc>
                <w:tcPr>
                  <w:tcW w:w="598" w:type="pct"/>
                  <w:vMerge w:val="continue"/>
                  <w:noWrap w:val="0"/>
                  <w:vAlign w:val="center"/>
                </w:tcPr>
                <w:p>
                  <w:pPr>
                    <w:adjustRightInd w:val="0"/>
                    <w:jc w:val="center"/>
                    <w:rPr>
                      <w:rFonts w:hint="eastAsia"/>
                      <w:szCs w:val="21"/>
                      <w:lang w:bidi="ar"/>
                    </w:rPr>
                  </w:pPr>
                </w:p>
              </w:tc>
              <w:tc>
                <w:tcPr>
                  <w:tcW w:w="461" w:type="pct"/>
                  <w:vMerge w:val="continue"/>
                  <w:noWrap w:val="0"/>
                  <w:vAlign w:val="center"/>
                </w:tcPr>
                <w:p>
                  <w:pPr>
                    <w:adjustRightInd w:val="0"/>
                    <w:jc w:val="center"/>
                    <w:rPr>
                      <w:rFonts w:hint="eastAsia"/>
                      <w:szCs w:val="21"/>
                      <w:lang w:bidi="ar"/>
                    </w:rPr>
                  </w:pPr>
                </w:p>
              </w:tc>
              <w:tc>
                <w:tcPr>
                  <w:tcW w:w="1000" w:type="pct"/>
                  <w:vMerge w:val="continue"/>
                  <w:noWrap w:val="0"/>
                  <w:vAlign w:val="center"/>
                </w:tcPr>
                <w:p>
                  <w:pPr>
                    <w:adjustRightInd w:val="0"/>
                    <w:jc w:val="center"/>
                    <w:rPr>
                      <w:rFonts w:hint="eastAsia"/>
                      <w:szCs w:val="21"/>
                      <w:lang w:bidi="ar"/>
                    </w:rPr>
                  </w:pPr>
                </w:p>
              </w:tc>
              <w:tc>
                <w:tcPr>
                  <w:tcW w:w="1009" w:type="pct"/>
                  <w:noWrap w:val="0"/>
                  <w:vAlign w:val="center"/>
                </w:tcPr>
                <w:p>
                  <w:pPr>
                    <w:adjustRightInd w:val="0"/>
                    <w:jc w:val="center"/>
                    <w:rPr>
                      <w:rFonts w:hint="eastAsia"/>
                      <w:b/>
                      <w:bCs/>
                      <w:szCs w:val="21"/>
                      <w:lang w:bidi="ar"/>
                    </w:rPr>
                  </w:pPr>
                  <w:r>
                    <w:rPr>
                      <w:rFonts w:hint="eastAsia"/>
                      <w:b/>
                      <w:bCs/>
                      <w:szCs w:val="21"/>
                      <w:lang w:bidi="ar"/>
                    </w:rPr>
                    <w:t>标准名称</w:t>
                  </w:r>
                </w:p>
              </w:tc>
              <w:tc>
                <w:tcPr>
                  <w:tcW w:w="1054" w:type="pct"/>
                  <w:noWrap w:val="0"/>
                  <w:vAlign w:val="center"/>
                </w:tcPr>
                <w:p>
                  <w:pPr>
                    <w:adjustRightInd w:val="0"/>
                    <w:jc w:val="center"/>
                    <w:rPr>
                      <w:rFonts w:hint="eastAsia"/>
                      <w:b/>
                      <w:bCs/>
                      <w:szCs w:val="21"/>
                      <w:lang w:bidi="ar"/>
                    </w:rPr>
                  </w:pPr>
                  <w:r>
                    <w:rPr>
                      <w:rFonts w:hint="eastAsia"/>
                      <w:b/>
                      <w:bCs/>
                      <w:szCs w:val="21"/>
                      <w:lang w:bidi="ar"/>
                    </w:rPr>
                    <w:t>浓度限值mg/m</w:t>
                  </w:r>
                  <w:r>
                    <w:rPr>
                      <w:rFonts w:hint="eastAsia"/>
                      <w:b/>
                      <w:bCs/>
                      <w:szCs w:val="21"/>
                      <w:vertAlign w:val="superscript"/>
                      <w:lang w:bidi="ar"/>
                    </w:rPr>
                    <w:t>3</w:t>
                  </w:r>
                </w:p>
              </w:tc>
              <w:tc>
                <w:tcPr>
                  <w:tcW w:w="615" w:type="pct"/>
                  <w:vMerge w:val="continue"/>
                  <w:noWrap w:val="0"/>
                  <w:vAlign w:val="center"/>
                </w:tcPr>
                <w:p>
                  <w:pPr>
                    <w:adjustRightInd w:val="0"/>
                    <w:jc w:val="center"/>
                    <w:rPr>
                      <w:rFonts w:hint="eastAsia"/>
                      <w:szCs w:val="21"/>
                      <w:lang w:bidi="ar"/>
                    </w:rPr>
                  </w:pP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1" w:hRule="atLeast"/>
                <w:jc w:val="center"/>
              </w:trPr>
              <w:tc>
                <w:tcPr>
                  <w:tcW w:w="259" w:type="pct"/>
                  <w:noWrap w:val="0"/>
                  <w:vAlign w:val="center"/>
                </w:tcPr>
                <w:p>
                  <w:pPr>
                    <w:adjustRightInd w:val="0"/>
                    <w:jc w:val="center"/>
                    <w:rPr>
                      <w:rFonts w:hint="eastAsia"/>
                      <w:szCs w:val="21"/>
                      <w:lang w:bidi="ar"/>
                    </w:rPr>
                  </w:pPr>
                  <w:r>
                    <w:rPr>
                      <w:rFonts w:hint="eastAsia"/>
                      <w:szCs w:val="21"/>
                      <w:lang w:bidi="ar"/>
                    </w:rPr>
                    <w:t>1</w:t>
                  </w:r>
                </w:p>
              </w:tc>
              <w:tc>
                <w:tcPr>
                  <w:tcW w:w="598" w:type="pct"/>
                  <w:noWrap w:val="0"/>
                  <w:vAlign w:val="center"/>
                </w:tcPr>
                <w:p>
                  <w:pPr>
                    <w:adjustRightInd w:val="0"/>
                    <w:jc w:val="center"/>
                    <w:rPr>
                      <w:rFonts w:hint="eastAsia"/>
                      <w:szCs w:val="21"/>
                      <w:lang w:bidi="ar"/>
                    </w:rPr>
                  </w:pPr>
                  <w:r>
                    <w:rPr>
                      <w:rFonts w:hint="eastAsia"/>
                      <w:szCs w:val="21"/>
                      <w:lang w:bidi="ar"/>
                    </w:rPr>
                    <w:t>氨气</w:t>
                  </w:r>
                </w:p>
              </w:tc>
              <w:tc>
                <w:tcPr>
                  <w:tcW w:w="461" w:type="pct"/>
                  <w:vMerge w:val="restart"/>
                  <w:noWrap w:val="0"/>
                  <w:vAlign w:val="center"/>
                </w:tcPr>
                <w:p>
                  <w:pPr>
                    <w:adjustRightInd w:val="0"/>
                    <w:jc w:val="center"/>
                    <w:rPr>
                      <w:rFonts w:hint="eastAsia" w:eastAsia="宋体"/>
                      <w:szCs w:val="21"/>
                      <w:lang w:eastAsia="zh-CN" w:bidi="ar"/>
                    </w:rPr>
                  </w:pPr>
                  <w:r>
                    <w:rPr>
                      <w:rFonts w:hint="eastAsia"/>
                      <w:szCs w:val="21"/>
                      <w:lang w:eastAsia="zh-CN" w:bidi="ar"/>
                    </w:rPr>
                    <w:t>无组织</w:t>
                  </w:r>
                </w:p>
              </w:tc>
              <w:tc>
                <w:tcPr>
                  <w:tcW w:w="1000" w:type="pct"/>
                  <w:vMerge w:val="restart"/>
                  <w:noWrap w:val="0"/>
                  <w:vAlign w:val="center"/>
                </w:tcPr>
                <w:p>
                  <w:pPr>
                    <w:adjustRightInd w:val="0"/>
                    <w:jc w:val="center"/>
                    <w:rPr>
                      <w:rFonts w:hint="eastAsia"/>
                      <w:szCs w:val="21"/>
                      <w:lang w:bidi="ar"/>
                    </w:rPr>
                  </w:pPr>
                  <w:r>
                    <w:rPr>
                      <w:rFonts w:hint="eastAsia"/>
                      <w:szCs w:val="21"/>
                      <w:lang w:bidi="ar"/>
                    </w:rPr>
                    <w:t>污水处理站采取全地埋式工艺，调节池等均加盖封闭并定期喷洒植物除臭剂，加强周边绿化等措施</w:t>
                  </w:r>
                </w:p>
              </w:tc>
              <w:tc>
                <w:tcPr>
                  <w:tcW w:w="1009" w:type="pct"/>
                  <w:vMerge w:val="restart"/>
                  <w:noWrap w:val="0"/>
                  <w:vAlign w:val="center"/>
                </w:tcPr>
                <w:p>
                  <w:pPr>
                    <w:adjustRightInd w:val="0"/>
                    <w:jc w:val="center"/>
                    <w:rPr>
                      <w:rFonts w:hint="eastAsia"/>
                      <w:szCs w:val="21"/>
                      <w:lang w:bidi="ar"/>
                    </w:rPr>
                  </w:pPr>
                  <w:r>
                    <w:rPr>
                      <w:rFonts w:hint="eastAsia"/>
                      <w:szCs w:val="21"/>
                      <w:lang w:bidi="ar"/>
                    </w:rPr>
                    <w:t>《医疗机构水污染物排放标准》（GB1846-2005）表3污水处理站周边大气污染物最高允许浓度</w:t>
                  </w:r>
                </w:p>
              </w:tc>
              <w:tc>
                <w:tcPr>
                  <w:tcW w:w="1054" w:type="pct"/>
                  <w:noWrap w:val="0"/>
                  <w:vAlign w:val="center"/>
                </w:tcPr>
                <w:p>
                  <w:pPr>
                    <w:adjustRightInd w:val="0"/>
                    <w:jc w:val="center"/>
                    <w:rPr>
                      <w:szCs w:val="21"/>
                      <w:lang w:bidi="ar"/>
                    </w:rPr>
                  </w:pPr>
                  <w:r>
                    <w:rPr>
                      <w:rFonts w:hint="eastAsia"/>
                      <w:szCs w:val="21"/>
                      <w:lang w:bidi="ar"/>
                    </w:rPr>
                    <w:t>1.0</w:t>
                  </w:r>
                </w:p>
              </w:tc>
              <w:tc>
                <w:tcPr>
                  <w:tcW w:w="615" w:type="pct"/>
                  <w:noWrap w:val="0"/>
                  <w:vAlign w:val="center"/>
                </w:tcPr>
                <w:p>
                  <w:pPr>
                    <w:adjustRightInd w:val="0"/>
                    <w:jc w:val="center"/>
                    <w:rPr>
                      <w:szCs w:val="21"/>
                      <w:lang w:bidi="ar"/>
                    </w:rPr>
                  </w:pPr>
                  <w:r>
                    <w:rPr>
                      <w:rFonts w:hint="eastAsia"/>
                      <w:szCs w:val="21"/>
                      <w:lang w:bidi="ar"/>
                    </w:rPr>
                    <w:t>0.00248</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5" w:hRule="atLeast"/>
                <w:jc w:val="center"/>
              </w:trPr>
              <w:tc>
                <w:tcPr>
                  <w:tcW w:w="259" w:type="pct"/>
                  <w:noWrap w:val="0"/>
                  <w:vAlign w:val="center"/>
                </w:tcPr>
                <w:p>
                  <w:pPr>
                    <w:adjustRightInd w:val="0"/>
                    <w:jc w:val="center"/>
                    <w:rPr>
                      <w:rFonts w:hint="eastAsia"/>
                      <w:szCs w:val="21"/>
                      <w:lang w:bidi="ar"/>
                    </w:rPr>
                  </w:pPr>
                  <w:r>
                    <w:rPr>
                      <w:rFonts w:hint="eastAsia"/>
                      <w:szCs w:val="21"/>
                      <w:lang w:bidi="ar"/>
                    </w:rPr>
                    <w:t>2</w:t>
                  </w:r>
                </w:p>
              </w:tc>
              <w:tc>
                <w:tcPr>
                  <w:tcW w:w="598" w:type="pct"/>
                  <w:noWrap w:val="0"/>
                  <w:vAlign w:val="center"/>
                </w:tcPr>
                <w:p>
                  <w:pPr>
                    <w:adjustRightInd w:val="0"/>
                    <w:jc w:val="center"/>
                    <w:rPr>
                      <w:rFonts w:hint="eastAsia"/>
                      <w:szCs w:val="21"/>
                      <w:lang w:bidi="ar"/>
                    </w:rPr>
                  </w:pPr>
                  <w:r>
                    <w:rPr>
                      <w:rFonts w:hint="eastAsia"/>
                      <w:szCs w:val="21"/>
                      <w:lang w:bidi="ar"/>
                    </w:rPr>
                    <w:t>硫化氢</w:t>
                  </w:r>
                </w:p>
              </w:tc>
              <w:tc>
                <w:tcPr>
                  <w:tcW w:w="461" w:type="pct"/>
                  <w:vMerge w:val="continue"/>
                  <w:noWrap w:val="0"/>
                  <w:vAlign w:val="center"/>
                </w:tcPr>
                <w:p>
                  <w:pPr>
                    <w:adjustRightInd w:val="0"/>
                    <w:jc w:val="center"/>
                    <w:rPr>
                      <w:rFonts w:hint="eastAsia"/>
                      <w:szCs w:val="21"/>
                      <w:lang w:bidi="ar"/>
                    </w:rPr>
                  </w:pPr>
                </w:p>
              </w:tc>
              <w:tc>
                <w:tcPr>
                  <w:tcW w:w="1000" w:type="pct"/>
                  <w:vMerge w:val="continue"/>
                  <w:noWrap w:val="0"/>
                  <w:vAlign w:val="center"/>
                </w:tcPr>
                <w:p>
                  <w:pPr>
                    <w:adjustRightInd w:val="0"/>
                    <w:jc w:val="center"/>
                    <w:rPr>
                      <w:rFonts w:hint="eastAsia"/>
                      <w:szCs w:val="21"/>
                      <w:lang w:bidi="ar"/>
                    </w:rPr>
                  </w:pPr>
                </w:p>
              </w:tc>
              <w:tc>
                <w:tcPr>
                  <w:tcW w:w="1009" w:type="pct"/>
                  <w:vMerge w:val="continue"/>
                  <w:noWrap w:val="0"/>
                  <w:vAlign w:val="center"/>
                </w:tcPr>
                <w:p>
                  <w:pPr>
                    <w:adjustRightInd w:val="0"/>
                    <w:jc w:val="center"/>
                    <w:rPr>
                      <w:rFonts w:hint="eastAsia"/>
                      <w:szCs w:val="21"/>
                      <w:lang w:bidi="ar"/>
                    </w:rPr>
                  </w:pPr>
                </w:p>
              </w:tc>
              <w:tc>
                <w:tcPr>
                  <w:tcW w:w="1054" w:type="pct"/>
                  <w:noWrap w:val="0"/>
                  <w:vAlign w:val="center"/>
                </w:tcPr>
                <w:p>
                  <w:pPr>
                    <w:adjustRightInd w:val="0"/>
                    <w:jc w:val="center"/>
                    <w:rPr>
                      <w:szCs w:val="21"/>
                      <w:lang w:bidi="ar"/>
                    </w:rPr>
                  </w:pPr>
                  <w:r>
                    <w:rPr>
                      <w:rFonts w:hint="eastAsia"/>
                      <w:szCs w:val="21"/>
                      <w:lang w:bidi="ar"/>
                    </w:rPr>
                    <w:t>0.03</w:t>
                  </w:r>
                </w:p>
              </w:tc>
              <w:tc>
                <w:tcPr>
                  <w:tcW w:w="615" w:type="pct"/>
                  <w:noWrap w:val="0"/>
                  <w:vAlign w:val="center"/>
                </w:tcPr>
                <w:p>
                  <w:pPr>
                    <w:adjustRightInd w:val="0"/>
                    <w:jc w:val="center"/>
                    <w:rPr>
                      <w:szCs w:val="21"/>
                      <w:lang w:bidi="ar"/>
                    </w:rPr>
                  </w:pPr>
                  <w:r>
                    <w:rPr>
                      <w:szCs w:val="21"/>
                      <w:lang w:bidi="ar"/>
                    </w:rPr>
                    <w:t>0.0000</w:t>
                  </w:r>
                  <w:r>
                    <w:rPr>
                      <w:rFonts w:hint="eastAsia"/>
                      <w:szCs w:val="21"/>
                      <w:lang w:bidi="ar"/>
                    </w:rPr>
                    <w:t>96</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8" w:hRule="atLeast"/>
                <w:jc w:val="center"/>
              </w:trPr>
              <w:tc>
                <w:tcPr>
                  <w:tcW w:w="259" w:type="pct"/>
                  <w:noWrap w:val="0"/>
                  <w:vAlign w:val="center"/>
                </w:tcPr>
                <w:p>
                  <w:pPr>
                    <w:adjustRightInd w:val="0"/>
                    <w:jc w:val="center"/>
                    <w:rPr>
                      <w:rFonts w:hint="eastAsia"/>
                      <w:szCs w:val="21"/>
                      <w:lang w:bidi="ar"/>
                    </w:rPr>
                  </w:pPr>
                  <w:r>
                    <w:rPr>
                      <w:rFonts w:hint="eastAsia"/>
                      <w:szCs w:val="21"/>
                      <w:lang w:bidi="ar"/>
                    </w:rPr>
                    <w:t>3</w:t>
                  </w:r>
                </w:p>
              </w:tc>
              <w:tc>
                <w:tcPr>
                  <w:tcW w:w="598" w:type="pct"/>
                  <w:noWrap w:val="0"/>
                  <w:vAlign w:val="center"/>
                </w:tcPr>
                <w:p>
                  <w:pPr>
                    <w:adjustRightInd w:val="0"/>
                    <w:jc w:val="center"/>
                    <w:rPr>
                      <w:rFonts w:hint="eastAsia"/>
                      <w:szCs w:val="21"/>
                      <w:lang w:bidi="ar"/>
                    </w:rPr>
                  </w:pPr>
                  <w:r>
                    <w:rPr>
                      <w:rFonts w:hint="eastAsia"/>
                      <w:szCs w:val="21"/>
                      <w:lang w:bidi="ar"/>
                    </w:rPr>
                    <w:t>食堂油烟</w:t>
                  </w:r>
                </w:p>
              </w:tc>
              <w:tc>
                <w:tcPr>
                  <w:tcW w:w="461" w:type="pct"/>
                  <w:noWrap w:val="0"/>
                  <w:vAlign w:val="center"/>
                </w:tcPr>
                <w:p>
                  <w:pPr>
                    <w:adjustRightInd w:val="0"/>
                    <w:jc w:val="center"/>
                    <w:rPr>
                      <w:rFonts w:hint="eastAsia"/>
                      <w:szCs w:val="21"/>
                      <w:lang w:bidi="ar"/>
                    </w:rPr>
                  </w:pPr>
                  <w:r>
                    <w:rPr>
                      <w:rFonts w:hint="eastAsia"/>
                      <w:szCs w:val="21"/>
                      <w:lang w:eastAsia="zh-CN" w:bidi="ar"/>
                    </w:rPr>
                    <w:t>无组织</w:t>
                  </w:r>
                </w:p>
              </w:tc>
              <w:tc>
                <w:tcPr>
                  <w:tcW w:w="1000" w:type="pct"/>
                  <w:noWrap w:val="0"/>
                  <w:vAlign w:val="center"/>
                </w:tcPr>
                <w:p>
                  <w:pPr>
                    <w:adjustRightInd w:val="0"/>
                    <w:jc w:val="center"/>
                    <w:rPr>
                      <w:rFonts w:hint="eastAsia"/>
                      <w:szCs w:val="21"/>
                      <w:lang w:bidi="ar"/>
                    </w:rPr>
                  </w:pPr>
                  <w:r>
                    <w:rPr>
                      <w:rFonts w:hint="eastAsia"/>
                      <w:szCs w:val="21"/>
                      <w:lang w:bidi="ar"/>
                    </w:rPr>
                    <w:t>采用90%净化率油烟净化器净化后，通过烟道屋顶排放</w:t>
                  </w:r>
                </w:p>
              </w:tc>
              <w:tc>
                <w:tcPr>
                  <w:tcW w:w="1009" w:type="pct"/>
                  <w:noWrap w:val="0"/>
                  <w:vAlign w:val="center"/>
                </w:tcPr>
                <w:p>
                  <w:pPr>
                    <w:adjustRightInd w:val="0"/>
                    <w:jc w:val="center"/>
                    <w:rPr>
                      <w:rFonts w:hint="eastAsia"/>
                      <w:szCs w:val="21"/>
                      <w:lang w:bidi="ar"/>
                    </w:rPr>
                  </w:pPr>
                  <w:r>
                    <w:rPr>
                      <w:rFonts w:hint="eastAsia"/>
                      <w:szCs w:val="21"/>
                      <w:lang w:bidi="ar"/>
                    </w:rPr>
                    <w:t>《饮食业油烟排放标准》(GB18483-2001)小型规模最高允许排放浓度</w:t>
                  </w:r>
                </w:p>
              </w:tc>
              <w:tc>
                <w:tcPr>
                  <w:tcW w:w="1054" w:type="pct"/>
                  <w:noWrap w:val="0"/>
                  <w:vAlign w:val="center"/>
                </w:tcPr>
                <w:p>
                  <w:pPr>
                    <w:adjustRightInd w:val="0"/>
                    <w:jc w:val="center"/>
                    <w:rPr>
                      <w:szCs w:val="21"/>
                      <w:lang w:bidi="ar"/>
                    </w:rPr>
                  </w:pPr>
                  <w:r>
                    <w:rPr>
                      <w:rFonts w:hint="eastAsia"/>
                      <w:szCs w:val="21"/>
                      <w:lang w:bidi="ar"/>
                    </w:rPr>
                    <w:t>2.0</w:t>
                  </w:r>
                </w:p>
              </w:tc>
              <w:tc>
                <w:tcPr>
                  <w:tcW w:w="615" w:type="pct"/>
                  <w:noWrap w:val="0"/>
                  <w:vAlign w:val="center"/>
                </w:tcPr>
                <w:p>
                  <w:pPr>
                    <w:adjustRightInd w:val="0"/>
                    <w:jc w:val="center"/>
                    <w:rPr>
                      <w:rFonts w:hint="default" w:eastAsia="宋体"/>
                      <w:szCs w:val="21"/>
                      <w:lang w:val="en-US" w:eastAsia="zh-CN" w:bidi="ar"/>
                    </w:rPr>
                  </w:pPr>
                  <w:r>
                    <w:rPr>
                      <w:rFonts w:hint="eastAsia"/>
                      <w:szCs w:val="21"/>
                      <w:lang w:bidi="ar"/>
                    </w:rPr>
                    <w:t>0.00</w:t>
                  </w:r>
                  <w:r>
                    <w:rPr>
                      <w:rFonts w:hint="eastAsia"/>
                      <w:szCs w:val="21"/>
                      <w:lang w:val="en-US" w:eastAsia="zh-CN" w:bidi="ar"/>
                    </w:rPr>
                    <w:t>54</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259" w:type="pct"/>
                  <w:noWrap w:val="0"/>
                  <w:vAlign w:val="center"/>
                </w:tcPr>
                <w:p>
                  <w:pPr>
                    <w:adjustRightInd w:val="0"/>
                    <w:jc w:val="center"/>
                    <w:rPr>
                      <w:szCs w:val="21"/>
                      <w:lang w:bidi="ar"/>
                    </w:rPr>
                  </w:pPr>
                  <w:r>
                    <w:rPr>
                      <w:rFonts w:hint="eastAsia"/>
                      <w:szCs w:val="21"/>
                      <w:lang w:bidi="ar"/>
                    </w:rPr>
                    <w:t>4</w:t>
                  </w:r>
                </w:p>
              </w:tc>
              <w:tc>
                <w:tcPr>
                  <w:tcW w:w="598" w:type="pct"/>
                  <w:noWrap w:val="0"/>
                  <w:vAlign w:val="center"/>
                </w:tcPr>
                <w:p>
                  <w:pPr>
                    <w:adjustRightInd w:val="0"/>
                    <w:jc w:val="center"/>
                    <w:rPr>
                      <w:rFonts w:hint="eastAsia"/>
                      <w:szCs w:val="21"/>
                      <w:lang w:bidi="ar"/>
                    </w:rPr>
                  </w:pPr>
                  <w:r>
                    <w:rPr>
                      <w:rFonts w:hint="eastAsia"/>
                      <w:szCs w:val="21"/>
                      <w:lang w:bidi="ar"/>
                    </w:rPr>
                    <w:t>备用发电机组废气</w:t>
                  </w:r>
                </w:p>
              </w:tc>
              <w:tc>
                <w:tcPr>
                  <w:tcW w:w="461" w:type="pct"/>
                  <w:noWrap w:val="0"/>
                  <w:vAlign w:val="center"/>
                </w:tcPr>
                <w:p>
                  <w:pPr>
                    <w:adjustRightInd w:val="0"/>
                    <w:jc w:val="center"/>
                    <w:rPr>
                      <w:rFonts w:hint="eastAsia"/>
                      <w:szCs w:val="21"/>
                      <w:lang w:bidi="ar"/>
                    </w:rPr>
                  </w:pPr>
                  <w:r>
                    <w:rPr>
                      <w:rFonts w:hint="eastAsia"/>
                      <w:szCs w:val="21"/>
                      <w:lang w:eastAsia="zh-CN" w:bidi="ar"/>
                    </w:rPr>
                    <w:t>无组织</w:t>
                  </w:r>
                </w:p>
              </w:tc>
              <w:tc>
                <w:tcPr>
                  <w:tcW w:w="1000" w:type="pct"/>
                  <w:noWrap w:val="0"/>
                  <w:vAlign w:val="center"/>
                </w:tcPr>
                <w:p>
                  <w:pPr>
                    <w:adjustRightInd w:val="0"/>
                    <w:jc w:val="center"/>
                    <w:rPr>
                      <w:rFonts w:hint="eastAsia"/>
                      <w:szCs w:val="21"/>
                      <w:lang w:bidi="ar"/>
                    </w:rPr>
                  </w:pPr>
                  <w:r>
                    <w:rPr>
                      <w:rFonts w:hint="eastAsia"/>
                      <w:szCs w:val="21"/>
                      <w:lang w:bidi="ar"/>
                    </w:rPr>
                    <w:t>排气孔排放</w:t>
                  </w:r>
                </w:p>
              </w:tc>
              <w:tc>
                <w:tcPr>
                  <w:tcW w:w="1009" w:type="pct"/>
                  <w:noWrap w:val="0"/>
                  <w:vAlign w:val="center"/>
                </w:tcPr>
                <w:p>
                  <w:pPr>
                    <w:adjustRightInd w:val="0"/>
                    <w:jc w:val="center"/>
                    <w:rPr>
                      <w:rFonts w:hint="eastAsia"/>
                      <w:szCs w:val="21"/>
                      <w:lang w:bidi="ar"/>
                    </w:rPr>
                  </w:pPr>
                  <w:r>
                    <w:rPr>
                      <w:rFonts w:hint="eastAsia"/>
                      <w:szCs w:val="21"/>
                      <w:lang w:bidi="ar"/>
                    </w:rPr>
                    <w:t>/</w:t>
                  </w:r>
                </w:p>
              </w:tc>
              <w:tc>
                <w:tcPr>
                  <w:tcW w:w="1054" w:type="pct"/>
                  <w:noWrap w:val="0"/>
                  <w:vAlign w:val="center"/>
                </w:tcPr>
                <w:p>
                  <w:pPr>
                    <w:adjustRightInd w:val="0"/>
                    <w:jc w:val="center"/>
                    <w:rPr>
                      <w:rFonts w:hint="eastAsia"/>
                      <w:szCs w:val="21"/>
                      <w:lang w:bidi="ar"/>
                    </w:rPr>
                  </w:pPr>
                  <w:r>
                    <w:rPr>
                      <w:rFonts w:hint="eastAsia"/>
                      <w:szCs w:val="21"/>
                      <w:lang w:bidi="ar"/>
                    </w:rPr>
                    <w:t>/</w:t>
                  </w:r>
                </w:p>
              </w:tc>
              <w:tc>
                <w:tcPr>
                  <w:tcW w:w="615" w:type="pct"/>
                  <w:noWrap w:val="0"/>
                  <w:vAlign w:val="center"/>
                </w:tcPr>
                <w:p>
                  <w:pPr>
                    <w:adjustRightInd w:val="0"/>
                    <w:jc w:val="center"/>
                    <w:rPr>
                      <w:szCs w:val="21"/>
                      <w:lang w:bidi="ar"/>
                    </w:rPr>
                  </w:pPr>
                  <w:r>
                    <w:rPr>
                      <w:rFonts w:hint="eastAsia"/>
                      <w:szCs w:val="21"/>
                      <w:lang w:bidi="ar"/>
                    </w:rPr>
                    <w:t>少量</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7" w:hRule="atLeast"/>
                <w:jc w:val="center"/>
              </w:trPr>
              <w:tc>
                <w:tcPr>
                  <w:tcW w:w="259" w:type="pct"/>
                  <w:noWrap w:val="0"/>
                  <w:vAlign w:val="center"/>
                </w:tcPr>
                <w:p>
                  <w:pPr>
                    <w:adjustRightInd w:val="0"/>
                    <w:jc w:val="center"/>
                    <w:rPr>
                      <w:szCs w:val="21"/>
                      <w:lang w:bidi="ar"/>
                    </w:rPr>
                  </w:pPr>
                  <w:r>
                    <w:rPr>
                      <w:rFonts w:hint="eastAsia"/>
                      <w:szCs w:val="21"/>
                      <w:lang w:bidi="ar"/>
                    </w:rPr>
                    <w:t>5</w:t>
                  </w:r>
                </w:p>
              </w:tc>
              <w:tc>
                <w:tcPr>
                  <w:tcW w:w="598" w:type="pct"/>
                  <w:noWrap w:val="0"/>
                  <w:vAlign w:val="center"/>
                </w:tcPr>
                <w:p>
                  <w:pPr>
                    <w:adjustRightInd w:val="0"/>
                    <w:jc w:val="center"/>
                    <w:rPr>
                      <w:rFonts w:hint="eastAsia"/>
                      <w:szCs w:val="21"/>
                      <w:lang w:bidi="ar"/>
                    </w:rPr>
                  </w:pPr>
                  <w:r>
                    <w:rPr>
                      <w:rFonts w:hint="eastAsia"/>
                      <w:szCs w:val="21"/>
                      <w:lang w:bidi="ar"/>
                    </w:rPr>
                    <w:t>天然气燃烧废气</w:t>
                  </w:r>
                </w:p>
              </w:tc>
              <w:tc>
                <w:tcPr>
                  <w:tcW w:w="461" w:type="pct"/>
                  <w:noWrap w:val="0"/>
                  <w:vAlign w:val="center"/>
                </w:tcPr>
                <w:p>
                  <w:pPr>
                    <w:adjustRightInd w:val="0"/>
                    <w:jc w:val="center"/>
                    <w:rPr>
                      <w:rFonts w:hint="eastAsia"/>
                      <w:szCs w:val="21"/>
                      <w:lang w:bidi="ar"/>
                    </w:rPr>
                  </w:pPr>
                  <w:r>
                    <w:rPr>
                      <w:rFonts w:hint="eastAsia"/>
                      <w:szCs w:val="21"/>
                      <w:lang w:eastAsia="zh-CN" w:bidi="ar"/>
                    </w:rPr>
                    <w:t>无组织</w:t>
                  </w:r>
                </w:p>
              </w:tc>
              <w:tc>
                <w:tcPr>
                  <w:tcW w:w="1000" w:type="pct"/>
                  <w:noWrap w:val="0"/>
                  <w:vAlign w:val="center"/>
                </w:tcPr>
                <w:p>
                  <w:pPr>
                    <w:adjustRightInd w:val="0"/>
                    <w:jc w:val="center"/>
                    <w:rPr>
                      <w:szCs w:val="21"/>
                      <w:lang w:bidi="ar"/>
                    </w:rPr>
                  </w:pPr>
                  <w:r>
                    <w:rPr>
                      <w:rFonts w:hint="eastAsia"/>
                      <w:szCs w:val="21"/>
                      <w:lang w:bidi="ar"/>
                    </w:rPr>
                    <w:t>/</w:t>
                  </w:r>
                </w:p>
              </w:tc>
              <w:tc>
                <w:tcPr>
                  <w:tcW w:w="1009" w:type="pct"/>
                  <w:noWrap w:val="0"/>
                  <w:vAlign w:val="center"/>
                </w:tcPr>
                <w:p>
                  <w:pPr>
                    <w:adjustRightInd w:val="0"/>
                    <w:jc w:val="center"/>
                    <w:rPr>
                      <w:rFonts w:hint="eastAsia"/>
                      <w:szCs w:val="21"/>
                      <w:lang w:bidi="ar"/>
                    </w:rPr>
                  </w:pPr>
                  <w:r>
                    <w:rPr>
                      <w:rFonts w:hint="eastAsia"/>
                      <w:szCs w:val="21"/>
                      <w:lang w:bidi="ar"/>
                    </w:rPr>
                    <w:t>/</w:t>
                  </w:r>
                </w:p>
              </w:tc>
              <w:tc>
                <w:tcPr>
                  <w:tcW w:w="1054" w:type="pct"/>
                  <w:noWrap w:val="0"/>
                  <w:vAlign w:val="center"/>
                </w:tcPr>
                <w:p>
                  <w:pPr>
                    <w:adjustRightInd w:val="0"/>
                    <w:jc w:val="center"/>
                    <w:rPr>
                      <w:rFonts w:hint="eastAsia"/>
                      <w:szCs w:val="21"/>
                      <w:lang w:bidi="ar"/>
                    </w:rPr>
                  </w:pPr>
                  <w:r>
                    <w:rPr>
                      <w:rFonts w:hint="eastAsia"/>
                      <w:szCs w:val="21"/>
                      <w:lang w:bidi="ar"/>
                    </w:rPr>
                    <w:t>/</w:t>
                  </w:r>
                </w:p>
              </w:tc>
              <w:tc>
                <w:tcPr>
                  <w:tcW w:w="615" w:type="pct"/>
                  <w:noWrap w:val="0"/>
                  <w:vAlign w:val="center"/>
                </w:tcPr>
                <w:p>
                  <w:pPr>
                    <w:adjustRightInd w:val="0"/>
                    <w:jc w:val="center"/>
                    <w:rPr>
                      <w:rFonts w:hint="eastAsia"/>
                      <w:szCs w:val="21"/>
                      <w:lang w:bidi="ar"/>
                    </w:rPr>
                  </w:pPr>
                  <w:r>
                    <w:rPr>
                      <w:rFonts w:hint="eastAsia"/>
                      <w:szCs w:val="21"/>
                      <w:lang w:bidi="ar"/>
                    </w:rPr>
                    <w:t>少量</w:t>
                  </w:r>
                </w:p>
              </w:tc>
            </w:tr>
          </w:tbl>
          <w:p>
            <w:pPr>
              <w:spacing w:line="360" w:lineRule="auto"/>
              <w:ind w:firstLine="482" w:firstLineChars="200"/>
              <w:rPr>
                <w:rFonts w:hint="eastAsia" w:eastAsia="宋体"/>
                <w:b/>
                <w:bCs/>
                <w:sz w:val="24"/>
                <w:lang w:eastAsia="zh-CN"/>
              </w:rPr>
            </w:pPr>
            <w:r>
              <w:rPr>
                <w:rFonts w:hint="eastAsia"/>
                <w:b/>
                <w:bCs/>
                <w:sz w:val="24"/>
                <w:lang w:eastAsia="zh-CN"/>
              </w:rPr>
              <w:t>（二）监测要求</w:t>
            </w:r>
          </w:p>
          <w:p>
            <w:pPr>
              <w:pStyle w:val="72"/>
              <w:bidi w:val="0"/>
              <w:rPr>
                <w:rFonts w:hint="eastAsia"/>
              </w:rPr>
            </w:pPr>
            <w:r>
              <w:t>本项目医院为</w:t>
            </w:r>
            <w:r>
              <w:rPr>
                <w:rFonts w:hint="eastAsia"/>
                <w:lang w:eastAsia="zh-CN"/>
              </w:rPr>
              <w:t>精神病专科医院</w:t>
            </w:r>
            <w:r>
              <w:t>，不属于综合医院、中医医院、中西医结合医院、民族医院等；根据《排污单位自行监测技术指南 总则》（HJ 819-2017），并参照《排污许可证申请与核发技术规范 医疗机构》(HJ 1105—2020)，结合项目实际情况，</w:t>
            </w:r>
            <w:r>
              <w:rPr>
                <w:rFonts w:hint="eastAsia"/>
                <w:lang w:eastAsia="zh-CN"/>
              </w:rPr>
              <w:t>本次</w:t>
            </w:r>
            <w:r>
              <w:t>环评对项目废</w:t>
            </w:r>
            <w:r>
              <w:rPr>
                <w:rFonts w:hint="eastAsia"/>
                <w:lang w:eastAsia="zh-CN"/>
              </w:rPr>
              <w:t>气</w:t>
            </w:r>
            <w:r>
              <w:t>环境监测计划建议如下：</w:t>
            </w:r>
          </w:p>
          <w:p>
            <w:pPr>
              <w:jc w:val="center"/>
              <w:rPr>
                <w:b/>
                <w:bCs/>
                <w:kern w:val="0"/>
                <w:szCs w:val="21"/>
              </w:rPr>
            </w:pPr>
            <w:r>
              <w:rPr>
                <w:b/>
                <w:bCs/>
                <w:kern w:val="0"/>
                <w:szCs w:val="21"/>
              </w:rPr>
              <w:t>表4-</w:t>
            </w:r>
            <w:r>
              <w:rPr>
                <w:rFonts w:hint="eastAsia"/>
                <w:b/>
                <w:bCs/>
                <w:kern w:val="0"/>
                <w:szCs w:val="21"/>
              </w:rPr>
              <w:t>9</w:t>
            </w:r>
            <w:r>
              <w:rPr>
                <w:b/>
                <w:bCs/>
                <w:kern w:val="0"/>
                <w:szCs w:val="21"/>
              </w:rPr>
              <w:t xml:space="preserve">  废气环境监测计划</w:t>
            </w:r>
          </w:p>
          <w:tbl>
            <w:tblPr>
              <w:tblStyle w:val="4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7"/>
              <w:gridCol w:w="863"/>
              <w:gridCol w:w="1355"/>
              <w:gridCol w:w="2030"/>
              <w:gridCol w:w="839"/>
              <w:gridCol w:w="23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5" w:type="pct"/>
                  <w:noWrap w:val="0"/>
                  <w:vAlign w:val="center"/>
                </w:tcPr>
                <w:p>
                  <w:pPr>
                    <w:spacing w:line="320" w:lineRule="atLeast"/>
                    <w:jc w:val="center"/>
                  </w:pPr>
                  <w:r>
                    <w:t>项目</w:t>
                  </w:r>
                </w:p>
              </w:tc>
              <w:tc>
                <w:tcPr>
                  <w:tcW w:w="532" w:type="pct"/>
                  <w:noWrap w:val="0"/>
                  <w:vAlign w:val="center"/>
                </w:tcPr>
                <w:p>
                  <w:pPr>
                    <w:spacing w:line="320" w:lineRule="atLeast"/>
                    <w:jc w:val="center"/>
                  </w:pPr>
                  <w:r>
                    <w:t>类别</w:t>
                  </w:r>
                </w:p>
              </w:tc>
              <w:tc>
                <w:tcPr>
                  <w:tcW w:w="836" w:type="pct"/>
                  <w:noWrap w:val="0"/>
                  <w:vAlign w:val="center"/>
                </w:tcPr>
                <w:p>
                  <w:pPr>
                    <w:spacing w:line="320" w:lineRule="atLeast"/>
                    <w:jc w:val="center"/>
                  </w:pPr>
                  <w:r>
                    <w:t>监测点位</w:t>
                  </w:r>
                </w:p>
              </w:tc>
              <w:tc>
                <w:tcPr>
                  <w:tcW w:w="1253" w:type="pct"/>
                  <w:noWrap w:val="0"/>
                  <w:vAlign w:val="center"/>
                </w:tcPr>
                <w:p>
                  <w:pPr>
                    <w:spacing w:line="320" w:lineRule="atLeast"/>
                    <w:jc w:val="center"/>
                  </w:pPr>
                  <w:r>
                    <w:t>监测因子</w:t>
                  </w:r>
                </w:p>
              </w:tc>
              <w:tc>
                <w:tcPr>
                  <w:tcW w:w="517" w:type="pct"/>
                  <w:noWrap w:val="0"/>
                  <w:vAlign w:val="center"/>
                </w:tcPr>
                <w:p>
                  <w:pPr>
                    <w:spacing w:line="320" w:lineRule="atLeast"/>
                    <w:jc w:val="center"/>
                  </w:pPr>
                  <w:r>
                    <w:t>监测频次</w:t>
                  </w:r>
                </w:p>
              </w:tc>
              <w:tc>
                <w:tcPr>
                  <w:tcW w:w="1454" w:type="pct"/>
                  <w:noWrap w:val="0"/>
                  <w:vAlign w:val="center"/>
                </w:tcPr>
                <w:p>
                  <w:pPr>
                    <w:spacing w:line="320" w:lineRule="atLeast"/>
                    <w:jc w:val="center"/>
                  </w:pPr>
                  <w: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jc w:val="center"/>
              </w:trPr>
              <w:tc>
                <w:tcPr>
                  <w:tcW w:w="405" w:type="pct"/>
                  <w:noWrap w:val="0"/>
                  <w:vAlign w:val="center"/>
                </w:tcPr>
                <w:p>
                  <w:pPr>
                    <w:spacing w:line="320" w:lineRule="atLeast"/>
                    <w:jc w:val="center"/>
                  </w:pPr>
                  <w:r>
                    <w:t>废气</w:t>
                  </w:r>
                </w:p>
              </w:tc>
              <w:tc>
                <w:tcPr>
                  <w:tcW w:w="532" w:type="pct"/>
                  <w:noWrap w:val="0"/>
                  <w:vAlign w:val="center"/>
                </w:tcPr>
                <w:p>
                  <w:pPr>
                    <w:spacing w:line="320" w:lineRule="atLeast"/>
                    <w:jc w:val="center"/>
                    <w:rPr>
                      <w:sz w:val="21"/>
                      <w:szCs w:val="21"/>
                    </w:rPr>
                  </w:pPr>
                  <w:r>
                    <w:rPr>
                      <w:sz w:val="21"/>
                      <w:szCs w:val="21"/>
                    </w:rPr>
                    <w:t>无组织</w:t>
                  </w:r>
                </w:p>
              </w:tc>
              <w:tc>
                <w:tcPr>
                  <w:tcW w:w="836" w:type="pct"/>
                  <w:noWrap w:val="0"/>
                  <w:vAlign w:val="center"/>
                </w:tcPr>
                <w:p>
                  <w:pPr>
                    <w:pStyle w:val="286"/>
                    <w:spacing w:before="0" w:beforeLines="0"/>
                    <w:rPr>
                      <w:rFonts w:hint="eastAsia" w:ascii="Times New Roman" w:eastAsia="宋体"/>
                      <w:bCs/>
                      <w:sz w:val="21"/>
                      <w:szCs w:val="21"/>
                      <w:lang w:eastAsia="zh-CN"/>
                    </w:rPr>
                  </w:pPr>
                  <w:r>
                    <w:rPr>
                      <w:rFonts w:hint="eastAsia" w:eastAsia="宋体"/>
                      <w:sz w:val="21"/>
                      <w:szCs w:val="21"/>
                      <w:lang w:eastAsia="zh-CN"/>
                    </w:rPr>
                    <w:t>污水处理站周界</w:t>
                  </w:r>
                </w:p>
              </w:tc>
              <w:tc>
                <w:tcPr>
                  <w:tcW w:w="1253" w:type="pct"/>
                  <w:noWrap w:val="0"/>
                  <w:vAlign w:val="center"/>
                </w:tcPr>
                <w:p>
                  <w:pPr>
                    <w:spacing w:line="320" w:lineRule="atLeast"/>
                    <w:jc w:val="center"/>
                    <w:rPr>
                      <w:rFonts w:hint="eastAsia" w:eastAsia="宋体"/>
                      <w:lang w:eastAsia="zh-CN"/>
                    </w:rPr>
                  </w:pPr>
                  <w:r>
                    <w:t>氨、硫化氢、臭气浓度</w:t>
                  </w:r>
                  <w:r>
                    <w:rPr>
                      <w:rFonts w:hint="eastAsia"/>
                      <w:lang w:eastAsia="zh-CN"/>
                    </w:rPr>
                    <w:t>、氯气、甲烷</w:t>
                  </w:r>
                </w:p>
              </w:tc>
              <w:tc>
                <w:tcPr>
                  <w:tcW w:w="517" w:type="pct"/>
                  <w:noWrap w:val="0"/>
                  <w:vAlign w:val="center"/>
                </w:tcPr>
                <w:p>
                  <w:pPr>
                    <w:spacing w:line="320" w:lineRule="atLeast"/>
                    <w:jc w:val="center"/>
                  </w:pPr>
                  <w:r>
                    <w:t>1</w:t>
                  </w:r>
                  <w:r>
                    <w:rPr>
                      <w:rFonts w:hint="eastAsia"/>
                      <w:lang w:eastAsia="zh-CN"/>
                    </w:rPr>
                    <w:t>季度</w:t>
                  </w:r>
                  <w:r>
                    <w:t>/次</w:t>
                  </w:r>
                </w:p>
              </w:tc>
              <w:tc>
                <w:tcPr>
                  <w:tcW w:w="1454" w:type="pct"/>
                  <w:noWrap w:val="0"/>
                  <w:vAlign w:val="center"/>
                </w:tcPr>
                <w:p>
                  <w:pPr>
                    <w:spacing w:line="320" w:lineRule="atLeast"/>
                    <w:jc w:val="center"/>
                  </w:pPr>
                  <w:r>
                    <w:t>《医疗机构水污染排放标准》（GB18466-2005）</w:t>
                  </w:r>
                </w:p>
              </w:tc>
            </w:tr>
          </w:tbl>
          <w:p>
            <w:pPr>
              <w:spacing w:line="360" w:lineRule="auto"/>
              <w:ind w:firstLine="482" w:firstLineChars="200"/>
              <w:rPr>
                <w:b/>
                <w:bCs/>
                <w:sz w:val="24"/>
              </w:rPr>
            </w:pPr>
            <w:r>
              <w:rPr>
                <w:rFonts w:hint="eastAsia"/>
                <w:b/>
                <w:bCs/>
                <w:sz w:val="24"/>
                <w:lang w:eastAsia="zh-CN"/>
              </w:rPr>
              <w:t>（三）</w:t>
            </w:r>
            <w:r>
              <w:rPr>
                <w:rFonts w:hint="eastAsia"/>
                <w:b/>
                <w:bCs/>
                <w:sz w:val="24"/>
              </w:rPr>
              <w:t>大气环境影响</w:t>
            </w:r>
            <w:r>
              <w:rPr>
                <w:rFonts w:hint="eastAsia"/>
                <w:b/>
                <w:bCs/>
                <w:sz w:val="24"/>
                <w:lang w:eastAsia="zh-CN"/>
              </w:rPr>
              <w:t>分析</w:t>
            </w:r>
            <w:r>
              <w:rPr>
                <w:rFonts w:hint="eastAsia"/>
                <w:b/>
                <w:bCs/>
                <w:sz w:val="24"/>
              </w:rPr>
              <w:t>结论</w:t>
            </w:r>
          </w:p>
          <w:p>
            <w:pPr>
              <w:spacing w:line="360" w:lineRule="auto"/>
              <w:ind w:firstLine="480" w:firstLineChars="200"/>
              <w:rPr>
                <w:rFonts w:hint="eastAsia"/>
                <w:b/>
                <w:bCs/>
                <w:sz w:val="24"/>
              </w:rPr>
            </w:pPr>
            <w:r>
              <w:rPr>
                <w:rFonts w:hint="eastAsia"/>
                <w:b w:val="0"/>
                <w:bCs w:val="0"/>
                <w:sz w:val="24"/>
              </w:rPr>
              <w:t>综上所述，本项目采取的大气污染防治措施经济技术可行，能够做到稳定的达标排放，对周围大气造成环境影响可以接受。</w:t>
            </w:r>
          </w:p>
          <w:p>
            <w:pPr>
              <w:adjustRightInd w:val="0"/>
              <w:jc w:val="center"/>
              <w:rPr>
                <w:rFonts w:hint="eastAsia"/>
                <w:b/>
                <w:bCs/>
                <w:szCs w:val="21"/>
                <w:lang w:val="zh-CN" w:bidi="ar"/>
              </w:rPr>
            </w:pPr>
            <w:r>
              <w:rPr>
                <w:rFonts w:hint="eastAsia"/>
                <w:b/>
                <w:bCs/>
                <w:szCs w:val="21"/>
                <w:lang w:val="zh-CN" w:bidi="ar"/>
              </w:rPr>
              <w:t>表</w:t>
            </w:r>
            <w:r>
              <w:rPr>
                <w:rFonts w:hint="eastAsia"/>
                <w:b/>
                <w:bCs/>
                <w:szCs w:val="21"/>
                <w:lang w:bidi="ar"/>
              </w:rPr>
              <w:t>4-</w:t>
            </w:r>
            <w:r>
              <w:rPr>
                <w:rFonts w:hint="eastAsia"/>
                <w:b/>
                <w:bCs/>
                <w:szCs w:val="21"/>
                <w:lang w:val="en-US" w:eastAsia="zh-CN" w:bidi="ar"/>
              </w:rPr>
              <w:t>10</w:t>
            </w:r>
            <w:r>
              <w:rPr>
                <w:rFonts w:hint="eastAsia"/>
                <w:b/>
                <w:bCs/>
                <w:szCs w:val="21"/>
                <w:lang w:bidi="ar"/>
              </w:rPr>
              <w:t xml:space="preserve">  </w:t>
            </w:r>
            <w:r>
              <w:rPr>
                <w:rFonts w:hint="eastAsia"/>
                <w:b/>
                <w:bCs/>
                <w:szCs w:val="21"/>
                <w:lang w:val="zh-CN" w:bidi="ar"/>
              </w:rPr>
              <w:t>项目废气治理措施及整改要求汇总表</w:t>
            </w:r>
          </w:p>
          <w:tbl>
            <w:tblPr>
              <w:tblStyle w:val="41"/>
              <w:tblW w:w="4998" w:type="pct"/>
              <w:tblInd w:w="0" w:type="dxa"/>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
            <w:tblGrid>
              <w:gridCol w:w="1264"/>
              <w:gridCol w:w="4422"/>
              <w:gridCol w:w="1317"/>
              <w:gridCol w:w="1105"/>
            </w:tblGrid>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04" w:hRule="atLeast"/>
              </w:trPr>
              <w:tc>
                <w:tcPr>
                  <w:tcW w:w="779" w:type="pct"/>
                  <w:noWrap w:val="0"/>
                  <w:vAlign w:val="center"/>
                </w:tcPr>
                <w:p>
                  <w:pPr>
                    <w:autoSpaceDE w:val="0"/>
                    <w:autoSpaceDN w:val="0"/>
                    <w:adjustRightInd w:val="0"/>
                    <w:jc w:val="center"/>
                    <w:rPr>
                      <w:rFonts w:ascii="宋体" w:cs="宋体"/>
                      <w:b/>
                      <w:bCs/>
                      <w:kern w:val="0"/>
                      <w:szCs w:val="21"/>
                      <w:lang w:val="zh-CN"/>
                    </w:rPr>
                  </w:pPr>
                  <w:r>
                    <w:rPr>
                      <w:rFonts w:hint="eastAsia" w:ascii="宋体" w:cs="宋体"/>
                      <w:b/>
                      <w:bCs/>
                      <w:kern w:val="0"/>
                      <w:szCs w:val="21"/>
                      <w:lang w:val="zh-CN"/>
                    </w:rPr>
                    <w:t>污染源</w:t>
                  </w:r>
                </w:p>
              </w:tc>
              <w:tc>
                <w:tcPr>
                  <w:tcW w:w="2726" w:type="pct"/>
                  <w:noWrap w:val="0"/>
                  <w:vAlign w:val="center"/>
                </w:tcPr>
                <w:p>
                  <w:pPr>
                    <w:autoSpaceDE w:val="0"/>
                    <w:autoSpaceDN w:val="0"/>
                    <w:adjustRightInd w:val="0"/>
                    <w:jc w:val="center"/>
                    <w:rPr>
                      <w:rFonts w:ascii="宋体" w:cs="宋体"/>
                      <w:b/>
                      <w:bCs/>
                      <w:kern w:val="0"/>
                      <w:szCs w:val="21"/>
                      <w:lang w:val="zh-CN"/>
                    </w:rPr>
                  </w:pPr>
                  <w:r>
                    <w:rPr>
                      <w:rFonts w:hint="eastAsia" w:ascii="宋体" w:cs="宋体"/>
                      <w:b/>
                      <w:bCs/>
                      <w:kern w:val="0"/>
                      <w:szCs w:val="21"/>
                      <w:lang w:val="zh-CN"/>
                    </w:rPr>
                    <w:t>现有措施及排放情况</w:t>
                  </w:r>
                </w:p>
              </w:tc>
              <w:tc>
                <w:tcPr>
                  <w:tcW w:w="812" w:type="pct"/>
                  <w:noWrap w:val="0"/>
                  <w:vAlign w:val="center"/>
                </w:tcPr>
                <w:p>
                  <w:pPr>
                    <w:autoSpaceDE w:val="0"/>
                    <w:autoSpaceDN w:val="0"/>
                    <w:adjustRightInd w:val="0"/>
                    <w:jc w:val="center"/>
                    <w:rPr>
                      <w:rFonts w:ascii="宋体" w:cs="宋体"/>
                      <w:b/>
                      <w:bCs/>
                      <w:kern w:val="0"/>
                      <w:szCs w:val="21"/>
                      <w:lang w:val="zh-CN"/>
                    </w:rPr>
                  </w:pPr>
                  <w:r>
                    <w:rPr>
                      <w:rFonts w:hint="eastAsia" w:ascii="宋体" w:cs="宋体"/>
                      <w:b/>
                      <w:bCs/>
                      <w:kern w:val="0"/>
                      <w:szCs w:val="21"/>
                      <w:lang w:val="zh-CN"/>
                    </w:rPr>
                    <w:t>现有措施是否可行</w:t>
                  </w:r>
                </w:p>
              </w:tc>
              <w:tc>
                <w:tcPr>
                  <w:tcW w:w="682" w:type="pct"/>
                  <w:noWrap w:val="0"/>
                  <w:vAlign w:val="center"/>
                </w:tcPr>
                <w:p>
                  <w:pPr>
                    <w:autoSpaceDE w:val="0"/>
                    <w:autoSpaceDN w:val="0"/>
                    <w:adjustRightInd w:val="0"/>
                    <w:jc w:val="center"/>
                    <w:rPr>
                      <w:rFonts w:ascii="宋体" w:cs="宋体"/>
                      <w:b/>
                      <w:bCs/>
                      <w:kern w:val="0"/>
                      <w:szCs w:val="21"/>
                      <w:lang w:val="zh-CN"/>
                    </w:rPr>
                  </w:pPr>
                  <w:r>
                    <w:rPr>
                      <w:rFonts w:hint="eastAsia" w:ascii="宋体" w:cs="宋体"/>
                      <w:b/>
                      <w:bCs/>
                      <w:kern w:val="0"/>
                      <w:szCs w:val="21"/>
                      <w:lang w:val="zh-CN"/>
                    </w:rPr>
                    <w:t>整改要求</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72" w:hRule="atLeast"/>
              </w:trPr>
              <w:tc>
                <w:tcPr>
                  <w:tcW w:w="779" w:type="pct"/>
                  <w:shd w:val="clear" w:color="000000" w:fill="FFFFFF"/>
                  <w:noWrap w:val="0"/>
                  <w:vAlign w:val="center"/>
                </w:tcPr>
                <w:p>
                  <w:pPr>
                    <w:autoSpaceDE w:val="0"/>
                    <w:autoSpaceDN w:val="0"/>
                    <w:adjustRightInd w:val="0"/>
                    <w:jc w:val="center"/>
                    <w:rPr>
                      <w:rFonts w:ascii="宋体" w:cs="宋体"/>
                      <w:kern w:val="0"/>
                      <w:szCs w:val="21"/>
                      <w:lang w:val="zh-CN"/>
                    </w:rPr>
                  </w:pPr>
                  <w:r>
                    <w:rPr>
                      <w:rFonts w:hint="eastAsia" w:ascii="宋体" w:cs="宋体"/>
                      <w:kern w:val="0"/>
                      <w:szCs w:val="21"/>
                      <w:lang w:val="zh-CN"/>
                    </w:rPr>
                    <w:t>污水处理站臭气</w:t>
                  </w:r>
                </w:p>
              </w:tc>
              <w:tc>
                <w:tcPr>
                  <w:tcW w:w="2726" w:type="pct"/>
                  <w:shd w:val="clear" w:color="000000" w:fill="FFFFFF"/>
                  <w:noWrap w:val="0"/>
                  <w:vAlign w:val="center"/>
                </w:tcPr>
                <w:p>
                  <w:pPr>
                    <w:autoSpaceDE w:val="0"/>
                    <w:autoSpaceDN w:val="0"/>
                    <w:adjustRightInd w:val="0"/>
                    <w:jc w:val="center"/>
                    <w:rPr>
                      <w:rFonts w:ascii="宋体" w:cs="宋体"/>
                      <w:kern w:val="0"/>
                      <w:szCs w:val="21"/>
                      <w:lang w:val="zh-CN"/>
                    </w:rPr>
                  </w:pPr>
                  <w:r>
                    <w:rPr>
                      <w:rFonts w:hint="eastAsia" w:ascii="宋体" w:hAnsi="宋体" w:cs="宋体"/>
                      <w:kern w:val="0"/>
                      <w:szCs w:val="21"/>
                      <w:lang w:bidi="ar"/>
                    </w:rPr>
                    <w:t>采用全地埋工艺，调节池等均加盖封闭，并采取喷洒植物除臭剂等</w:t>
                  </w:r>
                </w:p>
              </w:tc>
              <w:tc>
                <w:tcPr>
                  <w:tcW w:w="812" w:type="pct"/>
                  <w:shd w:val="clear" w:color="000000" w:fill="FFFFFF"/>
                  <w:noWrap w:val="0"/>
                  <w:vAlign w:val="center"/>
                </w:tcPr>
                <w:p>
                  <w:pPr>
                    <w:autoSpaceDE w:val="0"/>
                    <w:autoSpaceDN w:val="0"/>
                    <w:adjustRightInd w:val="0"/>
                    <w:jc w:val="center"/>
                    <w:rPr>
                      <w:rFonts w:ascii="宋体" w:cs="宋体"/>
                      <w:kern w:val="0"/>
                      <w:szCs w:val="21"/>
                      <w:lang w:val="zh-CN"/>
                    </w:rPr>
                  </w:pPr>
                  <w:r>
                    <w:rPr>
                      <w:rFonts w:hint="eastAsia" w:ascii="宋体" w:cs="宋体"/>
                      <w:kern w:val="0"/>
                      <w:szCs w:val="21"/>
                      <w:lang w:val="zh-CN"/>
                    </w:rPr>
                    <w:t>可行</w:t>
                  </w:r>
                </w:p>
              </w:tc>
              <w:tc>
                <w:tcPr>
                  <w:tcW w:w="682" w:type="pct"/>
                  <w:shd w:val="clear" w:color="000000" w:fill="FFFFFF"/>
                  <w:noWrap w:val="0"/>
                  <w:vAlign w:val="center"/>
                </w:tcPr>
                <w:p>
                  <w:pPr>
                    <w:autoSpaceDE w:val="0"/>
                    <w:autoSpaceDN w:val="0"/>
                    <w:adjustRightInd w:val="0"/>
                    <w:jc w:val="center"/>
                    <w:rPr>
                      <w:rFonts w:ascii="宋体" w:cs="宋体"/>
                      <w:kern w:val="0"/>
                      <w:szCs w:val="21"/>
                      <w:lang w:val="zh-CN"/>
                    </w:rPr>
                  </w:pPr>
                  <w:r>
                    <w:rPr>
                      <w:rFonts w:hint="eastAsia" w:ascii="宋体" w:cs="宋体"/>
                      <w:kern w:val="0"/>
                      <w:szCs w:val="21"/>
                      <w:lang w:val="zh-CN"/>
                    </w:rPr>
                    <w:t>无需整改</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72" w:hRule="atLeast"/>
              </w:trPr>
              <w:tc>
                <w:tcPr>
                  <w:tcW w:w="779" w:type="pct"/>
                  <w:shd w:val="clear" w:color="000000" w:fill="FFFFFF"/>
                  <w:noWrap w:val="0"/>
                  <w:vAlign w:val="center"/>
                </w:tcPr>
                <w:p>
                  <w:pPr>
                    <w:autoSpaceDE w:val="0"/>
                    <w:autoSpaceDN w:val="0"/>
                    <w:adjustRightInd w:val="0"/>
                    <w:jc w:val="center"/>
                    <w:rPr>
                      <w:rFonts w:ascii="宋体" w:cs="宋体"/>
                      <w:kern w:val="0"/>
                      <w:szCs w:val="21"/>
                      <w:lang w:val="zh-CN"/>
                    </w:rPr>
                  </w:pPr>
                  <w:r>
                    <w:rPr>
                      <w:rFonts w:hint="eastAsia" w:ascii="宋体" w:cs="宋体"/>
                      <w:kern w:val="0"/>
                      <w:szCs w:val="21"/>
                      <w:lang w:val="zh-CN"/>
                    </w:rPr>
                    <w:t>食堂油烟</w:t>
                  </w:r>
                </w:p>
              </w:tc>
              <w:tc>
                <w:tcPr>
                  <w:tcW w:w="2726" w:type="pct"/>
                  <w:shd w:val="clear" w:color="000000" w:fill="FFFFFF"/>
                  <w:noWrap w:val="0"/>
                  <w:vAlign w:val="center"/>
                </w:tcPr>
                <w:p>
                  <w:pPr>
                    <w:autoSpaceDE w:val="0"/>
                    <w:autoSpaceDN w:val="0"/>
                    <w:adjustRightInd w:val="0"/>
                    <w:jc w:val="center"/>
                    <w:rPr>
                      <w:rFonts w:ascii="宋体" w:cs="宋体"/>
                      <w:kern w:val="0"/>
                      <w:szCs w:val="21"/>
                      <w:lang w:val="zh-CN"/>
                    </w:rPr>
                  </w:pPr>
                  <w:r>
                    <w:rPr>
                      <w:rFonts w:hint="eastAsia" w:ascii="宋体" w:hAnsi="宋体" w:cs="宋体"/>
                      <w:kern w:val="0"/>
                      <w:szCs w:val="21"/>
                      <w:lang w:bidi="ar"/>
                    </w:rPr>
                    <w:t>经油烟净化器净化后屋顶排放</w:t>
                  </w:r>
                </w:p>
              </w:tc>
              <w:tc>
                <w:tcPr>
                  <w:tcW w:w="812" w:type="pct"/>
                  <w:shd w:val="clear" w:color="000000" w:fill="FFFFFF"/>
                  <w:noWrap w:val="0"/>
                  <w:vAlign w:val="center"/>
                </w:tcPr>
                <w:p>
                  <w:pPr>
                    <w:autoSpaceDE w:val="0"/>
                    <w:autoSpaceDN w:val="0"/>
                    <w:adjustRightInd w:val="0"/>
                    <w:jc w:val="center"/>
                    <w:rPr>
                      <w:rFonts w:ascii="宋体" w:cs="宋体"/>
                      <w:kern w:val="0"/>
                      <w:szCs w:val="21"/>
                      <w:lang w:val="zh-CN"/>
                    </w:rPr>
                  </w:pPr>
                  <w:r>
                    <w:rPr>
                      <w:rFonts w:hint="eastAsia" w:ascii="宋体" w:cs="宋体"/>
                      <w:kern w:val="0"/>
                      <w:szCs w:val="21"/>
                      <w:lang w:val="zh-CN"/>
                    </w:rPr>
                    <w:t>可行</w:t>
                  </w:r>
                </w:p>
              </w:tc>
              <w:tc>
                <w:tcPr>
                  <w:tcW w:w="682" w:type="pct"/>
                  <w:shd w:val="clear" w:color="000000" w:fill="FFFFFF"/>
                  <w:noWrap w:val="0"/>
                  <w:vAlign w:val="center"/>
                </w:tcPr>
                <w:p>
                  <w:pPr>
                    <w:autoSpaceDE w:val="0"/>
                    <w:autoSpaceDN w:val="0"/>
                    <w:adjustRightInd w:val="0"/>
                    <w:jc w:val="center"/>
                    <w:rPr>
                      <w:rFonts w:ascii="宋体" w:cs="宋体"/>
                      <w:kern w:val="0"/>
                      <w:szCs w:val="21"/>
                      <w:lang w:val="zh-CN"/>
                    </w:rPr>
                  </w:pPr>
                  <w:r>
                    <w:rPr>
                      <w:rFonts w:hint="eastAsia" w:ascii="宋体" w:cs="宋体"/>
                      <w:kern w:val="0"/>
                      <w:szCs w:val="21"/>
                      <w:lang w:val="zh-CN"/>
                    </w:rPr>
                    <w:t>无需整改</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72" w:hRule="atLeast"/>
              </w:trPr>
              <w:tc>
                <w:tcPr>
                  <w:tcW w:w="779" w:type="pct"/>
                  <w:shd w:val="clear" w:color="000000" w:fill="FFFFFF"/>
                  <w:noWrap w:val="0"/>
                  <w:vAlign w:val="center"/>
                </w:tcPr>
                <w:p>
                  <w:pPr>
                    <w:autoSpaceDE w:val="0"/>
                    <w:autoSpaceDN w:val="0"/>
                    <w:adjustRightInd w:val="0"/>
                    <w:jc w:val="center"/>
                    <w:rPr>
                      <w:rFonts w:hint="eastAsia" w:ascii="宋体" w:cs="宋体"/>
                      <w:kern w:val="0"/>
                      <w:szCs w:val="21"/>
                      <w:lang w:val="zh-CN"/>
                    </w:rPr>
                  </w:pPr>
                  <w:r>
                    <w:rPr>
                      <w:rFonts w:hint="eastAsia" w:ascii="宋体" w:cs="宋体"/>
                      <w:kern w:val="0"/>
                      <w:szCs w:val="21"/>
                      <w:lang w:val="zh-CN"/>
                    </w:rPr>
                    <w:t>备用发电机废气</w:t>
                  </w:r>
                </w:p>
              </w:tc>
              <w:tc>
                <w:tcPr>
                  <w:tcW w:w="2726" w:type="pct"/>
                  <w:shd w:val="clear" w:color="000000" w:fill="FFFFFF"/>
                  <w:noWrap w:val="0"/>
                  <w:vAlign w:val="center"/>
                </w:tcPr>
                <w:p>
                  <w:pPr>
                    <w:autoSpaceDE w:val="0"/>
                    <w:autoSpaceDN w:val="0"/>
                    <w:adjustRightInd w:val="0"/>
                    <w:jc w:val="center"/>
                    <w:rPr>
                      <w:rFonts w:hint="eastAsia" w:ascii="宋体" w:cs="宋体"/>
                      <w:kern w:val="0"/>
                      <w:szCs w:val="21"/>
                      <w:lang w:val="zh-CN"/>
                    </w:rPr>
                  </w:pPr>
                  <w:r>
                    <w:rPr>
                      <w:rFonts w:hint="eastAsia"/>
                      <w:szCs w:val="21"/>
                      <w:lang w:bidi="ar"/>
                    </w:rPr>
                    <w:t>排气孔排放</w:t>
                  </w:r>
                </w:p>
              </w:tc>
              <w:tc>
                <w:tcPr>
                  <w:tcW w:w="812" w:type="pct"/>
                  <w:shd w:val="clear" w:color="000000" w:fill="FFFFFF"/>
                  <w:noWrap w:val="0"/>
                  <w:vAlign w:val="center"/>
                </w:tcPr>
                <w:p>
                  <w:pPr>
                    <w:autoSpaceDE w:val="0"/>
                    <w:autoSpaceDN w:val="0"/>
                    <w:adjustRightInd w:val="0"/>
                    <w:jc w:val="center"/>
                    <w:rPr>
                      <w:rFonts w:hint="eastAsia" w:ascii="宋体" w:cs="宋体"/>
                      <w:kern w:val="0"/>
                      <w:szCs w:val="21"/>
                      <w:lang w:val="zh-CN"/>
                    </w:rPr>
                  </w:pPr>
                  <w:r>
                    <w:rPr>
                      <w:rFonts w:hint="eastAsia" w:ascii="宋体" w:cs="宋体"/>
                      <w:kern w:val="0"/>
                      <w:szCs w:val="21"/>
                      <w:lang w:val="zh-CN"/>
                    </w:rPr>
                    <w:t>可行</w:t>
                  </w:r>
                </w:p>
              </w:tc>
              <w:tc>
                <w:tcPr>
                  <w:tcW w:w="682" w:type="pct"/>
                  <w:shd w:val="clear" w:color="000000" w:fill="FFFFFF"/>
                  <w:noWrap w:val="0"/>
                  <w:vAlign w:val="center"/>
                </w:tcPr>
                <w:p>
                  <w:pPr>
                    <w:autoSpaceDE w:val="0"/>
                    <w:autoSpaceDN w:val="0"/>
                    <w:adjustRightInd w:val="0"/>
                    <w:jc w:val="center"/>
                    <w:rPr>
                      <w:rFonts w:hint="eastAsia" w:ascii="宋体" w:cs="宋体"/>
                      <w:kern w:val="0"/>
                      <w:szCs w:val="21"/>
                      <w:lang w:val="zh-CN"/>
                    </w:rPr>
                  </w:pPr>
                  <w:r>
                    <w:rPr>
                      <w:rFonts w:hint="eastAsia" w:ascii="宋体" w:cs="宋体"/>
                      <w:kern w:val="0"/>
                      <w:szCs w:val="21"/>
                      <w:lang w:val="zh-CN"/>
                    </w:rPr>
                    <w:t>无需整改</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PrEx>
              <w:trPr>
                <w:trHeight w:val="272" w:hRule="atLeast"/>
              </w:trPr>
              <w:tc>
                <w:tcPr>
                  <w:tcW w:w="779" w:type="pct"/>
                  <w:shd w:val="clear" w:color="000000" w:fill="FFFFFF"/>
                  <w:noWrap w:val="0"/>
                  <w:vAlign w:val="center"/>
                </w:tcPr>
                <w:p>
                  <w:pPr>
                    <w:adjustRightInd w:val="0"/>
                    <w:jc w:val="center"/>
                    <w:rPr>
                      <w:rFonts w:hint="eastAsia"/>
                      <w:szCs w:val="21"/>
                      <w:lang w:val="zh-CN" w:bidi="ar"/>
                    </w:rPr>
                  </w:pPr>
                  <w:r>
                    <w:rPr>
                      <w:rFonts w:hint="eastAsia"/>
                      <w:szCs w:val="21"/>
                      <w:lang w:bidi="ar"/>
                    </w:rPr>
                    <w:t>天然气燃烧废气</w:t>
                  </w:r>
                </w:p>
              </w:tc>
              <w:tc>
                <w:tcPr>
                  <w:tcW w:w="2726" w:type="pct"/>
                  <w:shd w:val="clear" w:color="000000" w:fill="FFFFFF"/>
                  <w:noWrap w:val="0"/>
                  <w:vAlign w:val="center"/>
                </w:tcPr>
                <w:p>
                  <w:pPr>
                    <w:adjustRightInd w:val="0"/>
                    <w:jc w:val="center"/>
                    <w:rPr>
                      <w:rFonts w:hint="eastAsia"/>
                      <w:szCs w:val="21"/>
                      <w:lang w:bidi="ar"/>
                    </w:rPr>
                  </w:pPr>
                  <w:r>
                    <w:rPr>
                      <w:rFonts w:hint="eastAsia"/>
                      <w:szCs w:val="21"/>
                      <w:lang w:bidi="ar"/>
                    </w:rPr>
                    <w:t>/</w:t>
                  </w:r>
                </w:p>
              </w:tc>
              <w:tc>
                <w:tcPr>
                  <w:tcW w:w="812" w:type="pct"/>
                  <w:shd w:val="clear" w:color="000000" w:fill="FFFFFF"/>
                  <w:noWrap w:val="0"/>
                  <w:vAlign w:val="center"/>
                </w:tcPr>
                <w:p>
                  <w:pPr>
                    <w:autoSpaceDE w:val="0"/>
                    <w:autoSpaceDN w:val="0"/>
                    <w:adjustRightInd w:val="0"/>
                    <w:jc w:val="center"/>
                    <w:rPr>
                      <w:rFonts w:hint="eastAsia" w:ascii="宋体" w:cs="宋体"/>
                      <w:kern w:val="0"/>
                      <w:szCs w:val="21"/>
                      <w:lang w:val="zh-CN"/>
                    </w:rPr>
                  </w:pPr>
                  <w:r>
                    <w:rPr>
                      <w:rFonts w:hint="eastAsia" w:ascii="宋体" w:cs="宋体"/>
                      <w:kern w:val="0"/>
                      <w:szCs w:val="21"/>
                      <w:lang w:val="zh-CN"/>
                    </w:rPr>
                    <w:t>可行</w:t>
                  </w:r>
                </w:p>
              </w:tc>
              <w:tc>
                <w:tcPr>
                  <w:tcW w:w="682" w:type="pct"/>
                  <w:shd w:val="clear" w:color="000000" w:fill="FFFFFF"/>
                  <w:noWrap w:val="0"/>
                  <w:vAlign w:val="center"/>
                </w:tcPr>
                <w:p>
                  <w:pPr>
                    <w:autoSpaceDE w:val="0"/>
                    <w:autoSpaceDN w:val="0"/>
                    <w:adjustRightInd w:val="0"/>
                    <w:jc w:val="center"/>
                    <w:rPr>
                      <w:rFonts w:hint="eastAsia" w:ascii="宋体" w:cs="宋体"/>
                      <w:kern w:val="0"/>
                      <w:szCs w:val="21"/>
                      <w:lang w:val="zh-CN"/>
                    </w:rPr>
                  </w:pPr>
                  <w:r>
                    <w:rPr>
                      <w:rFonts w:hint="eastAsia" w:ascii="宋体" w:cs="宋体"/>
                      <w:kern w:val="0"/>
                      <w:szCs w:val="21"/>
                      <w:lang w:val="zh-CN"/>
                    </w:rPr>
                    <w:t>无需整改</w:t>
                  </w:r>
                </w:p>
              </w:tc>
            </w:tr>
          </w:tbl>
          <w:p>
            <w:pPr>
              <w:spacing w:line="360" w:lineRule="auto"/>
              <w:rPr>
                <w:b/>
                <w:sz w:val="24"/>
              </w:rPr>
            </w:pPr>
            <w:r>
              <w:rPr>
                <w:rFonts w:hint="eastAsia"/>
                <w:b/>
                <w:sz w:val="24"/>
              </w:rPr>
              <w:t>三、噪声</w:t>
            </w:r>
          </w:p>
          <w:p>
            <w:pPr>
              <w:pStyle w:val="176"/>
              <w:snapToGrid/>
              <w:ind w:firstLine="482"/>
              <w:rPr>
                <w:rFonts w:hint="eastAsia"/>
                <w:b/>
                <w:kern w:val="0"/>
                <w:szCs w:val="24"/>
              </w:rPr>
            </w:pPr>
            <w:r>
              <w:rPr>
                <w:rFonts w:hint="eastAsia"/>
                <w:b/>
                <w:kern w:val="0"/>
                <w:szCs w:val="24"/>
              </w:rPr>
              <w:t>1、噪声污染源源强分析</w:t>
            </w:r>
          </w:p>
          <w:p>
            <w:pPr>
              <w:pStyle w:val="72"/>
              <w:ind w:firstLine="480"/>
              <w:rPr>
                <w:rFonts w:hint="eastAsia"/>
                <w:color w:val="000000"/>
              </w:rPr>
            </w:pPr>
            <w:r>
              <w:rPr>
                <w:rFonts w:hint="eastAsia"/>
                <w:color w:val="000000"/>
              </w:rPr>
              <w:t>项目运营期噪声主要来源于空调设备、发电机、污水处理站</w:t>
            </w:r>
            <w:r>
              <w:rPr>
                <w:rFonts w:hint="eastAsia"/>
                <w:color w:val="000000"/>
                <w:lang w:eastAsia="zh-CN"/>
              </w:rPr>
              <w:t>水泵</w:t>
            </w:r>
            <w:r>
              <w:rPr>
                <w:rFonts w:hint="eastAsia"/>
                <w:color w:val="000000"/>
              </w:rPr>
              <w:t>等运行时产生的噪声，医疗来往人员产生的社会噪声等，源强为65～80dB（A）。根据现场调查，项目采用了隔声、基础减震、加强绿化等降噪措施，经治理后</w:t>
            </w:r>
            <w:r>
              <w:rPr>
                <w:rFonts w:hint="eastAsia"/>
                <w:color w:val="000000"/>
                <w:lang w:val="zh-CN"/>
              </w:rPr>
              <w:t>，噪声可减少</w:t>
            </w:r>
            <w:r>
              <w:rPr>
                <w:rFonts w:hint="eastAsia"/>
                <w:color w:val="000000"/>
              </w:rPr>
              <w:t>10～15dB</w:t>
            </w:r>
            <w:r>
              <w:rPr>
                <w:rFonts w:hint="eastAsia"/>
                <w:color w:val="000000"/>
                <w:lang w:val="zh-CN"/>
              </w:rPr>
              <w:t>（</w:t>
            </w:r>
            <w:r>
              <w:rPr>
                <w:rFonts w:hint="eastAsia"/>
                <w:color w:val="000000"/>
              </w:rPr>
              <w:t>A</w:t>
            </w:r>
            <w:r>
              <w:rPr>
                <w:rFonts w:hint="eastAsia"/>
                <w:color w:val="000000"/>
                <w:lang w:val="zh-CN"/>
              </w:rPr>
              <w:t>）左右，各种产噪设施设备在项目内分布集中，按最高工作噪声，</w:t>
            </w:r>
            <w:r>
              <w:rPr>
                <w:rFonts w:hint="eastAsia"/>
                <w:color w:val="000000"/>
              </w:rPr>
              <w:t>项目噪声值如下表：</w:t>
            </w:r>
          </w:p>
          <w:p>
            <w:pPr>
              <w:pStyle w:val="186"/>
              <w:autoSpaceDE w:val="0"/>
              <w:autoSpaceDN w:val="0"/>
              <w:spacing w:line="240" w:lineRule="auto"/>
            </w:pPr>
            <w:r>
              <w:t>表4</w:t>
            </w:r>
            <w:r>
              <w:rPr>
                <w:rFonts w:hint="eastAsia"/>
              </w:rPr>
              <w:t>-</w:t>
            </w:r>
            <w:r>
              <w:rPr>
                <w:rFonts w:hint="eastAsia"/>
                <w:lang w:val="en-US" w:eastAsia="zh-CN"/>
              </w:rPr>
              <w:t>11</w:t>
            </w:r>
            <w:r>
              <w:rPr>
                <w:rFonts w:hint="eastAsia"/>
              </w:rPr>
              <w:t xml:space="preserve"> </w:t>
            </w:r>
            <w:r>
              <w:t xml:space="preserve"> </w:t>
            </w:r>
            <w:r>
              <w:rPr>
                <w:rFonts w:hint="eastAsia"/>
              </w:rPr>
              <w:t>主要噪声源特性表</w:t>
            </w:r>
          </w:p>
          <w:tbl>
            <w:tblPr>
              <w:tblStyle w:val="41"/>
              <w:tblW w:w="825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5"/>
              <w:gridCol w:w="450"/>
              <w:gridCol w:w="465"/>
              <w:gridCol w:w="720"/>
              <w:gridCol w:w="1290"/>
              <w:gridCol w:w="433"/>
              <w:gridCol w:w="542"/>
              <w:gridCol w:w="360"/>
              <w:gridCol w:w="375"/>
              <w:gridCol w:w="465"/>
              <w:gridCol w:w="435"/>
              <w:gridCol w:w="435"/>
              <w:gridCol w:w="435"/>
              <w:gridCol w:w="465"/>
              <w:gridCol w:w="450"/>
              <w:gridCol w:w="449"/>
              <w:gridCol w:w="1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475" w:type="dxa"/>
                  <w:vMerge w:val="restart"/>
                  <w:tcBorders>
                    <w:tl2br w:val="nil"/>
                    <w:tr2bl w:val="nil"/>
                  </w:tcBorders>
                  <w:noWrap w:val="0"/>
                  <w:vAlign w:val="center"/>
                </w:tcPr>
                <w:p>
                  <w:pPr>
                    <w:pStyle w:val="165"/>
                    <w:rPr>
                      <w:rFonts w:hint="eastAsia"/>
                      <w:b/>
                      <w:bCs/>
                      <w:sz w:val="21"/>
                      <w:szCs w:val="32"/>
                    </w:rPr>
                  </w:pPr>
                  <w:r>
                    <w:rPr>
                      <w:rFonts w:hint="eastAsia"/>
                      <w:b/>
                      <w:bCs/>
                      <w:szCs w:val="32"/>
                    </w:rPr>
                    <w:t>设备名称</w:t>
                  </w:r>
                </w:p>
              </w:tc>
              <w:tc>
                <w:tcPr>
                  <w:tcW w:w="450" w:type="dxa"/>
                  <w:vMerge w:val="restart"/>
                  <w:tcBorders>
                    <w:tl2br w:val="nil"/>
                    <w:tr2bl w:val="nil"/>
                  </w:tcBorders>
                  <w:noWrap w:val="0"/>
                  <w:vAlign w:val="center"/>
                </w:tcPr>
                <w:p>
                  <w:pPr>
                    <w:pStyle w:val="165"/>
                    <w:rPr>
                      <w:rFonts w:hint="eastAsia"/>
                      <w:b/>
                      <w:bCs/>
                      <w:sz w:val="21"/>
                      <w:szCs w:val="32"/>
                    </w:rPr>
                  </w:pPr>
                  <w:r>
                    <w:rPr>
                      <w:rFonts w:hint="eastAsia"/>
                      <w:b/>
                      <w:bCs/>
                      <w:szCs w:val="32"/>
                    </w:rPr>
                    <w:t>位置</w:t>
                  </w:r>
                </w:p>
              </w:tc>
              <w:tc>
                <w:tcPr>
                  <w:tcW w:w="465" w:type="dxa"/>
                  <w:vMerge w:val="restart"/>
                  <w:tcBorders>
                    <w:tl2br w:val="nil"/>
                    <w:tr2bl w:val="nil"/>
                  </w:tcBorders>
                  <w:noWrap w:val="0"/>
                  <w:vAlign w:val="center"/>
                </w:tcPr>
                <w:p>
                  <w:pPr>
                    <w:pStyle w:val="165"/>
                    <w:rPr>
                      <w:rFonts w:hint="eastAsia"/>
                      <w:b/>
                      <w:bCs/>
                      <w:sz w:val="21"/>
                      <w:szCs w:val="32"/>
                    </w:rPr>
                  </w:pPr>
                  <w:r>
                    <w:rPr>
                      <w:rFonts w:hint="eastAsia"/>
                      <w:b/>
                      <w:bCs/>
                      <w:szCs w:val="32"/>
                    </w:rPr>
                    <w:t>数量</w:t>
                  </w:r>
                </w:p>
              </w:tc>
              <w:tc>
                <w:tcPr>
                  <w:tcW w:w="720" w:type="dxa"/>
                  <w:vMerge w:val="restart"/>
                  <w:tcBorders>
                    <w:tl2br w:val="nil"/>
                    <w:tr2bl w:val="nil"/>
                  </w:tcBorders>
                  <w:noWrap w:val="0"/>
                  <w:vAlign w:val="center"/>
                </w:tcPr>
                <w:p>
                  <w:pPr>
                    <w:pStyle w:val="165"/>
                    <w:rPr>
                      <w:b/>
                      <w:bCs/>
                      <w:sz w:val="21"/>
                      <w:szCs w:val="32"/>
                    </w:rPr>
                  </w:pPr>
                  <w:r>
                    <w:rPr>
                      <w:b/>
                      <w:bCs/>
                      <w:sz w:val="21"/>
                      <w:szCs w:val="32"/>
                    </w:rPr>
                    <w:t>声功率级/dB（A）</w:t>
                  </w:r>
                </w:p>
              </w:tc>
              <w:tc>
                <w:tcPr>
                  <w:tcW w:w="1290" w:type="dxa"/>
                  <w:vMerge w:val="restart"/>
                  <w:tcBorders>
                    <w:tl2br w:val="nil"/>
                    <w:tr2bl w:val="nil"/>
                  </w:tcBorders>
                  <w:noWrap w:val="0"/>
                  <w:vAlign w:val="center"/>
                </w:tcPr>
                <w:p>
                  <w:pPr>
                    <w:pStyle w:val="165"/>
                    <w:rPr>
                      <w:b/>
                      <w:bCs/>
                      <w:sz w:val="21"/>
                      <w:szCs w:val="32"/>
                    </w:rPr>
                  </w:pPr>
                  <w:r>
                    <w:rPr>
                      <w:b/>
                      <w:bCs/>
                      <w:sz w:val="21"/>
                      <w:szCs w:val="32"/>
                    </w:rPr>
                    <w:t>声源控制措施</w:t>
                  </w:r>
                </w:p>
              </w:tc>
              <w:tc>
                <w:tcPr>
                  <w:tcW w:w="1335" w:type="dxa"/>
                  <w:gridSpan w:val="3"/>
                  <w:tcBorders>
                    <w:tl2br w:val="nil"/>
                    <w:tr2bl w:val="nil"/>
                  </w:tcBorders>
                  <w:noWrap w:val="0"/>
                  <w:vAlign w:val="center"/>
                </w:tcPr>
                <w:p>
                  <w:pPr>
                    <w:pStyle w:val="165"/>
                    <w:rPr>
                      <w:b/>
                      <w:bCs/>
                      <w:sz w:val="21"/>
                      <w:szCs w:val="32"/>
                    </w:rPr>
                  </w:pPr>
                  <w:r>
                    <w:rPr>
                      <w:b/>
                      <w:bCs/>
                      <w:sz w:val="21"/>
                      <w:szCs w:val="32"/>
                    </w:rPr>
                    <w:t>空间相对位置/m</w:t>
                  </w:r>
                </w:p>
              </w:tc>
              <w:tc>
                <w:tcPr>
                  <w:tcW w:w="1710" w:type="dxa"/>
                  <w:gridSpan w:val="4"/>
                  <w:tcBorders>
                    <w:tl2br w:val="nil"/>
                    <w:tr2bl w:val="nil"/>
                  </w:tcBorders>
                  <w:noWrap w:val="0"/>
                  <w:vAlign w:val="center"/>
                </w:tcPr>
                <w:p>
                  <w:pPr>
                    <w:pStyle w:val="165"/>
                    <w:rPr>
                      <w:b/>
                      <w:bCs/>
                      <w:sz w:val="21"/>
                      <w:szCs w:val="32"/>
                    </w:rPr>
                  </w:pPr>
                  <w:r>
                    <w:rPr>
                      <w:b/>
                      <w:bCs/>
                      <w:sz w:val="21"/>
                      <w:szCs w:val="32"/>
                    </w:rPr>
                    <w:t>距</w:t>
                  </w:r>
                  <w:r>
                    <w:rPr>
                      <w:rFonts w:hint="eastAsia"/>
                      <w:b/>
                      <w:bCs/>
                      <w:szCs w:val="32"/>
                    </w:rPr>
                    <w:t>院区</w:t>
                  </w:r>
                  <w:r>
                    <w:rPr>
                      <w:b/>
                      <w:bCs/>
                      <w:sz w:val="21"/>
                      <w:szCs w:val="32"/>
                    </w:rPr>
                    <w:t>边界距离/m</w:t>
                  </w:r>
                </w:p>
              </w:tc>
              <w:tc>
                <w:tcPr>
                  <w:tcW w:w="1810" w:type="dxa"/>
                  <w:gridSpan w:val="5"/>
                  <w:tcBorders>
                    <w:tl2br w:val="nil"/>
                    <w:tr2bl w:val="nil"/>
                  </w:tcBorders>
                  <w:noWrap w:val="0"/>
                  <w:vAlign w:val="center"/>
                </w:tcPr>
                <w:p>
                  <w:pPr>
                    <w:pStyle w:val="165"/>
                    <w:rPr>
                      <w:b/>
                      <w:bCs/>
                      <w:sz w:val="21"/>
                      <w:szCs w:val="32"/>
                    </w:rPr>
                  </w:pPr>
                  <w:r>
                    <w:rPr>
                      <w:rFonts w:hint="eastAsia"/>
                      <w:b/>
                      <w:bCs/>
                      <w:szCs w:val="32"/>
                    </w:rPr>
                    <w:t>院区</w:t>
                  </w:r>
                  <w:r>
                    <w:rPr>
                      <w:b/>
                      <w:bCs/>
                      <w:sz w:val="21"/>
                      <w:szCs w:val="32"/>
                    </w:rPr>
                    <w:t>边界声级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1" w:type="dxa"/>
                <w:trHeight w:val="523" w:hRule="atLeast"/>
                <w:jc w:val="center"/>
              </w:trPr>
              <w:tc>
                <w:tcPr>
                  <w:tcW w:w="475" w:type="dxa"/>
                  <w:vMerge w:val="continue"/>
                  <w:tcBorders>
                    <w:tl2br w:val="nil"/>
                    <w:tr2bl w:val="nil"/>
                  </w:tcBorders>
                  <w:noWrap w:val="0"/>
                  <w:vAlign w:val="center"/>
                </w:tcPr>
                <w:p>
                  <w:pPr>
                    <w:pStyle w:val="165"/>
                    <w:rPr>
                      <w:b/>
                      <w:bCs/>
                      <w:sz w:val="21"/>
                      <w:szCs w:val="32"/>
                    </w:rPr>
                  </w:pPr>
                </w:p>
              </w:tc>
              <w:tc>
                <w:tcPr>
                  <w:tcW w:w="450" w:type="dxa"/>
                  <w:vMerge w:val="continue"/>
                  <w:tcBorders>
                    <w:tl2br w:val="nil"/>
                    <w:tr2bl w:val="nil"/>
                  </w:tcBorders>
                  <w:noWrap w:val="0"/>
                  <w:vAlign w:val="center"/>
                </w:tcPr>
                <w:p>
                  <w:pPr>
                    <w:pStyle w:val="165"/>
                    <w:rPr>
                      <w:b/>
                      <w:bCs/>
                      <w:sz w:val="21"/>
                      <w:szCs w:val="32"/>
                    </w:rPr>
                  </w:pPr>
                </w:p>
              </w:tc>
              <w:tc>
                <w:tcPr>
                  <w:tcW w:w="465" w:type="dxa"/>
                  <w:vMerge w:val="continue"/>
                  <w:tcBorders>
                    <w:tl2br w:val="nil"/>
                    <w:tr2bl w:val="nil"/>
                  </w:tcBorders>
                  <w:noWrap w:val="0"/>
                  <w:vAlign w:val="center"/>
                </w:tcPr>
                <w:p>
                  <w:pPr>
                    <w:pStyle w:val="165"/>
                    <w:rPr>
                      <w:b/>
                      <w:bCs/>
                      <w:sz w:val="21"/>
                      <w:szCs w:val="32"/>
                    </w:rPr>
                  </w:pPr>
                </w:p>
              </w:tc>
              <w:tc>
                <w:tcPr>
                  <w:tcW w:w="720" w:type="dxa"/>
                  <w:vMerge w:val="continue"/>
                  <w:tcBorders>
                    <w:tl2br w:val="nil"/>
                    <w:tr2bl w:val="nil"/>
                  </w:tcBorders>
                  <w:noWrap w:val="0"/>
                  <w:vAlign w:val="center"/>
                </w:tcPr>
                <w:p>
                  <w:pPr>
                    <w:pStyle w:val="165"/>
                    <w:rPr>
                      <w:b/>
                      <w:bCs/>
                      <w:sz w:val="21"/>
                      <w:szCs w:val="32"/>
                    </w:rPr>
                  </w:pPr>
                </w:p>
              </w:tc>
              <w:tc>
                <w:tcPr>
                  <w:tcW w:w="1290" w:type="dxa"/>
                  <w:vMerge w:val="continue"/>
                  <w:tcBorders>
                    <w:tl2br w:val="nil"/>
                    <w:tr2bl w:val="nil"/>
                  </w:tcBorders>
                  <w:noWrap w:val="0"/>
                  <w:vAlign w:val="center"/>
                </w:tcPr>
                <w:p>
                  <w:pPr>
                    <w:pStyle w:val="165"/>
                    <w:rPr>
                      <w:b/>
                      <w:bCs/>
                      <w:sz w:val="21"/>
                      <w:szCs w:val="32"/>
                    </w:rPr>
                  </w:pPr>
                </w:p>
              </w:tc>
              <w:tc>
                <w:tcPr>
                  <w:tcW w:w="433" w:type="dxa"/>
                  <w:tcBorders>
                    <w:tl2br w:val="nil"/>
                    <w:tr2bl w:val="nil"/>
                  </w:tcBorders>
                  <w:noWrap w:val="0"/>
                  <w:vAlign w:val="center"/>
                </w:tcPr>
                <w:p>
                  <w:pPr>
                    <w:pStyle w:val="165"/>
                    <w:rPr>
                      <w:b/>
                      <w:bCs/>
                      <w:sz w:val="21"/>
                      <w:szCs w:val="32"/>
                    </w:rPr>
                  </w:pPr>
                  <w:r>
                    <w:rPr>
                      <w:b/>
                      <w:bCs/>
                      <w:sz w:val="21"/>
                      <w:szCs w:val="32"/>
                    </w:rPr>
                    <w:t>X</w:t>
                  </w:r>
                </w:p>
              </w:tc>
              <w:tc>
                <w:tcPr>
                  <w:tcW w:w="542" w:type="dxa"/>
                  <w:tcBorders>
                    <w:tl2br w:val="nil"/>
                    <w:tr2bl w:val="nil"/>
                  </w:tcBorders>
                  <w:noWrap w:val="0"/>
                  <w:vAlign w:val="center"/>
                </w:tcPr>
                <w:p>
                  <w:pPr>
                    <w:pStyle w:val="165"/>
                    <w:rPr>
                      <w:b/>
                      <w:bCs/>
                      <w:sz w:val="21"/>
                      <w:szCs w:val="32"/>
                    </w:rPr>
                  </w:pPr>
                  <w:r>
                    <w:rPr>
                      <w:b/>
                      <w:bCs/>
                      <w:sz w:val="21"/>
                      <w:szCs w:val="32"/>
                    </w:rPr>
                    <w:t>Y</w:t>
                  </w:r>
                </w:p>
              </w:tc>
              <w:tc>
                <w:tcPr>
                  <w:tcW w:w="360" w:type="dxa"/>
                  <w:tcBorders>
                    <w:tl2br w:val="nil"/>
                    <w:tr2bl w:val="nil"/>
                  </w:tcBorders>
                  <w:noWrap w:val="0"/>
                  <w:vAlign w:val="center"/>
                </w:tcPr>
                <w:p>
                  <w:pPr>
                    <w:pStyle w:val="165"/>
                    <w:rPr>
                      <w:b/>
                      <w:bCs/>
                      <w:sz w:val="21"/>
                      <w:szCs w:val="32"/>
                    </w:rPr>
                  </w:pPr>
                  <w:r>
                    <w:rPr>
                      <w:b/>
                      <w:bCs/>
                      <w:sz w:val="21"/>
                      <w:szCs w:val="32"/>
                    </w:rPr>
                    <w:t>Z</w:t>
                  </w:r>
                </w:p>
              </w:tc>
              <w:tc>
                <w:tcPr>
                  <w:tcW w:w="375" w:type="dxa"/>
                  <w:tcBorders>
                    <w:tl2br w:val="nil"/>
                    <w:tr2bl w:val="nil"/>
                  </w:tcBorders>
                  <w:noWrap w:val="0"/>
                  <w:vAlign w:val="center"/>
                </w:tcPr>
                <w:p>
                  <w:pPr>
                    <w:pStyle w:val="165"/>
                    <w:rPr>
                      <w:b/>
                      <w:bCs/>
                      <w:sz w:val="21"/>
                      <w:szCs w:val="32"/>
                    </w:rPr>
                  </w:pPr>
                  <w:r>
                    <w:rPr>
                      <w:b/>
                      <w:bCs/>
                      <w:sz w:val="21"/>
                      <w:szCs w:val="32"/>
                    </w:rPr>
                    <w:t>东</w:t>
                  </w:r>
                </w:p>
              </w:tc>
              <w:tc>
                <w:tcPr>
                  <w:tcW w:w="465" w:type="dxa"/>
                  <w:tcBorders>
                    <w:tl2br w:val="nil"/>
                    <w:tr2bl w:val="nil"/>
                  </w:tcBorders>
                  <w:noWrap w:val="0"/>
                  <w:vAlign w:val="center"/>
                </w:tcPr>
                <w:p>
                  <w:pPr>
                    <w:pStyle w:val="165"/>
                    <w:rPr>
                      <w:b/>
                      <w:bCs/>
                      <w:sz w:val="21"/>
                      <w:szCs w:val="32"/>
                    </w:rPr>
                  </w:pPr>
                  <w:r>
                    <w:rPr>
                      <w:b/>
                      <w:bCs/>
                      <w:sz w:val="21"/>
                      <w:szCs w:val="32"/>
                    </w:rPr>
                    <w:t>南</w:t>
                  </w:r>
                </w:p>
              </w:tc>
              <w:tc>
                <w:tcPr>
                  <w:tcW w:w="435" w:type="dxa"/>
                  <w:tcBorders>
                    <w:tl2br w:val="nil"/>
                    <w:tr2bl w:val="nil"/>
                  </w:tcBorders>
                  <w:noWrap w:val="0"/>
                  <w:vAlign w:val="center"/>
                </w:tcPr>
                <w:p>
                  <w:pPr>
                    <w:pStyle w:val="165"/>
                    <w:rPr>
                      <w:b/>
                      <w:bCs/>
                      <w:sz w:val="21"/>
                      <w:szCs w:val="32"/>
                    </w:rPr>
                  </w:pPr>
                  <w:r>
                    <w:rPr>
                      <w:b/>
                      <w:bCs/>
                      <w:sz w:val="21"/>
                      <w:szCs w:val="32"/>
                    </w:rPr>
                    <w:t>西</w:t>
                  </w:r>
                </w:p>
              </w:tc>
              <w:tc>
                <w:tcPr>
                  <w:tcW w:w="435" w:type="dxa"/>
                  <w:tcBorders>
                    <w:tl2br w:val="nil"/>
                    <w:tr2bl w:val="nil"/>
                  </w:tcBorders>
                  <w:noWrap w:val="0"/>
                  <w:vAlign w:val="center"/>
                </w:tcPr>
                <w:p>
                  <w:pPr>
                    <w:pStyle w:val="165"/>
                    <w:rPr>
                      <w:b/>
                      <w:bCs/>
                      <w:sz w:val="21"/>
                      <w:szCs w:val="32"/>
                    </w:rPr>
                  </w:pPr>
                  <w:r>
                    <w:rPr>
                      <w:b/>
                      <w:bCs/>
                      <w:sz w:val="21"/>
                      <w:szCs w:val="32"/>
                    </w:rPr>
                    <w:t>北</w:t>
                  </w:r>
                </w:p>
              </w:tc>
              <w:tc>
                <w:tcPr>
                  <w:tcW w:w="435" w:type="dxa"/>
                  <w:tcBorders>
                    <w:tl2br w:val="nil"/>
                    <w:tr2bl w:val="nil"/>
                  </w:tcBorders>
                  <w:noWrap w:val="0"/>
                  <w:vAlign w:val="center"/>
                </w:tcPr>
                <w:p>
                  <w:pPr>
                    <w:pStyle w:val="165"/>
                    <w:rPr>
                      <w:b/>
                      <w:bCs/>
                      <w:sz w:val="21"/>
                      <w:szCs w:val="32"/>
                    </w:rPr>
                  </w:pPr>
                  <w:r>
                    <w:rPr>
                      <w:b/>
                      <w:bCs/>
                      <w:sz w:val="21"/>
                      <w:szCs w:val="32"/>
                    </w:rPr>
                    <w:t>东</w:t>
                  </w:r>
                </w:p>
              </w:tc>
              <w:tc>
                <w:tcPr>
                  <w:tcW w:w="465" w:type="dxa"/>
                  <w:tcBorders>
                    <w:tl2br w:val="nil"/>
                    <w:tr2bl w:val="nil"/>
                  </w:tcBorders>
                  <w:noWrap w:val="0"/>
                  <w:vAlign w:val="center"/>
                </w:tcPr>
                <w:p>
                  <w:pPr>
                    <w:pStyle w:val="165"/>
                    <w:rPr>
                      <w:b/>
                      <w:bCs/>
                      <w:sz w:val="21"/>
                      <w:szCs w:val="32"/>
                    </w:rPr>
                  </w:pPr>
                  <w:r>
                    <w:rPr>
                      <w:b/>
                      <w:bCs/>
                      <w:sz w:val="21"/>
                      <w:szCs w:val="32"/>
                    </w:rPr>
                    <w:t>南</w:t>
                  </w:r>
                </w:p>
              </w:tc>
              <w:tc>
                <w:tcPr>
                  <w:tcW w:w="450" w:type="dxa"/>
                  <w:tcBorders>
                    <w:tl2br w:val="nil"/>
                    <w:tr2bl w:val="nil"/>
                  </w:tcBorders>
                  <w:noWrap w:val="0"/>
                  <w:vAlign w:val="center"/>
                </w:tcPr>
                <w:p>
                  <w:pPr>
                    <w:pStyle w:val="165"/>
                    <w:rPr>
                      <w:b/>
                      <w:bCs/>
                      <w:sz w:val="21"/>
                      <w:szCs w:val="32"/>
                    </w:rPr>
                  </w:pPr>
                  <w:r>
                    <w:rPr>
                      <w:b/>
                      <w:bCs/>
                      <w:sz w:val="21"/>
                      <w:szCs w:val="32"/>
                    </w:rPr>
                    <w:t>西</w:t>
                  </w:r>
                </w:p>
              </w:tc>
              <w:tc>
                <w:tcPr>
                  <w:tcW w:w="449" w:type="dxa"/>
                  <w:tcBorders>
                    <w:tl2br w:val="nil"/>
                    <w:tr2bl w:val="nil"/>
                  </w:tcBorders>
                  <w:noWrap w:val="0"/>
                  <w:vAlign w:val="center"/>
                </w:tcPr>
                <w:p>
                  <w:pPr>
                    <w:pStyle w:val="165"/>
                    <w:rPr>
                      <w:b/>
                      <w:bCs/>
                      <w:sz w:val="21"/>
                      <w:szCs w:val="32"/>
                    </w:rPr>
                  </w:pPr>
                  <w:r>
                    <w:rPr>
                      <w:b/>
                      <w:bCs/>
                      <w:sz w:val="21"/>
                      <w:szCs w:val="32"/>
                    </w:rPr>
                    <w:t>北</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1" w:type="dxa"/>
                <w:trHeight w:val="636" w:hRule="atLeast"/>
                <w:jc w:val="center"/>
              </w:trPr>
              <w:tc>
                <w:tcPr>
                  <w:tcW w:w="475" w:type="dxa"/>
                  <w:tcBorders>
                    <w:tl2br w:val="nil"/>
                    <w:tr2bl w:val="nil"/>
                  </w:tcBorders>
                  <w:noWrap w:val="0"/>
                  <w:vAlign w:val="center"/>
                </w:tcPr>
                <w:p>
                  <w:pPr>
                    <w:pStyle w:val="165"/>
                    <w:rPr>
                      <w:rFonts w:hint="eastAsia"/>
                      <w:szCs w:val="32"/>
                    </w:rPr>
                  </w:pPr>
                  <w:r>
                    <w:rPr>
                      <w:rFonts w:hint="eastAsia"/>
                      <w:szCs w:val="32"/>
                    </w:rPr>
                    <w:t>发电机</w:t>
                  </w:r>
                </w:p>
              </w:tc>
              <w:tc>
                <w:tcPr>
                  <w:tcW w:w="450" w:type="dxa"/>
                  <w:tcBorders>
                    <w:tl2br w:val="nil"/>
                    <w:tr2bl w:val="nil"/>
                  </w:tcBorders>
                  <w:noWrap w:val="0"/>
                  <w:vAlign w:val="center"/>
                </w:tcPr>
                <w:p>
                  <w:pPr>
                    <w:pStyle w:val="165"/>
                    <w:rPr>
                      <w:rFonts w:hint="eastAsia"/>
                      <w:szCs w:val="32"/>
                    </w:rPr>
                  </w:pPr>
                  <w:r>
                    <w:rPr>
                      <w:rFonts w:hint="eastAsia"/>
                      <w:szCs w:val="32"/>
                    </w:rPr>
                    <w:t>发电机房</w:t>
                  </w:r>
                </w:p>
              </w:tc>
              <w:tc>
                <w:tcPr>
                  <w:tcW w:w="465" w:type="dxa"/>
                  <w:tcBorders>
                    <w:tl2br w:val="nil"/>
                    <w:tr2bl w:val="nil"/>
                  </w:tcBorders>
                  <w:noWrap w:val="0"/>
                  <w:vAlign w:val="center"/>
                </w:tcPr>
                <w:p>
                  <w:pPr>
                    <w:pStyle w:val="165"/>
                    <w:rPr>
                      <w:rFonts w:hint="eastAsia"/>
                      <w:kern w:val="2"/>
                      <w:szCs w:val="32"/>
                    </w:rPr>
                  </w:pPr>
                  <w:r>
                    <w:rPr>
                      <w:rFonts w:hint="eastAsia"/>
                      <w:kern w:val="2"/>
                      <w:szCs w:val="32"/>
                    </w:rPr>
                    <w:t>1</w:t>
                  </w:r>
                </w:p>
              </w:tc>
              <w:tc>
                <w:tcPr>
                  <w:tcW w:w="720" w:type="dxa"/>
                  <w:tcBorders>
                    <w:tl2br w:val="nil"/>
                    <w:tr2bl w:val="nil"/>
                  </w:tcBorders>
                  <w:noWrap w:val="0"/>
                  <w:vAlign w:val="center"/>
                </w:tcPr>
                <w:p>
                  <w:pPr>
                    <w:pStyle w:val="165"/>
                    <w:rPr>
                      <w:szCs w:val="32"/>
                    </w:rPr>
                  </w:pPr>
                  <w:r>
                    <w:rPr>
                      <w:rFonts w:hint="eastAsia"/>
                      <w:szCs w:val="32"/>
                    </w:rPr>
                    <w:t>65</w:t>
                  </w:r>
                </w:p>
              </w:tc>
              <w:tc>
                <w:tcPr>
                  <w:tcW w:w="1290" w:type="dxa"/>
                  <w:vMerge w:val="restart"/>
                  <w:tcBorders>
                    <w:tl2br w:val="nil"/>
                    <w:tr2bl w:val="nil"/>
                  </w:tcBorders>
                  <w:noWrap w:val="0"/>
                  <w:vAlign w:val="center"/>
                </w:tcPr>
                <w:p>
                  <w:pPr>
                    <w:pStyle w:val="165"/>
                    <w:rPr>
                      <w:szCs w:val="32"/>
                    </w:rPr>
                  </w:pPr>
                  <w:r>
                    <w:rPr>
                      <w:rFonts w:hint="eastAsia"/>
                      <w:szCs w:val="32"/>
                    </w:rPr>
                    <w:t>①污水处理站采用地埋工艺，调节池等加盖封闭；②发电机采取了隔声封闭、基础减震措施，并采用吸声材料；</w:t>
                  </w:r>
                </w:p>
              </w:tc>
              <w:tc>
                <w:tcPr>
                  <w:tcW w:w="433" w:type="dxa"/>
                  <w:tcBorders>
                    <w:tl2br w:val="nil"/>
                    <w:tr2bl w:val="nil"/>
                  </w:tcBorders>
                  <w:noWrap w:val="0"/>
                  <w:vAlign w:val="center"/>
                </w:tcPr>
                <w:p>
                  <w:pPr>
                    <w:pStyle w:val="165"/>
                    <w:rPr>
                      <w:szCs w:val="32"/>
                    </w:rPr>
                  </w:pPr>
                  <w:r>
                    <w:rPr>
                      <w:rFonts w:hint="eastAsia"/>
                      <w:szCs w:val="32"/>
                    </w:rPr>
                    <w:t>12</w:t>
                  </w:r>
                </w:p>
              </w:tc>
              <w:tc>
                <w:tcPr>
                  <w:tcW w:w="542" w:type="dxa"/>
                  <w:tcBorders>
                    <w:tl2br w:val="nil"/>
                    <w:tr2bl w:val="nil"/>
                  </w:tcBorders>
                  <w:noWrap w:val="0"/>
                  <w:vAlign w:val="center"/>
                </w:tcPr>
                <w:p>
                  <w:pPr>
                    <w:pStyle w:val="165"/>
                    <w:rPr>
                      <w:rFonts w:hint="eastAsia"/>
                      <w:szCs w:val="32"/>
                    </w:rPr>
                  </w:pPr>
                  <w:r>
                    <w:rPr>
                      <w:rFonts w:hint="eastAsia"/>
                      <w:szCs w:val="32"/>
                    </w:rPr>
                    <w:t>-39</w:t>
                  </w:r>
                </w:p>
              </w:tc>
              <w:tc>
                <w:tcPr>
                  <w:tcW w:w="360" w:type="dxa"/>
                  <w:tcBorders>
                    <w:tl2br w:val="nil"/>
                    <w:tr2bl w:val="nil"/>
                  </w:tcBorders>
                  <w:noWrap w:val="0"/>
                  <w:vAlign w:val="center"/>
                </w:tcPr>
                <w:p>
                  <w:pPr>
                    <w:pStyle w:val="165"/>
                    <w:rPr>
                      <w:rFonts w:hint="eastAsia"/>
                      <w:szCs w:val="32"/>
                    </w:rPr>
                  </w:pPr>
                  <w:r>
                    <w:rPr>
                      <w:rFonts w:hint="eastAsia"/>
                      <w:szCs w:val="32"/>
                    </w:rPr>
                    <w:t>0</w:t>
                  </w:r>
                </w:p>
              </w:tc>
              <w:tc>
                <w:tcPr>
                  <w:tcW w:w="375" w:type="dxa"/>
                  <w:tcBorders>
                    <w:tl2br w:val="nil"/>
                    <w:tr2bl w:val="nil"/>
                  </w:tcBorders>
                  <w:noWrap w:val="0"/>
                  <w:vAlign w:val="center"/>
                </w:tcPr>
                <w:p>
                  <w:pPr>
                    <w:pStyle w:val="165"/>
                    <w:rPr>
                      <w:rFonts w:hint="eastAsia"/>
                      <w:szCs w:val="32"/>
                    </w:rPr>
                  </w:pPr>
                  <w:r>
                    <w:rPr>
                      <w:rFonts w:hint="eastAsia"/>
                      <w:szCs w:val="32"/>
                    </w:rPr>
                    <w:t>3</w:t>
                  </w:r>
                </w:p>
              </w:tc>
              <w:tc>
                <w:tcPr>
                  <w:tcW w:w="465" w:type="dxa"/>
                  <w:tcBorders>
                    <w:tl2br w:val="nil"/>
                    <w:tr2bl w:val="nil"/>
                  </w:tcBorders>
                  <w:noWrap w:val="0"/>
                  <w:vAlign w:val="center"/>
                </w:tcPr>
                <w:p>
                  <w:pPr>
                    <w:pStyle w:val="165"/>
                    <w:rPr>
                      <w:szCs w:val="32"/>
                    </w:rPr>
                  </w:pPr>
                  <w:r>
                    <w:rPr>
                      <w:rFonts w:hint="eastAsia"/>
                      <w:szCs w:val="32"/>
                    </w:rPr>
                    <w:t>16</w:t>
                  </w:r>
                </w:p>
              </w:tc>
              <w:tc>
                <w:tcPr>
                  <w:tcW w:w="435" w:type="dxa"/>
                  <w:tcBorders>
                    <w:tl2br w:val="nil"/>
                    <w:tr2bl w:val="nil"/>
                  </w:tcBorders>
                  <w:noWrap w:val="0"/>
                  <w:vAlign w:val="center"/>
                </w:tcPr>
                <w:p>
                  <w:pPr>
                    <w:pStyle w:val="165"/>
                    <w:rPr>
                      <w:rFonts w:hint="eastAsia"/>
                      <w:szCs w:val="32"/>
                    </w:rPr>
                  </w:pPr>
                  <w:r>
                    <w:rPr>
                      <w:rFonts w:hint="eastAsia"/>
                      <w:szCs w:val="32"/>
                    </w:rPr>
                    <w:t>40</w:t>
                  </w:r>
                </w:p>
              </w:tc>
              <w:tc>
                <w:tcPr>
                  <w:tcW w:w="435" w:type="dxa"/>
                  <w:tcBorders>
                    <w:tl2br w:val="nil"/>
                    <w:tr2bl w:val="nil"/>
                  </w:tcBorders>
                  <w:noWrap w:val="0"/>
                  <w:vAlign w:val="center"/>
                </w:tcPr>
                <w:p>
                  <w:pPr>
                    <w:pStyle w:val="165"/>
                    <w:rPr>
                      <w:szCs w:val="32"/>
                    </w:rPr>
                  </w:pPr>
                  <w:r>
                    <w:rPr>
                      <w:rFonts w:hint="eastAsia"/>
                      <w:szCs w:val="32"/>
                    </w:rPr>
                    <w:t>76</w:t>
                  </w:r>
                </w:p>
              </w:tc>
              <w:tc>
                <w:tcPr>
                  <w:tcW w:w="435" w:type="dxa"/>
                  <w:tcBorders>
                    <w:tl2br w:val="nil"/>
                    <w:tr2bl w:val="nil"/>
                  </w:tcBorders>
                  <w:noWrap w:val="0"/>
                  <w:vAlign w:val="center"/>
                </w:tcPr>
                <w:p>
                  <w:pPr>
                    <w:pStyle w:val="165"/>
                    <w:rPr>
                      <w:szCs w:val="32"/>
                    </w:rPr>
                  </w:pPr>
                  <w:r>
                    <w:rPr>
                      <w:rFonts w:hint="eastAsia"/>
                      <w:szCs w:val="32"/>
                    </w:rPr>
                    <w:t>56</w:t>
                  </w:r>
                </w:p>
              </w:tc>
              <w:tc>
                <w:tcPr>
                  <w:tcW w:w="465" w:type="dxa"/>
                  <w:tcBorders>
                    <w:tl2br w:val="nil"/>
                    <w:tr2bl w:val="nil"/>
                  </w:tcBorders>
                  <w:noWrap w:val="0"/>
                  <w:vAlign w:val="center"/>
                </w:tcPr>
                <w:p>
                  <w:pPr>
                    <w:pStyle w:val="165"/>
                    <w:rPr>
                      <w:szCs w:val="32"/>
                    </w:rPr>
                  </w:pPr>
                  <w:r>
                    <w:rPr>
                      <w:rFonts w:hint="eastAsia"/>
                      <w:szCs w:val="32"/>
                    </w:rPr>
                    <w:t>41</w:t>
                  </w:r>
                </w:p>
              </w:tc>
              <w:tc>
                <w:tcPr>
                  <w:tcW w:w="450" w:type="dxa"/>
                  <w:tcBorders>
                    <w:tl2br w:val="nil"/>
                    <w:tr2bl w:val="nil"/>
                  </w:tcBorders>
                  <w:noWrap w:val="0"/>
                  <w:vAlign w:val="center"/>
                </w:tcPr>
                <w:p>
                  <w:pPr>
                    <w:pStyle w:val="165"/>
                    <w:rPr>
                      <w:szCs w:val="32"/>
                    </w:rPr>
                  </w:pPr>
                  <w:r>
                    <w:rPr>
                      <w:rFonts w:hint="eastAsia"/>
                      <w:szCs w:val="32"/>
                    </w:rPr>
                    <w:t>33</w:t>
                  </w:r>
                </w:p>
              </w:tc>
              <w:tc>
                <w:tcPr>
                  <w:tcW w:w="449" w:type="dxa"/>
                  <w:tcBorders>
                    <w:tl2br w:val="nil"/>
                    <w:tr2bl w:val="nil"/>
                  </w:tcBorders>
                  <w:noWrap w:val="0"/>
                  <w:vAlign w:val="center"/>
                </w:tcPr>
                <w:p>
                  <w:pPr>
                    <w:pStyle w:val="165"/>
                    <w:rPr>
                      <w:szCs w:val="32"/>
                    </w:rPr>
                  </w:pPr>
                  <w:r>
                    <w:rPr>
                      <w:rFonts w:hint="eastAsia"/>
                      <w:szCs w:val="32"/>
                    </w:rPr>
                    <w:t>27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1" w:type="dxa"/>
                <w:trHeight w:val="741" w:hRule="atLeast"/>
                <w:jc w:val="center"/>
              </w:trPr>
              <w:tc>
                <w:tcPr>
                  <w:tcW w:w="475" w:type="dxa"/>
                  <w:tcBorders>
                    <w:tl2br w:val="nil"/>
                    <w:tr2bl w:val="nil"/>
                  </w:tcBorders>
                  <w:noWrap w:val="0"/>
                  <w:vAlign w:val="center"/>
                </w:tcPr>
                <w:p>
                  <w:pPr>
                    <w:pStyle w:val="165"/>
                    <w:rPr>
                      <w:rFonts w:hint="eastAsia" w:eastAsia="宋体"/>
                      <w:szCs w:val="32"/>
                      <w:lang w:eastAsia="zh-CN"/>
                    </w:rPr>
                  </w:pPr>
                  <w:r>
                    <w:rPr>
                      <w:rFonts w:hint="eastAsia"/>
                      <w:szCs w:val="32"/>
                      <w:lang w:eastAsia="zh-CN"/>
                    </w:rPr>
                    <w:t>水泵</w:t>
                  </w:r>
                </w:p>
              </w:tc>
              <w:tc>
                <w:tcPr>
                  <w:tcW w:w="450" w:type="dxa"/>
                  <w:tcBorders>
                    <w:tl2br w:val="nil"/>
                    <w:tr2bl w:val="nil"/>
                  </w:tcBorders>
                  <w:noWrap w:val="0"/>
                  <w:vAlign w:val="center"/>
                </w:tcPr>
                <w:p>
                  <w:pPr>
                    <w:pStyle w:val="165"/>
                    <w:rPr>
                      <w:rFonts w:hint="eastAsia"/>
                      <w:szCs w:val="32"/>
                    </w:rPr>
                  </w:pPr>
                  <w:r>
                    <w:rPr>
                      <w:rFonts w:hint="eastAsia"/>
                      <w:szCs w:val="32"/>
                    </w:rPr>
                    <w:t>洗衣房</w:t>
                  </w:r>
                </w:p>
              </w:tc>
              <w:tc>
                <w:tcPr>
                  <w:tcW w:w="465" w:type="dxa"/>
                  <w:tcBorders>
                    <w:tl2br w:val="nil"/>
                    <w:tr2bl w:val="nil"/>
                  </w:tcBorders>
                  <w:noWrap w:val="0"/>
                  <w:vAlign w:val="center"/>
                </w:tcPr>
                <w:p>
                  <w:pPr>
                    <w:pStyle w:val="165"/>
                    <w:rPr>
                      <w:rFonts w:hint="eastAsia"/>
                      <w:kern w:val="2"/>
                      <w:szCs w:val="32"/>
                    </w:rPr>
                  </w:pPr>
                  <w:r>
                    <w:rPr>
                      <w:rFonts w:hint="eastAsia"/>
                      <w:kern w:val="2"/>
                      <w:szCs w:val="32"/>
                    </w:rPr>
                    <w:t>1</w:t>
                  </w:r>
                </w:p>
              </w:tc>
              <w:tc>
                <w:tcPr>
                  <w:tcW w:w="720" w:type="dxa"/>
                  <w:tcBorders>
                    <w:tl2br w:val="nil"/>
                    <w:tr2bl w:val="nil"/>
                  </w:tcBorders>
                  <w:noWrap w:val="0"/>
                  <w:vAlign w:val="center"/>
                </w:tcPr>
                <w:p>
                  <w:pPr>
                    <w:pStyle w:val="165"/>
                    <w:rPr>
                      <w:szCs w:val="32"/>
                    </w:rPr>
                  </w:pPr>
                  <w:r>
                    <w:rPr>
                      <w:rFonts w:hint="eastAsia"/>
                      <w:szCs w:val="32"/>
                    </w:rPr>
                    <w:t>60</w:t>
                  </w:r>
                </w:p>
              </w:tc>
              <w:tc>
                <w:tcPr>
                  <w:tcW w:w="1290" w:type="dxa"/>
                  <w:vMerge w:val="continue"/>
                  <w:tcBorders>
                    <w:tl2br w:val="nil"/>
                    <w:tr2bl w:val="nil"/>
                  </w:tcBorders>
                  <w:noWrap w:val="0"/>
                  <w:vAlign w:val="center"/>
                </w:tcPr>
                <w:p>
                  <w:pPr>
                    <w:pStyle w:val="165"/>
                    <w:rPr>
                      <w:szCs w:val="32"/>
                    </w:rPr>
                  </w:pPr>
                </w:p>
              </w:tc>
              <w:tc>
                <w:tcPr>
                  <w:tcW w:w="433" w:type="dxa"/>
                  <w:tcBorders>
                    <w:tl2br w:val="nil"/>
                    <w:tr2bl w:val="nil"/>
                  </w:tcBorders>
                  <w:noWrap w:val="0"/>
                  <w:vAlign w:val="center"/>
                </w:tcPr>
                <w:p>
                  <w:pPr>
                    <w:pStyle w:val="165"/>
                    <w:rPr>
                      <w:rFonts w:hint="eastAsia"/>
                      <w:szCs w:val="32"/>
                    </w:rPr>
                  </w:pPr>
                  <w:r>
                    <w:rPr>
                      <w:rFonts w:hint="eastAsia"/>
                      <w:szCs w:val="32"/>
                    </w:rPr>
                    <w:t>8</w:t>
                  </w:r>
                </w:p>
              </w:tc>
              <w:tc>
                <w:tcPr>
                  <w:tcW w:w="542" w:type="dxa"/>
                  <w:tcBorders>
                    <w:tl2br w:val="nil"/>
                    <w:tr2bl w:val="nil"/>
                  </w:tcBorders>
                  <w:noWrap w:val="0"/>
                  <w:vAlign w:val="center"/>
                </w:tcPr>
                <w:p>
                  <w:pPr>
                    <w:pStyle w:val="165"/>
                    <w:rPr>
                      <w:szCs w:val="32"/>
                    </w:rPr>
                  </w:pPr>
                  <w:r>
                    <w:rPr>
                      <w:rFonts w:hint="eastAsia"/>
                      <w:szCs w:val="32"/>
                    </w:rPr>
                    <w:t>-35</w:t>
                  </w:r>
                </w:p>
              </w:tc>
              <w:tc>
                <w:tcPr>
                  <w:tcW w:w="360" w:type="dxa"/>
                  <w:tcBorders>
                    <w:tl2br w:val="nil"/>
                    <w:tr2bl w:val="nil"/>
                  </w:tcBorders>
                  <w:noWrap w:val="0"/>
                  <w:vAlign w:val="center"/>
                </w:tcPr>
                <w:p>
                  <w:pPr>
                    <w:pStyle w:val="165"/>
                    <w:rPr>
                      <w:rFonts w:hint="eastAsia"/>
                      <w:szCs w:val="32"/>
                    </w:rPr>
                  </w:pPr>
                  <w:r>
                    <w:rPr>
                      <w:rFonts w:hint="eastAsia"/>
                      <w:szCs w:val="32"/>
                    </w:rPr>
                    <w:t>0</w:t>
                  </w:r>
                </w:p>
              </w:tc>
              <w:tc>
                <w:tcPr>
                  <w:tcW w:w="375" w:type="dxa"/>
                  <w:tcBorders>
                    <w:tl2br w:val="nil"/>
                    <w:tr2bl w:val="nil"/>
                  </w:tcBorders>
                  <w:noWrap w:val="0"/>
                  <w:vAlign w:val="center"/>
                </w:tcPr>
                <w:p>
                  <w:pPr>
                    <w:pStyle w:val="165"/>
                    <w:rPr>
                      <w:rFonts w:hint="eastAsia"/>
                      <w:szCs w:val="32"/>
                    </w:rPr>
                  </w:pPr>
                  <w:r>
                    <w:rPr>
                      <w:rFonts w:hint="eastAsia"/>
                      <w:szCs w:val="32"/>
                    </w:rPr>
                    <w:t>2</w:t>
                  </w:r>
                </w:p>
              </w:tc>
              <w:tc>
                <w:tcPr>
                  <w:tcW w:w="465" w:type="dxa"/>
                  <w:tcBorders>
                    <w:tl2br w:val="nil"/>
                    <w:tr2bl w:val="nil"/>
                  </w:tcBorders>
                  <w:noWrap w:val="0"/>
                  <w:vAlign w:val="center"/>
                </w:tcPr>
                <w:p>
                  <w:pPr>
                    <w:pStyle w:val="165"/>
                    <w:rPr>
                      <w:szCs w:val="32"/>
                    </w:rPr>
                  </w:pPr>
                  <w:r>
                    <w:rPr>
                      <w:rFonts w:hint="eastAsia"/>
                      <w:szCs w:val="32"/>
                    </w:rPr>
                    <w:t>20</w:t>
                  </w:r>
                </w:p>
              </w:tc>
              <w:tc>
                <w:tcPr>
                  <w:tcW w:w="435" w:type="dxa"/>
                  <w:tcBorders>
                    <w:tl2br w:val="nil"/>
                    <w:tr2bl w:val="nil"/>
                  </w:tcBorders>
                  <w:noWrap w:val="0"/>
                  <w:vAlign w:val="center"/>
                </w:tcPr>
                <w:p>
                  <w:pPr>
                    <w:pStyle w:val="165"/>
                    <w:rPr>
                      <w:szCs w:val="32"/>
                    </w:rPr>
                  </w:pPr>
                  <w:r>
                    <w:rPr>
                      <w:rFonts w:hint="eastAsia"/>
                      <w:szCs w:val="32"/>
                    </w:rPr>
                    <w:t>36</w:t>
                  </w:r>
                </w:p>
              </w:tc>
              <w:tc>
                <w:tcPr>
                  <w:tcW w:w="435" w:type="dxa"/>
                  <w:tcBorders>
                    <w:tl2br w:val="nil"/>
                    <w:tr2bl w:val="nil"/>
                  </w:tcBorders>
                  <w:noWrap w:val="0"/>
                  <w:vAlign w:val="center"/>
                </w:tcPr>
                <w:p>
                  <w:pPr>
                    <w:pStyle w:val="165"/>
                    <w:rPr>
                      <w:szCs w:val="32"/>
                    </w:rPr>
                  </w:pPr>
                  <w:r>
                    <w:rPr>
                      <w:rFonts w:hint="eastAsia"/>
                      <w:szCs w:val="32"/>
                    </w:rPr>
                    <w:t>70</w:t>
                  </w:r>
                </w:p>
              </w:tc>
              <w:tc>
                <w:tcPr>
                  <w:tcW w:w="435" w:type="dxa"/>
                  <w:tcBorders>
                    <w:tl2br w:val="nil"/>
                    <w:tr2bl w:val="nil"/>
                  </w:tcBorders>
                  <w:noWrap w:val="0"/>
                  <w:vAlign w:val="center"/>
                </w:tcPr>
                <w:p>
                  <w:pPr>
                    <w:pStyle w:val="165"/>
                    <w:rPr>
                      <w:szCs w:val="32"/>
                    </w:rPr>
                  </w:pPr>
                  <w:r>
                    <w:rPr>
                      <w:rFonts w:hint="eastAsia"/>
                      <w:szCs w:val="32"/>
                    </w:rPr>
                    <w:t>54</w:t>
                  </w:r>
                </w:p>
              </w:tc>
              <w:tc>
                <w:tcPr>
                  <w:tcW w:w="465" w:type="dxa"/>
                  <w:tcBorders>
                    <w:tl2br w:val="nil"/>
                    <w:tr2bl w:val="nil"/>
                  </w:tcBorders>
                  <w:noWrap w:val="0"/>
                  <w:vAlign w:val="center"/>
                </w:tcPr>
                <w:p>
                  <w:pPr>
                    <w:pStyle w:val="165"/>
                    <w:rPr>
                      <w:szCs w:val="32"/>
                    </w:rPr>
                  </w:pPr>
                  <w:r>
                    <w:rPr>
                      <w:rFonts w:hint="eastAsia"/>
                      <w:szCs w:val="32"/>
                    </w:rPr>
                    <w:t>34</w:t>
                  </w:r>
                </w:p>
              </w:tc>
              <w:tc>
                <w:tcPr>
                  <w:tcW w:w="450" w:type="dxa"/>
                  <w:tcBorders>
                    <w:tl2br w:val="nil"/>
                    <w:tr2bl w:val="nil"/>
                  </w:tcBorders>
                  <w:noWrap w:val="0"/>
                  <w:vAlign w:val="center"/>
                </w:tcPr>
                <w:p>
                  <w:pPr>
                    <w:pStyle w:val="165"/>
                    <w:rPr>
                      <w:szCs w:val="32"/>
                    </w:rPr>
                  </w:pPr>
                  <w:r>
                    <w:rPr>
                      <w:rFonts w:hint="eastAsia"/>
                      <w:szCs w:val="32"/>
                    </w:rPr>
                    <w:t>29</w:t>
                  </w:r>
                </w:p>
              </w:tc>
              <w:tc>
                <w:tcPr>
                  <w:tcW w:w="449" w:type="dxa"/>
                  <w:tcBorders>
                    <w:tl2br w:val="nil"/>
                    <w:tr2bl w:val="nil"/>
                  </w:tcBorders>
                  <w:noWrap w:val="0"/>
                  <w:vAlign w:val="center"/>
                </w:tcPr>
                <w:p>
                  <w:pPr>
                    <w:pStyle w:val="165"/>
                    <w:rPr>
                      <w:szCs w:val="32"/>
                    </w:rPr>
                  </w:pPr>
                  <w:r>
                    <w:rPr>
                      <w:rFonts w:hint="eastAsia"/>
                      <w:szCs w:val="32"/>
                    </w:rPr>
                    <w:t>23</w:t>
                  </w:r>
                </w:p>
              </w:tc>
            </w:tr>
          </w:tbl>
          <w:p>
            <w:pPr>
              <w:pStyle w:val="72"/>
              <w:numPr>
                <w:ilvl w:val="0"/>
                <w:numId w:val="8"/>
              </w:numPr>
              <w:ind w:firstLine="482"/>
              <w:rPr>
                <w:rFonts w:hint="eastAsia"/>
                <w:b/>
              </w:rPr>
            </w:pPr>
            <w:r>
              <w:rPr>
                <w:rFonts w:hint="eastAsia"/>
                <w:b/>
              </w:rPr>
              <w:t>噪声治理措施</w:t>
            </w:r>
          </w:p>
          <w:p>
            <w:pPr>
              <w:pStyle w:val="72"/>
              <w:bidi w:val="0"/>
              <w:spacing w:line="360" w:lineRule="auto"/>
            </w:pPr>
            <w:r>
              <w:rPr>
                <w:rFonts w:hint="eastAsia"/>
              </w:rPr>
              <w:t>为有效降低设备运行噪声，确保厂界噪声达到《工业企业厂界环境噪声排放标准》（</w:t>
            </w:r>
            <w:r>
              <w:t>GB12348-2008</w:t>
            </w:r>
            <w:r>
              <w:rPr>
                <w:rFonts w:hint="eastAsia"/>
              </w:rPr>
              <w:t>）中相应标准，环评要求采取以下降噪措施：</w:t>
            </w:r>
          </w:p>
          <w:p>
            <w:pPr>
              <w:pStyle w:val="72"/>
              <w:bidi w:val="0"/>
              <w:spacing w:line="360" w:lineRule="auto"/>
            </w:pPr>
            <w:r>
              <w:rPr>
                <w:rFonts w:hint="eastAsia"/>
              </w:rPr>
              <w:t>①尽量选用先进的低噪声设备，各产噪设备均进行基础减振处理，降低振动噪声；</w:t>
            </w:r>
          </w:p>
          <w:p>
            <w:pPr>
              <w:pStyle w:val="72"/>
              <w:bidi w:val="0"/>
              <w:spacing w:line="360" w:lineRule="auto"/>
              <w:rPr>
                <w:rFonts w:hint="eastAsia"/>
              </w:rPr>
            </w:pPr>
            <w:r>
              <w:rPr>
                <w:rFonts w:hint="eastAsia"/>
              </w:rPr>
              <w:t>②污水处理站采用地埋工艺，调节池等加盖封闭，四周加强绿化；</w:t>
            </w:r>
          </w:p>
          <w:p>
            <w:pPr>
              <w:pStyle w:val="72"/>
              <w:bidi w:val="0"/>
              <w:spacing w:line="360" w:lineRule="auto"/>
              <w:rPr>
                <w:rFonts w:hint="eastAsia"/>
              </w:rPr>
            </w:pPr>
            <w:r>
              <w:rPr>
                <w:rFonts w:hint="eastAsia"/>
              </w:rPr>
              <w:t>③发电机、污水泵均采取了隔声封闭、基础减震措施，并采用吸声材料；</w:t>
            </w:r>
          </w:p>
          <w:p>
            <w:pPr>
              <w:pStyle w:val="72"/>
              <w:bidi w:val="0"/>
              <w:spacing w:line="360" w:lineRule="auto"/>
              <w:rPr>
                <w:rFonts w:hint="eastAsia"/>
              </w:rPr>
            </w:pPr>
            <w:r>
              <w:rPr>
                <w:rFonts w:hint="eastAsia"/>
              </w:rPr>
              <w:t>④公共区域张贴“禁止高声喧哗”等标语；</w:t>
            </w:r>
          </w:p>
          <w:p>
            <w:pPr>
              <w:pStyle w:val="72"/>
              <w:bidi w:val="0"/>
              <w:spacing w:line="360" w:lineRule="auto"/>
              <w:rPr>
                <w:rFonts w:hint="eastAsia"/>
              </w:rPr>
            </w:pPr>
            <w:r>
              <w:rPr>
                <w:rFonts w:hint="eastAsia"/>
              </w:rPr>
              <w:t>⑤医院进出车辆低速行驶，禁止鸣笛、频繁点火；</w:t>
            </w:r>
          </w:p>
          <w:p>
            <w:pPr>
              <w:pStyle w:val="72"/>
              <w:bidi w:val="0"/>
              <w:spacing w:line="360" w:lineRule="auto"/>
              <w:rPr>
                <w:rFonts w:hint="eastAsia"/>
              </w:rPr>
            </w:pPr>
            <w:r>
              <w:rPr>
                <w:rFonts w:hint="eastAsia"/>
              </w:rPr>
              <w:t>⑥空调安装在外墙一侧，间歇式使用；</w:t>
            </w:r>
          </w:p>
          <w:p>
            <w:pPr>
              <w:pStyle w:val="72"/>
              <w:bidi w:val="0"/>
              <w:spacing w:line="360" w:lineRule="auto"/>
            </w:pPr>
            <w:r>
              <w:rPr>
                <w:rFonts w:hint="eastAsia"/>
              </w:rPr>
              <w:t>⑦加强设备维护、保养，保证设备正常运转，防止设备故障形成的非正常生产噪声。</w:t>
            </w:r>
          </w:p>
          <w:p>
            <w:pPr>
              <w:pStyle w:val="72"/>
              <w:bidi w:val="0"/>
              <w:spacing w:line="360" w:lineRule="auto"/>
              <w:rPr>
                <w:rFonts w:hint="eastAsia"/>
              </w:rPr>
            </w:pPr>
            <w:r>
              <w:rPr>
                <w:rFonts w:hint="eastAsia"/>
              </w:rPr>
              <w:t>为了解项目采取的噪声污染防治措施的有效性，本次评价期间，对项目院区四周最近敏感点处进行了噪声检测。</w:t>
            </w:r>
          </w:p>
          <w:p>
            <w:pPr>
              <w:jc w:val="center"/>
              <w:rPr>
                <w:b/>
                <w:bCs/>
                <w:color w:val="000000"/>
                <w:szCs w:val="21"/>
              </w:rPr>
            </w:pPr>
            <w:r>
              <w:rPr>
                <w:rFonts w:hint="eastAsia" w:ascii="黑体" w:hAnsi="黑体" w:eastAsia="黑体" w:cs="黑体"/>
                <w:kern w:val="0"/>
                <w:szCs w:val="21"/>
              </w:rPr>
              <w:t xml:space="preserve">                      </w:t>
            </w:r>
            <w:r>
              <w:rPr>
                <w:rFonts w:hint="eastAsia"/>
                <w:b/>
                <w:bCs/>
                <w:color w:val="000000"/>
                <w:szCs w:val="21"/>
              </w:rPr>
              <w:t xml:space="preserve"> </w:t>
            </w:r>
            <w:r>
              <w:rPr>
                <w:rFonts w:hint="eastAsia"/>
                <w:b/>
                <w:bCs/>
                <w:color w:val="000000"/>
                <w:szCs w:val="21"/>
                <w:lang w:val="zh-CN"/>
              </w:rPr>
              <w:t>表</w:t>
            </w:r>
            <w:r>
              <w:rPr>
                <w:rFonts w:hint="eastAsia"/>
                <w:b/>
                <w:bCs/>
                <w:color w:val="000000"/>
                <w:szCs w:val="21"/>
              </w:rPr>
              <w:t>4</w:t>
            </w:r>
            <w:r>
              <w:rPr>
                <w:rFonts w:hint="eastAsia"/>
                <w:b/>
                <w:bCs/>
                <w:color w:val="000000"/>
                <w:szCs w:val="21"/>
                <w:lang w:val="en-US" w:eastAsia="zh-CN"/>
              </w:rPr>
              <w:t>-12</w:t>
            </w:r>
            <w:r>
              <w:rPr>
                <w:rFonts w:hint="eastAsia"/>
                <w:b/>
                <w:bCs/>
                <w:color w:val="000000"/>
                <w:szCs w:val="21"/>
              </w:rPr>
              <w:t xml:space="preserve">  项目噪声检测结果表              单位：dB（A）</w:t>
            </w:r>
          </w:p>
          <w:tbl>
            <w:tblPr>
              <w:tblStyle w:val="41"/>
              <w:tblW w:w="797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6"/>
              <w:gridCol w:w="1175"/>
              <w:gridCol w:w="3138"/>
              <w:gridCol w:w="712"/>
              <w:gridCol w:w="713"/>
              <w:gridCol w:w="102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216" w:type="dxa"/>
                  <w:vMerge w:val="restart"/>
                  <w:noWrap w:val="0"/>
                  <w:vAlign w:val="center"/>
                </w:tcPr>
                <w:p>
                  <w:pPr>
                    <w:jc w:val="center"/>
                    <w:rPr>
                      <w:rFonts w:hint="eastAsia"/>
                      <w:kern w:val="21"/>
                      <w:szCs w:val="21"/>
                    </w:rPr>
                  </w:pPr>
                  <w:r>
                    <w:rPr>
                      <w:rFonts w:hint="eastAsia"/>
                      <w:kern w:val="21"/>
                      <w:szCs w:val="21"/>
                    </w:rPr>
                    <w:t>检测日期</w:t>
                  </w:r>
                </w:p>
              </w:tc>
              <w:tc>
                <w:tcPr>
                  <w:tcW w:w="1175" w:type="dxa"/>
                  <w:vMerge w:val="restart"/>
                  <w:noWrap w:val="0"/>
                  <w:vAlign w:val="center"/>
                </w:tcPr>
                <w:p>
                  <w:pPr>
                    <w:jc w:val="center"/>
                    <w:rPr>
                      <w:rFonts w:hint="eastAsia"/>
                      <w:kern w:val="21"/>
                      <w:szCs w:val="21"/>
                    </w:rPr>
                  </w:pPr>
                  <w:r>
                    <w:rPr>
                      <w:rFonts w:hint="eastAsia"/>
                      <w:kern w:val="21"/>
                      <w:szCs w:val="21"/>
                    </w:rPr>
                    <w:t>检测项目</w:t>
                  </w:r>
                </w:p>
              </w:tc>
              <w:tc>
                <w:tcPr>
                  <w:tcW w:w="3138" w:type="dxa"/>
                  <w:vMerge w:val="restart"/>
                  <w:noWrap w:val="0"/>
                  <w:vAlign w:val="center"/>
                </w:tcPr>
                <w:p>
                  <w:pPr>
                    <w:jc w:val="center"/>
                    <w:rPr>
                      <w:rFonts w:hint="eastAsia"/>
                      <w:kern w:val="21"/>
                      <w:szCs w:val="21"/>
                    </w:rPr>
                  </w:pPr>
                  <w:r>
                    <w:rPr>
                      <w:rFonts w:hint="eastAsia"/>
                      <w:kern w:val="21"/>
                      <w:szCs w:val="21"/>
                    </w:rPr>
                    <w:t>检测点编号及名称</w:t>
                  </w:r>
                </w:p>
              </w:tc>
              <w:tc>
                <w:tcPr>
                  <w:tcW w:w="1425" w:type="dxa"/>
                  <w:gridSpan w:val="2"/>
                  <w:tcBorders>
                    <w:bottom w:val="single" w:color="000000" w:sz="4" w:space="0"/>
                  </w:tcBorders>
                  <w:noWrap w:val="0"/>
                  <w:vAlign w:val="center"/>
                </w:tcPr>
                <w:p>
                  <w:pPr>
                    <w:jc w:val="center"/>
                    <w:rPr>
                      <w:rFonts w:hint="eastAsia"/>
                      <w:kern w:val="21"/>
                      <w:szCs w:val="21"/>
                    </w:rPr>
                  </w:pPr>
                  <w:r>
                    <w:rPr>
                      <w:rFonts w:hint="eastAsia"/>
                      <w:kern w:val="21"/>
                      <w:szCs w:val="21"/>
                    </w:rPr>
                    <w:t>检测结果</w:t>
                  </w:r>
                </w:p>
              </w:tc>
              <w:tc>
                <w:tcPr>
                  <w:tcW w:w="1023" w:type="dxa"/>
                  <w:vMerge w:val="restart"/>
                  <w:noWrap w:val="0"/>
                  <w:vAlign w:val="center"/>
                </w:tcPr>
                <w:p>
                  <w:pPr>
                    <w:jc w:val="center"/>
                    <w:rPr>
                      <w:rFonts w:hint="eastAsia"/>
                      <w:kern w:val="21"/>
                      <w:szCs w:val="21"/>
                    </w:rPr>
                  </w:pPr>
                  <w:r>
                    <w:rPr>
                      <w:rFonts w:hint="eastAsia"/>
                      <w:kern w:val="21"/>
                      <w:szCs w:val="21"/>
                    </w:rPr>
                    <w:t>标准限值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16" w:type="dxa"/>
                  <w:vMerge w:val="continue"/>
                  <w:noWrap w:val="0"/>
                  <w:vAlign w:val="center"/>
                </w:tcPr>
                <w:p>
                  <w:pPr>
                    <w:jc w:val="center"/>
                    <w:rPr>
                      <w:rFonts w:hint="eastAsia"/>
                      <w:kern w:val="21"/>
                      <w:szCs w:val="21"/>
                    </w:rPr>
                  </w:pPr>
                </w:p>
              </w:tc>
              <w:tc>
                <w:tcPr>
                  <w:tcW w:w="1175" w:type="dxa"/>
                  <w:vMerge w:val="continue"/>
                  <w:noWrap w:val="0"/>
                  <w:vAlign w:val="center"/>
                </w:tcPr>
                <w:p>
                  <w:pPr>
                    <w:jc w:val="center"/>
                    <w:rPr>
                      <w:rFonts w:hint="eastAsia"/>
                      <w:kern w:val="21"/>
                      <w:szCs w:val="21"/>
                    </w:rPr>
                  </w:pPr>
                </w:p>
              </w:tc>
              <w:tc>
                <w:tcPr>
                  <w:tcW w:w="3138" w:type="dxa"/>
                  <w:vMerge w:val="continue"/>
                  <w:noWrap w:val="0"/>
                  <w:vAlign w:val="center"/>
                </w:tcPr>
                <w:p>
                  <w:pPr>
                    <w:jc w:val="center"/>
                    <w:rPr>
                      <w:rFonts w:hint="eastAsia"/>
                      <w:kern w:val="21"/>
                      <w:szCs w:val="21"/>
                    </w:rPr>
                  </w:pPr>
                </w:p>
              </w:tc>
              <w:tc>
                <w:tcPr>
                  <w:tcW w:w="712" w:type="dxa"/>
                  <w:tcBorders>
                    <w:top w:val="single" w:color="000000" w:sz="4" w:space="0"/>
                  </w:tcBorders>
                  <w:noWrap w:val="0"/>
                  <w:vAlign w:val="center"/>
                </w:tcPr>
                <w:p>
                  <w:pPr>
                    <w:jc w:val="center"/>
                    <w:rPr>
                      <w:rFonts w:hint="eastAsia"/>
                      <w:kern w:val="21"/>
                      <w:szCs w:val="21"/>
                    </w:rPr>
                  </w:pPr>
                  <w:r>
                    <w:rPr>
                      <w:rFonts w:hint="eastAsia"/>
                      <w:kern w:val="21"/>
                      <w:szCs w:val="21"/>
                    </w:rPr>
                    <w:t>昼间</w:t>
                  </w:r>
                </w:p>
              </w:tc>
              <w:tc>
                <w:tcPr>
                  <w:tcW w:w="713" w:type="dxa"/>
                  <w:tcBorders>
                    <w:top w:val="single" w:color="000000" w:sz="4" w:space="0"/>
                  </w:tcBorders>
                  <w:noWrap w:val="0"/>
                  <w:vAlign w:val="center"/>
                </w:tcPr>
                <w:p>
                  <w:pPr>
                    <w:jc w:val="center"/>
                    <w:rPr>
                      <w:kern w:val="21"/>
                      <w:szCs w:val="21"/>
                    </w:rPr>
                  </w:pPr>
                  <w:r>
                    <w:rPr>
                      <w:rFonts w:hint="eastAsia"/>
                      <w:kern w:val="21"/>
                      <w:szCs w:val="21"/>
                    </w:rPr>
                    <w:t>夜间</w:t>
                  </w:r>
                </w:p>
              </w:tc>
              <w:tc>
                <w:tcPr>
                  <w:tcW w:w="1023" w:type="dxa"/>
                  <w:vMerge w:val="continue"/>
                  <w:noWrap w:val="0"/>
                  <w:vAlign w:val="center"/>
                </w:tcPr>
                <w:p>
                  <w:pPr>
                    <w:jc w:val="center"/>
                    <w:rPr>
                      <w:rFonts w:hint="eastAsia"/>
                      <w:kern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16" w:type="dxa"/>
                  <w:vMerge w:val="restart"/>
                  <w:noWrap w:val="0"/>
                  <w:vAlign w:val="center"/>
                </w:tcPr>
                <w:p>
                  <w:pPr>
                    <w:jc w:val="center"/>
                    <w:rPr>
                      <w:kern w:val="21"/>
                      <w:szCs w:val="21"/>
                    </w:rPr>
                  </w:pPr>
                  <w:r>
                    <w:rPr>
                      <w:rFonts w:hint="eastAsia"/>
                      <w:kern w:val="21"/>
                      <w:szCs w:val="21"/>
                    </w:rPr>
                    <w:t>2023.02.16</w:t>
                  </w:r>
                </w:p>
              </w:tc>
              <w:tc>
                <w:tcPr>
                  <w:tcW w:w="1175" w:type="dxa"/>
                  <w:vMerge w:val="restart"/>
                  <w:noWrap w:val="0"/>
                  <w:vAlign w:val="center"/>
                </w:tcPr>
                <w:p>
                  <w:pPr>
                    <w:jc w:val="center"/>
                    <w:rPr>
                      <w:rFonts w:hint="eastAsia"/>
                      <w:kern w:val="21"/>
                      <w:szCs w:val="21"/>
                    </w:rPr>
                  </w:pPr>
                  <w:r>
                    <w:rPr>
                      <w:rFonts w:hint="eastAsia"/>
                      <w:color w:val="000000"/>
                      <w:szCs w:val="21"/>
                      <w:lang w:bidi="ar"/>
                    </w:rPr>
                    <w:t>等效连续A声级：Leq（dB(A)）</w:t>
                  </w:r>
                </w:p>
              </w:tc>
              <w:tc>
                <w:tcPr>
                  <w:tcW w:w="3138" w:type="dxa"/>
                  <w:noWrap w:val="0"/>
                  <w:vAlign w:val="center"/>
                </w:tcPr>
                <w:p>
                  <w:pPr>
                    <w:pStyle w:val="37"/>
                    <w:widowControl w:val="0"/>
                    <w:autoSpaceDE w:val="0"/>
                    <w:autoSpaceDN w:val="0"/>
                    <w:adjustRightInd w:val="0"/>
                    <w:spacing w:before="0" w:beforeAutospacing="0" w:after="0" w:afterAutospacing="0"/>
                    <w:jc w:val="center"/>
                    <w:rPr>
                      <w:rFonts w:ascii="Times New Roman" w:hAnsi="Times New Roman"/>
                      <w:color w:val="000000"/>
                      <w:sz w:val="21"/>
                      <w:szCs w:val="21"/>
                      <w:lang w:bidi="ar"/>
                    </w:rPr>
                  </w:pPr>
                  <w:r>
                    <w:rPr>
                      <w:rFonts w:hint="eastAsia" w:ascii="Times New Roman" w:hAnsi="Times New Roman"/>
                      <w:color w:val="000000"/>
                      <w:sz w:val="21"/>
                      <w:szCs w:val="21"/>
                      <w:lang w:bidi="ar"/>
                    </w:rPr>
                    <w:t>1#项目所在地北侧最近居民处</w:t>
                  </w:r>
                </w:p>
              </w:tc>
              <w:tc>
                <w:tcPr>
                  <w:tcW w:w="712" w:type="dxa"/>
                  <w:noWrap w:val="0"/>
                  <w:vAlign w:val="center"/>
                </w:tcPr>
                <w:p>
                  <w:pPr>
                    <w:jc w:val="center"/>
                    <w:rPr>
                      <w:kern w:val="21"/>
                      <w:szCs w:val="21"/>
                    </w:rPr>
                  </w:pPr>
                  <w:r>
                    <w:rPr>
                      <w:rFonts w:hint="eastAsia"/>
                      <w:kern w:val="21"/>
                      <w:szCs w:val="21"/>
                    </w:rPr>
                    <w:t>53</w:t>
                  </w:r>
                </w:p>
              </w:tc>
              <w:tc>
                <w:tcPr>
                  <w:tcW w:w="713" w:type="dxa"/>
                  <w:noWrap w:val="0"/>
                  <w:vAlign w:val="center"/>
                </w:tcPr>
                <w:p>
                  <w:pPr>
                    <w:jc w:val="center"/>
                    <w:rPr>
                      <w:kern w:val="21"/>
                      <w:szCs w:val="21"/>
                    </w:rPr>
                  </w:pPr>
                  <w:r>
                    <w:rPr>
                      <w:rFonts w:hint="eastAsia"/>
                      <w:kern w:val="21"/>
                      <w:szCs w:val="21"/>
                    </w:rPr>
                    <w:t>42</w:t>
                  </w:r>
                </w:p>
              </w:tc>
              <w:tc>
                <w:tcPr>
                  <w:tcW w:w="1023" w:type="dxa"/>
                  <w:vMerge w:val="restart"/>
                  <w:noWrap w:val="0"/>
                  <w:vAlign w:val="center"/>
                </w:tcPr>
                <w:p>
                  <w:pPr>
                    <w:jc w:val="center"/>
                    <w:rPr>
                      <w:kern w:val="21"/>
                      <w:szCs w:val="21"/>
                    </w:rPr>
                  </w:pPr>
                  <w:r>
                    <w:rPr>
                      <w:rFonts w:hint="eastAsia"/>
                      <w:kern w:val="21"/>
                      <w:szCs w:val="21"/>
                    </w:rPr>
                    <w:t>昼间：60夜间：50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16" w:type="dxa"/>
                  <w:vMerge w:val="continue"/>
                  <w:noWrap w:val="0"/>
                  <w:vAlign w:val="center"/>
                </w:tcPr>
                <w:p>
                  <w:pPr>
                    <w:jc w:val="center"/>
                    <w:rPr>
                      <w:rFonts w:hint="eastAsia"/>
                      <w:kern w:val="21"/>
                      <w:szCs w:val="21"/>
                    </w:rPr>
                  </w:pPr>
                </w:p>
              </w:tc>
              <w:tc>
                <w:tcPr>
                  <w:tcW w:w="1175" w:type="dxa"/>
                  <w:vMerge w:val="continue"/>
                  <w:noWrap w:val="0"/>
                  <w:vAlign w:val="center"/>
                </w:tcPr>
                <w:p>
                  <w:pPr>
                    <w:jc w:val="center"/>
                    <w:rPr>
                      <w:rFonts w:hint="eastAsia"/>
                      <w:kern w:val="21"/>
                      <w:szCs w:val="21"/>
                    </w:rPr>
                  </w:pPr>
                </w:p>
              </w:tc>
              <w:tc>
                <w:tcPr>
                  <w:tcW w:w="3138" w:type="dxa"/>
                  <w:noWrap w:val="0"/>
                  <w:vAlign w:val="center"/>
                </w:tcPr>
                <w:p>
                  <w:pPr>
                    <w:pStyle w:val="37"/>
                    <w:widowControl w:val="0"/>
                    <w:autoSpaceDE w:val="0"/>
                    <w:autoSpaceDN w:val="0"/>
                    <w:adjustRightInd w:val="0"/>
                    <w:spacing w:before="0" w:beforeAutospacing="0" w:after="0" w:afterAutospacing="0"/>
                    <w:jc w:val="center"/>
                    <w:rPr>
                      <w:rFonts w:hint="eastAsia" w:ascii="Times New Roman" w:hAnsi="Times New Roman"/>
                      <w:color w:val="000000"/>
                      <w:sz w:val="21"/>
                      <w:szCs w:val="21"/>
                      <w:lang w:bidi="ar"/>
                    </w:rPr>
                  </w:pPr>
                  <w:r>
                    <w:rPr>
                      <w:rFonts w:hint="eastAsia" w:ascii="Times New Roman" w:hAnsi="Times New Roman"/>
                      <w:color w:val="000000"/>
                      <w:sz w:val="21"/>
                      <w:szCs w:val="21"/>
                      <w:lang w:bidi="ar"/>
                    </w:rPr>
                    <w:t>2#项目所在地东侧最近居民处</w:t>
                  </w:r>
                </w:p>
              </w:tc>
              <w:tc>
                <w:tcPr>
                  <w:tcW w:w="712" w:type="dxa"/>
                  <w:noWrap w:val="0"/>
                  <w:vAlign w:val="center"/>
                </w:tcPr>
                <w:p>
                  <w:pPr>
                    <w:jc w:val="center"/>
                    <w:rPr>
                      <w:kern w:val="21"/>
                      <w:szCs w:val="21"/>
                    </w:rPr>
                  </w:pPr>
                  <w:r>
                    <w:rPr>
                      <w:rFonts w:hint="eastAsia"/>
                      <w:kern w:val="21"/>
                      <w:szCs w:val="21"/>
                    </w:rPr>
                    <w:t>52</w:t>
                  </w:r>
                </w:p>
              </w:tc>
              <w:tc>
                <w:tcPr>
                  <w:tcW w:w="713" w:type="dxa"/>
                  <w:noWrap w:val="0"/>
                  <w:vAlign w:val="center"/>
                </w:tcPr>
                <w:p>
                  <w:pPr>
                    <w:jc w:val="center"/>
                    <w:rPr>
                      <w:kern w:val="21"/>
                      <w:szCs w:val="21"/>
                    </w:rPr>
                  </w:pPr>
                  <w:r>
                    <w:rPr>
                      <w:rFonts w:hint="eastAsia"/>
                      <w:kern w:val="21"/>
                      <w:szCs w:val="21"/>
                    </w:rPr>
                    <w:t>45</w:t>
                  </w:r>
                </w:p>
              </w:tc>
              <w:tc>
                <w:tcPr>
                  <w:tcW w:w="1023" w:type="dxa"/>
                  <w:vMerge w:val="continue"/>
                  <w:noWrap w:val="0"/>
                  <w:vAlign w:val="center"/>
                </w:tcPr>
                <w:p>
                  <w:pPr>
                    <w:jc w:val="center"/>
                    <w:rPr>
                      <w:rFonts w:hint="eastAsia"/>
                      <w:kern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16" w:type="dxa"/>
                  <w:vMerge w:val="continue"/>
                  <w:noWrap w:val="0"/>
                  <w:vAlign w:val="center"/>
                </w:tcPr>
                <w:p>
                  <w:pPr>
                    <w:jc w:val="center"/>
                    <w:rPr>
                      <w:rFonts w:hint="eastAsia"/>
                      <w:kern w:val="21"/>
                      <w:szCs w:val="21"/>
                    </w:rPr>
                  </w:pPr>
                </w:p>
              </w:tc>
              <w:tc>
                <w:tcPr>
                  <w:tcW w:w="1175" w:type="dxa"/>
                  <w:vMerge w:val="continue"/>
                  <w:noWrap w:val="0"/>
                  <w:vAlign w:val="center"/>
                </w:tcPr>
                <w:p>
                  <w:pPr>
                    <w:jc w:val="center"/>
                    <w:rPr>
                      <w:rFonts w:hint="eastAsia"/>
                      <w:kern w:val="21"/>
                      <w:szCs w:val="21"/>
                    </w:rPr>
                  </w:pPr>
                </w:p>
              </w:tc>
              <w:tc>
                <w:tcPr>
                  <w:tcW w:w="3138" w:type="dxa"/>
                  <w:noWrap w:val="0"/>
                  <w:vAlign w:val="center"/>
                </w:tcPr>
                <w:p>
                  <w:pPr>
                    <w:pStyle w:val="37"/>
                    <w:widowControl w:val="0"/>
                    <w:autoSpaceDE w:val="0"/>
                    <w:autoSpaceDN w:val="0"/>
                    <w:adjustRightInd w:val="0"/>
                    <w:spacing w:before="0" w:beforeAutospacing="0" w:after="0" w:afterAutospacing="0"/>
                    <w:jc w:val="center"/>
                    <w:rPr>
                      <w:rFonts w:hint="eastAsia" w:ascii="Times New Roman" w:hAnsi="Times New Roman"/>
                      <w:color w:val="000000"/>
                      <w:sz w:val="21"/>
                      <w:szCs w:val="21"/>
                      <w:lang w:bidi="ar"/>
                    </w:rPr>
                  </w:pPr>
                  <w:r>
                    <w:rPr>
                      <w:rFonts w:hint="eastAsia" w:ascii="Times New Roman" w:hAnsi="Times New Roman"/>
                      <w:color w:val="000000"/>
                      <w:sz w:val="21"/>
                      <w:szCs w:val="21"/>
                      <w:lang w:bidi="ar"/>
                    </w:rPr>
                    <w:t>3#项目所在地南侧最近居民处</w:t>
                  </w:r>
                </w:p>
              </w:tc>
              <w:tc>
                <w:tcPr>
                  <w:tcW w:w="712" w:type="dxa"/>
                  <w:noWrap w:val="0"/>
                  <w:vAlign w:val="center"/>
                </w:tcPr>
                <w:p>
                  <w:pPr>
                    <w:jc w:val="center"/>
                    <w:rPr>
                      <w:kern w:val="21"/>
                      <w:szCs w:val="21"/>
                    </w:rPr>
                  </w:pPr>
                  <w:r>
                    <w:rPr>
                      <w:rFonts w:hint="eastAsia"/>
                      <w:kern w:val="21"/>
                      <w:szCs w:val="21"/>
                    </w:rPr>
                    <w:t>52</w:t>
                  </w:r>
                </w:p>
              </w:tc>
              <w:tc>
                <w:tcPr>
                  <w:tcW w:w="713" w:type="dxa"/>
                  <w:noWrap w:val="0"/>
                  <w:vAlign w:val="center"/>
                </w:tcPr>
                <w:p>
                  <w:pPr>
                    <w:jc w:val="center"/>
                    <w:rPr>
                      <w:kern w:val="21"/>
                      <w:szCs w:val="21"/>
                    </w:rPr>
                  </w:pPr>
                  <w:r>
                    <w:rPr>
                      <w:rFonts w:hint="eastAsia"/>
                      <w:kern w:val="21"/>
                      <w:szCs w:val="21"/>
                    </w:rPr>
                    <w:t>44</w:t>
                  </w:r>
                </w:p>
              </w:tc>
              <w:tc>
                <w:tcPr>
                  <w:tcW w:w="1023" w:type="dxa"/>
                  <w:vMerge w:val="continue"/>
                  <w:noWrap w:val="0"/>
                  <w:vAlign w:val="center"/>
                </w:tcPr>
                <w:p>
                  <w:pPr>
                    <w:jc w:val="center"/>
                    <w:rPr>
                      <w:rFonts w:hint="eastAsia"/>
                      <w:kern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16" w:type="dxa"/>
                  <w:vMerge w:val="continue"/>
                  <w:noWrap w:val="0"/>
                  <w:vAlign w:val="center"/>
                </w:tcPr>
                <w:p>
                  <w:pPr>
                    <w:jc w:val="center"/>
                    <w:rPr>
                      <w:rFonts w:hint="eastAsia"/>
                      <w:kern w:val="21"/>
                      <w:szCs w:val="21"/>
                    </w:rPr>
                  </w:pPr>
                </w:p>
              </w:tc>
              <w:tc>
                <w:tcPr>
                  <w:tcW w:w="1175" w:type="dxa"/>
                  <w:vMerge w:val="continue"/>
                  <w:noWrap w:val="0"/>
                  <w:vAlign w:val="center"/>
                </w:tcPr>
                <w:p>
                  <w:pPr>
                    <w:jc w:val="center"/>
                    <w:rPr>
                      <w:rFonts w:hint="eastAsia"/>
                      <w:kern w:val="21"/>
                      <w:szCs w:val="21"/>
                    </w:rPr>
                  </w:pPr>
                </w:p>
              </w:tc>
              <w:tc>
                <w:tcPr>
                  <w:tcW w:w="3138" w:type="dxa"/>
                  <w:noWrap w:val="0"/>
                  <w:vAlign w:val="center"/>
                </w:tcPr>
                <w:p>
                  <w:pPr>
                    <w:pStyle w:val="37"/>
                    <w:widowControl w:val="0"/>
                    <w:autoSpaceDE w:val="0"/>
                    <w:autoSpaceDN w:val="0"/>
                    <w:adjustRightInd w:val="0"/>
                    <w:spacing w:before="0" w:beforeAutospacing="0" w:after="0" w:afterAutospacing="0"/>
                    <w:jc w:val="center"/>
                    <w:rPr>
                      <w:rFonts w:hint="eastAsia" w:ascii="Times New Roman" w:hAnsi="Times New Roman"/>
                      <w:color w:val="000000"/>
                      <w:sz w:val="21"/>
                      <w:szCs w:val="21"/>
                      <w:lang w:bidi="ar"/>
                    </w:rPr>
                  </w:pPr>
                  <w:r>
                    <w:rPr>
                      <w:rFonts w:hint="eastAsia" w:ascii="Times New Roman" w:hAnsi="Times New Roman"/>
                      <w:color w:val="000000"/>
                      <w:sz w:val="21"/>
                      <w:szCs w:val="21"/>
                      <w:lang w:bidi="ar"/>
                    </w:rPr>
                    <w:t>4#项目所在地西侧最近居民处</w:t>
                  </w:r>
                </w:p>
              </w:tc>
              <w:tc>
                <w:tcPr>
                  <w:tcW w:w="712" w:type="dxa"/>
                  <w:noWrap w:val="0"/>
                  <w:vAlign w:val="center"/>
                </w:tcPr>
                <w:p>
                  <w:pPr>
                    <w:jc w:val="center"/>
                    <w:rPr>
                      <w:kern w:val="21"/>
                      <w:szCs w:val="21"/>
                    </w:rPr>
                  </w:pPr>
                  <w:r>
                    <w:rPr>
                      <w:rFonts w:hint="eastAsia"/>
                      <w:kern w:val="21"/>
                      <w:szCs w:val="21"/>
                    </w:rPr>
                    <w:t>53</w:t>
                  </w:r>
                </w:p>
              </w:tc>
              <w:tc>
                <w:tcPr>
                  <w:tcW w:w="713" w:type="dxa"/>
                  <w:noWrap w:val="0"/>
                  <w:vAlign w:val="center"/>
                </w:tcPr>
                <w:p>
                  <w:pPr>
                    <w:jc w:val="center"/>
                    <w:rPr>
                      <w:kern w:val="21"/>
                      <w:szCs w:val="21"/>
                    </w:rPr>
                  </w:pPr>
                  <w:r>
                    <w:rPr>
                      <w:rFonts w:hint="eastAsia"/>
                      <w:kern w:val="21"/>
                      <w:szCs w:val="21"/>
                    </w:rPr>
                    <w:t>44</w:t>
                  </w:r>
                </w:p>
              </w:tc>
              <w:tc>
                <w:tcPr>
                  <w:tcW w:w="1023" w:type="dxa"/>
                  <w:vMerge w:val="continue"/>
                  <w:noWrap w:val="0"/>
                  <w:vAlign w:val="center"/>
                </w:tcPr>
                <w:p>
                  <w:pPr>
                    <w:jc w:val="center"/>
                    <w:rPr>
                      <w:rFonts w:hint="eastAsia"/>
                      <w:kern w:val="21"/>
                      <w:szCs w:val="21"/>
                    </w:rPr>
                  </w:pPr>
                </w:p>
              </w:tc>
            </w:tr>
          </w:tbl>
          <w:p>
            <w:pPr>
              <w:spacing w:line="360" w:lineRule="auto"/>
              <w:ind w:firstLine="480"/>
              <w:rPr>
                <w:rFonts w:hAnsi="宋体"/>
                <w:bCs/>
                <w:sz w:val="24"/>
              </w:rPr>
            </w:pPr>
            <w:r>
              <w:rPr>
                <w:rFonts w:hint="eastAsia" w:hAnsi="宋体"/>
                <w:bCs/>
                <w:sz w:val="24"/>
              </w:rPr>
              <w:t>根据监测结果可知，项目四周最近居民处声环境昼夜间监测值均满足《声环境质量标准》（GB3096-2008）规定的2类标准要求，区域声学环境质量现状总体较好，</w:t>
            </w:r>
            <w:r>
              <w:rPr>
                <w:rFonts w:hAnsi="宋体"/>
                <w:bCs/>
                <w:sz w:val="24"/>
              </w:rPr>
              <w:t>不会对周边声环境造成明显影响</w:t>
            </w:r>
            <w:r>
              <w:rPr>
                <w:rFonts w:hint="eastAsia" w:hAnsi="宋体"/>
                <w:bCs/>
                <w:sz w:val="24"/>
              </w:rPr>
              <w:t>，无需整改</w:t>
            </w:r>
            <w:r>
              <w:rPr>
                <w:rFonts w:hAnsi="宋体"/>
                <w:bCs/>
                <w:sz w:val="24"/>
              </w:rPr>
              <w:t>。</w:t>
            </w:r>
          </w:p>
          <w:p>
            <w:pPr>
              <w:spacing w:line="360" w:lineRule="auto"/>
              <w:ind w:firstLine="480"/>
              <w:rPr>
                <w:rFonts w:hint="eastAsia"/>
                <w:b/>
                <w:sz w:val="24"/>
              </w:rPr>
            </w:pPr>
            <w:r>
              <w:rPr>
                <w:rFonts w:hint="eastAsia"/>
                <w:b/>
                <w:sz w:val="24"/>
              </w:rPr>
              <w:t>3、噪声预测分析</w:t>
            </w:r>
          </w:p>
          <w:p>
            <w:pPr>
              <w:autoSpaceDE w:val="0"/>
              <w:autoSpaceDN w:val="0"/>
              <w:spacing w:line="360" w:lineRule="auto"/>
              <w:ind w:firstLine="480" w:firstLineChars="200"/>
              <w:rPr>
                <w:color w:val="000000"/>
                <w:sz w:val="24"/>
              </w:rPr>
            </w:pPr>
            <w:r>
              <w:rPr>
                <w:color w:val="000000"/>
                <w:sz w:val="24"/>
              </w:rPr>
              <w:t>本项目噪声源主要是</w:t>
            </w:r>
            <w:r>
              <w:rPr>
                <w:rFonts w:hint="eastAsia"/>
                <w:color w:val="000000"/>
                <w:sz w:val="24"/>
              </w:rPr>
              <w:t>发电机、污水处理站等运行时产生的噪声</w:t>
            </w:r>
            <w:r>
              <w:rPr>
                <w:color w:val="000000"/>
                <w:sz w:val="24"/>
              </w:rPr>
              <w:t>，声压级约为</w:t>
            </w:r>
            <w:r>
              <w:rPr>
                <w:rFonts w:hint="eastAsia"/>
                <w:color w:val="000000"/>
                <w:sz w:val="24"/>
              </w:rPr>
              <w:t>65～85</w:t>
            </w:r>
            <w:r>
              <w:rPr>
                <w:color w:val="000000"/>
                <w:sz w:val="24"/>
              </w:rPr>
              <w:t>dB(A)。</w:t>
            </w:r>
            <w:r>
              <w:rPr>
                <w:rFonts w:hint="eastAsia"/>
                <w:color w:val="000000"/>
                <w:sz w:val="24"/>
              </w:rPr>
              <w:t>污水处理站位于洗衣房地下，发电机位于室内</w:t>
            </w:r>
            <w:r>
              <w:rPr>
                <w:color w:val="000000"/>
                <w:sz w:val="24"/>
              </w:rPr>
              <w:t>。本次评价对噪声源强进行预测，具体如下：</w:t>
            </w:r>
          </w:p>
          <w:p>
            <w:pPr>
              <w:spacing w:line="360" w:lineRule="auto"/>
              <w:ind w:firstLine="480"/>
              <w:rPr>
                <w:rFonts w:hint="eastAsia"/>
                <w:b/>
                <w:bCs/>
                <w:sz w:val="24"/>
              </w:rPr>
            </w:pPr>
            <w:r>
              <w:rPr>
                <w:rFonts w:hint="eastAsia"/>
                <w:b/>
                <w:bCs/>
                <w:sz w:val="24"/>
              </w:rPr>
              <w:t>①预测模式：</w:t>
            </w:r>
          </w:p>
          <w:p>
            <w:pPr>
              <w:spacing w:line="360" w:lineRule="auto"/>
              <w:ind w:firstLine="480"/>
              <w:rPr>
                <w:rFonts w:hint="eastAsia"/>
                <w:sz w:val="24"/>
              </w:rPr>
            </w:pPr>
            <w:r>
              <w:rPr>
                <w:rFonts w:hint="eastAsia"/>
                <w:sz w:val="24"/>
              </w:rPr>
              <w:t>预测模式如下：</w:t>
            </w:r>
          </w:p>
          <w:p>
            <w:pPr>
              <w:pStyle w:val="72"/>
              <w:ind w:firstLine="480"/>
            </w:pPr>
            <w:r>
              <w:t>（1）</w:t>
            </w:r>
            <w:r>
              <w:rPr>
                <w:rFonts w:hint="eastAsia"/>
              </w:rPr>
              <w:t>无指向性点声源的几何发散衰减公式：</w:t>
            </w:r>
          </w:p>
          <w:p>
            <w:pPr>
              <w:pStyle w:val="185"/>
              <w:wordWrap/>
              <w:topLinePunct w:val="0"/>
              <w:autoSpaceDE w:val="0"/>
              <w:autoSpaceDN w:val="0"/>
              <w:ind w:firstLine="480"/>
              <w:jc w:val="center"/>
              <w:rPr>
                <w:szCs w:val="26"/>
              </w:rPr>
            </w:pPr>
            <w:r>
              <w:drawing>
                <wp:inline distT="0" distB="0" distL="114300" distR="114300">
                  <wp:extent cx="1638300" cy="241300"/>
                  <wp:effectExtent l="0" t="0" r="0" b="6350"/>
                  <wp:docPr id="17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36"/>
                          <pic:cNvPicPr>
                            <a:picLocks noChangeAspect="1"/>
                          </pic:cNvPicPr>
                        </pic:nvPicPr>
                        <pic:blipFill>
                          <a:blip r:embed="rId41"/>
                          <a:stretch>
                            <a:fillRect/>
                          </a:stretch>
                        </pic:blipFill>
                        <pic:spPr>
                          <a:xfrm>
                            <a:off x="0" y="0"/>
                            <a:ext cx="1638300" cy="241300"/>
                          </a:xfrm>
                          <a:prstGeom prst="rect">
                            <a:avLst/>
                          </a:prstGeom>
                          <a:noFill/>
                          <a:ln>
                            <a:noFill/>
                          </a:ln>
                        </pic:spPr>
                      </pic:pic>
                    </a:graphicData>
                  </a:graphic>
                </wp:inline>
              </w:drawing>
            </w:r>
          </w:p>
          <w:p>
            <w:pPr>
              <w:pStyle w:val="185"/>
              <w:wordWrap/>
              <w:topLinePunct w:val="0"/>
              <w:autoSpaceDE w:val="0"/>
              <w:autoSpaceDN w:val="0"/>
              <w:ind w:firstLine="480"/>
              <w:rPr>
                <w:szCs w:val="26"/>
              </w:rPr>
            </w:pPr>
            <w:r>
              <w:rPr>
                <w:szCs w:val="26"/>
              </w:rPr>
              <w:t>式中：</w:t>
            </w:r>
          </w:p>
          <w:p>
            <w:pPr>
              <w:pStyle w:val="185"/>
              <w:wordWrap/>
              <w:topLinePunct w:val="0"/>
              <w:autoSpaceDE w:val="0"/>
              <w:autoSpaceDN w:val="0"/>
              <w:ind w:firstLine="480"/>
              <w:rPr>
                <w:szCs w:val="26"/>
                <w:highlight w:val="yellow"/>
              </w:rPr>
            </w:pPr>
            <w:r>
              <w:rPr>
                <w:rFonts w:hint="eastAsia"/>
                <w:szCs w:val="26"/>
              </w:rPr>
              <w:t xml:space="preserve">    </w:t>
            </w:r>
            <w:r>
              <w:rPr>
                <w:rFonts w:hint="eastAsia"/>
                <w:i/>
                <w:szCs w:val="26"/>
              </w:rPr>
              <w:t xml:space="preserve"> </w:t>
            </w:r>
            <w:r>
              <w:rPr>
                <w:i/>
                <w:szCs w:val="26"/>
              </w:rPr>
              <w:t>L</w:t>
            </w:r>
            <w:r>
              <w:rPr>
                <w:i/>
                <w:szCs w:val="26"/>
                <w:vertAlign w:val="subscript"/>
              </w:rPr>
              <w:t>P</w:t>
            </w:r>
            <w:r>
              <w:rPr>
                <w:rFonts w:hint="eastAsia"/>
                <w:i/>
                <w:szCs w:val="26"/>
                <w:vertAlign w:val="subscript"/>
              </w:rPr>
              <w:t>（r）</w:t>
            </w:r>
            <w:r>
              <w:rPr>
                <w:szCs w:val="26"/>
              </w:rPr>
              <w:t>—</w:t>
            </w:r>
            <w:r>
              <w:rPr>
                <w:rFonts w:hint="eastAsia"/>
                <w:szCs w:val="26"/>
              </w:rPr>
              <w:t>预测点处声压级，dB；</w:t>
            </w:r>
          </w:p>
          <w:p>
            <w:pPr>
              <w:pStyle w:val="185"/>
              <w:wordWrap/>
              <w:topLinePunct w:val="0"/>
              <w:autoSpaceDE w:val="0"/>
              <w:autoSpaceDN w:val="0"/>
              <w:ind w:firstLine="480"/>
              <w:rPr>
                <w:rFonts w:hint="eastAsia"/>
                <w:szCs w:val="26"/>
              </w:rPr>
            </w:pPr>
            <w:r>
              <w:rPr>
                <w:rFonts w:hint="eastAsia"/>
                <w:szCs w:val="26"/>
              </w:rPr>
              <w:t xml:space="preserve">   </w:t>
            </w:r>
            <w:r>
              <w:rPr>
                <w:rFonts w:hint="eastAsia"/>
                <w:i/>
                <w:szCs w:val="26"/>
              </w:rPr>
              <w:t xml:space="preserve"> </w:t>
            </w:r>
            <w:r>
              <w:rPr>
                <w:i/>
                <w:szCs w:val="26"/>
              </w:rPr>
              <w:t>L</w:t>
            </w:r>
            <w:r>
              <w:rPr>
                <w:i/>
                <w:szCs w:val="26"/>
                <w:vertAlign w:val="subscript"/>
              </w:rPr>
              <w:t>P</w:t>
            </w:r>
            <w:r>
              <w:rPr>
                <w:rFonts w:hint="eastAsia"/>
                <w:i/>
                <w:szCs w:val="26"/>
                <w:vertAlign w:val="subscript"/>
              </w:rPr>
              <w:t>（r0）</w:t>
            </w:r>
            <w:r>
              <w:rPr>
                <w:szCs w:val="26"/>
              </w:rPr>
              <w:t>—</w:t>
            </w:r>
            <w:r>
              <w:rPr>
                <w:rFonts w:hint="eastAsia"/>
                <w:szCs w:val="26"/>
              </w:rPr>
              <w:t>参考位置距声源的距离</w:t>
            </w:r>
            <w:r>
              <w:rPr>
                <w:szCs w:val="26"/>
              </w:rPr>
              <w:t>；</w:t>
            </w:r>
          </w:p>
          <w:p>
            <w:pPr>
              <w:pStyle w:val="185"/>
              <w:wordWrap/>
              <w:topLinePunct w:val="0"/>
              <w:autoSpaceDE w:val="0"/>
              <w:autoSpaceDN w:val="0"/>
              <w:ind w:firstLine="480"/>
              <w:rPr>
                <w:szCs w:val="26"/>
              </w:rPr>
            </w:pPr>
            <w:r>
              <w:rPr>
                <w:rFonts w:hint="eastAsia"/>
                <w:szCs w:val="26"/>
              </w:rPr>
              <w:t>（2）室内声源等效室外声源声功率级计算方法</w:t>
            </w:r>
          </w:p>
          <w:p>
            <w:pPr>
              <w:pStyle w:val="185"/>
              <w:wordWrap/>
              <w:topLinePunct w:val="0"/>
              <w:autoSpaceDE w:val="0"/>
              <w:autoSpaceDN w:val="0"/>
              <w:ind w:firstLine="480"/>
              <w:jc w:val="center"/>
              <w:rPr>
                <w:szCs w:val="26"/>
              </w:rPr>
            </w:pPr>
            <w:r>
              <w:drawing>
                <wp:inline distT="0" distB="0" distL="114300" distR="114300">
                  <wp:extent cx="1242060" cy="241300"/>
                  <wp:effectExtent l="0" t="0" r="15240" b="5080"/>
                  <wp:docPr id="16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37"/>
                          <pic:cNvPicPr>
                            <a:picLocks noChangeAspect="1"/>
                          </pic:cNvPicPr>
                        </pic:nvPicPr>
                        <pic:blipFill>
                          <a:blip r:embed="rId42"/>
                          <a:stretch>
                            <a:fillRect/>
                          </a:stretch>
                        </pic:blipFill>
                        <pic:spPr>
                          <a:xfrm>
                            <a:off x="0" y="0"/>
                            <a:ext cx="1242060" cy="241300"/>
                          </a:xfrm>
                          <a:prstGeom prst="rect">
                            <a:avLst/>
                          </a:prstGeom>
                          <a:noFill/>
                          <a:ln>
                            <a:noFill/>
                          </a:ln>
                        </pic:spPr>
                      </pic:pic>
                    </a:graphicData>
                  </a:graphic>
                </wp:inline>
              </w:drawing>
            </w:r>
          </w:p>
          <w:p>
            <w:pPr>
              <w:pStyle w:val="185"/>
              <w:wordWrap/>
              <w:topLinePunct w:val="0"/>
              <w:autoSpaceDE w:val="0"/>
              <w:autoSpaceDN w:val="0"/>
              <w:ind w:firstLine="480"/>
              <w:rPr>
                <w:szCs w:val="26"/>
              </w:rPr>
            </w:pPr>
            <w:r>
              <w:rPr>
                <w:rFonts w:hint="eastAsia"/>
                <w:szCs w:val="26"/>
              </w:rPr>
              <w:t>式中：</w:t>
            </w:r>
          </w:p>
          <w:p>
            <w:pPr>
              <w:pStyle w:val="185"/>
              <w:wordWrap/>
              <w:topLinePunct w:val="0"/>
              <w:autoSpaceDE w:val="0"/>
              <w:autoSpaceDN w:val="0"/>
              <w:ind w:firstLine="480"/>
              <w:rPr>
                <w:szCs w:val="26"/>
              </w:rPr>
            </w:pPr>
            <w:r>
              <w:rPr>
                <w:rFonts w:hint="eastAsia"/>
                <w:szCs w:val="26"/>
              </w:rPr>
              <w:t xml:space="preserve">   </w:t>
            </w:r>
            <w:r>
              <w:rPr>
                <w:rFonts w:hint="eastAsia"/>
                <w:i/>
                <w:szCs w:val="26"/>
              </w:rPr>
              <w:t xml:space="preserve"> L</w:t>
            </w:r>
            <w:r>
              <w:rPr>
                <w:rFonts w:hint="eastAsia"/>
                <w:i/>
                <w:szCs w:val="26"/>
                <w:vertAlign w:val="subscript"/>
              </w:rPr>
              <w:t>p1</w:t>
            </w:r>
            <w:r>
              <w:rPr>
                <w:rFonts w:hint="eastAsia"/>
                <w:szCs w:val="26"/>
              </w:rPr>
              <w:t>——靠近开口处（窗户）室内某倍频带的声压级或A声级，dB；</w:t>
            </w:r>
          </w:p>
          <w:p>
            <w:pPr>
              <w:pStyle w:val="185"/>
              <w:wordWrap/>
              <w:topLinePunct w:val="0"/>
              <w:autoSpaceDE w:val="0"/>
              <w:autoSpaceDN w:val="0"/>
              <w:ind w:firstLine="480"/>
              <w:rPr>
                <w:szCs w:val="26"/>
              </w:rPr>
            </w:pPr>
            <w:r>
              <w:rPr>
                <w:rFonts w:hint="eastAsia"/>
                <w:szCs w:val="26"/>
              </w:rPr>
              <w:t xml:space="preserve">   </w:t>
            </w:r>
            <w:r>
              <w:rPr>
                <w:rFonts w:hint="eastAsia"/>
                <w:i/>
                <w:szCs w:val="26"/>
              </w:rPr>
              <w:t xml:space="preserve"> L</w:t>
            </w:r>
            <w:r>
              <w:rPr>
                <w:rFonts w:hint="eastAsia"/>
                <w:i/>
                <w:szCs w:val="26"/>
                <w:vertAlign w:val="subscript"/>
              </w:rPr>
              <w:t>p2</w:t>
            </w:r>
            <w:r>
              <w:rPr>
                <w:rFonts w:hint="eastAsia"/>
                <w:szCs w:val="26"/>
              </w:rPr>
              <w:t>——靠近开口处（窗户）室外某倍频带的声压级或A声级，dB；</w:t>
            </w:r>
          </w:p>
          <w:p>
            <w:pPr>
              <w:pStyle w:val="185"/>
              <w:wordWrap/>
              <w:topLinePunct w:val="0"/>
              <w:autoSpaceDE w:val="0"/>
              <w:autoSpaceDN w:val="0"/>
              <w:ind w:firstLine="480"/>
              <w:rPr>
                <w:szCs w:val="26"/>
              </w:rPr>
            </w:pPr>
            <w:r>
              <w:rPr>
                <w:rFonts w:hint="eastAsia"/>
                <w:szCs w:val="26"/>
              </w:rPr>
              <w:t xml:space="preserve">   </w:t>
            </w:r>
            <w:r>
              <w:rPr>
                <w:rFonts w:hint="eastAsia"/>
                <w:i/>
                <w:szCs w:val="26"/>
              </w:rPr>
              <w:t xml:space="preserve"> TL</w:t>
            </w:r>
            <w:r>
              <w:rPr>
                <w:rFonts w:hint="eastAsia"/>
                <w:szCs w:val="26"/>
              </w:rPr>
              <w:t>——隔墙（窗户）倍频带或A声级的隔音量，dB。</w:t>
            </w:r>
          </w:p>
          <w:p>
            <w:pPr>
              <w:pStyle w:val="185"/>
              <w:wordWrap/>
              <w:topLinePunct w:val="0"/>
              <w:autoSpaceDE w:val="0"/>
              <w:autoSpaceDN w:val="0"/>
              <w:ind w:firstLine="480"/>
              <w:rPr>
                <w:szCs w:val="26"/>
              </w:rPr>
            </w:pPr>
            <w:r>
              <w:rPr>
                <w:szCs w:val="26"/>
              </w:rPr>
              <w:t>（</w:t>
            </w:r>
            <w:r>
              <w:rPr>
                <w:rFonts w:hint="eastAsia"/>
                <w:szCs w:val="26"/>
              </w:rPr>
              <w:t>3</w:t>
            </w:r>
            <w:r>
              <w:rPr>
                <w:szCs w:val="26"/>
              </w:rPr>
              <w:t>）</w:t>
            </w:r>
            <w:r>
              <w:rPr>
                <w:rFonts w:hint="eastAsia"/>
                <w:szCs w:val="26"/>
              </w:rPr>
              <w:t>工业企业噪声计算：</w:t>
            </w:r>
          </w:p>
          <w:p>
            <w:pPr>
              <w:pStyle w:val="185"/>
              <w:wordWrap/>
              <w:topLinePunct w:val="0"/>
              <w:autoSpaceDE w:val="0"/>
              <w:autoSpaceDN w:val="0"/>
              <w:ind w:firstLine="480"/>
              <w:jc w:val="center"/>
              <w:rPr>
                <w:szCs w:val="26"/>
              </w:rPr>
            </w:pPr>
            <w:r>
              <w:drawing>
                <wp:inline distT="0" distB="0" distL="114300" distR="114300">
                  <wp:extent cx="2605405" cy="509270"/>
                  <wp:effectExtent l="0" t="0" r="4445" b="4445"/>
                  <wp:docPr id="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8"/>
                          <pic:cNvPicPr>
                            <a:picLocks noChangeAspect="1"/>
                          </pic:cNvPicPr>
                        </pic:nvPicPr>
                        <pic:blipFill>
                          <a:blip r:embed="rId43"/>
                          <a:stretch>
                            <a:fillRect/>
                          </a:stretch>
                        </pic:blipFill>
                        <pic:spPr>
                          <a:xfrm>
                            <a:off x="0" y="0"/>
                            <a:ext cx="2605405" cy="509270"/>
                          </a:xfrm>
                          <a:prstGeom prst="rect">
                            <a:avLst/>
                          </a:prstGeom>
                          <a:noFill/>
                          <a:ln>
                            <a:noFill/>
                          </a:ln>
                        </pic:spPr>
                      </pic:pic>
                    </a:graphicData>
                  </a:graphic>
                </wp:inline>
              </w:drawing>
            </w:r>
          </w:p>
          <w:p>
            <w:pPr>
              <w:pStyle w:val="185"/>
              <w:wordWrap/>
              <w:topLinePunct w:val="0"/>
              <w:autoSpaceDE w:val="0"/>
              <w:autoSpaceDN w:val="0"/>
              <w:ind w:firstLine="480"/>
              <w:jc w:val="both"/>
              <w:rPr>
                <w:szCs w:val="26"/>
              </w:rPr>
            </w:pPr>
            <w:r>
              <w:rPr>
                <w:rFonts w:hint="eastAsia"/>
                <w:szCs w:val="26"/>
              </w:rPr>
              <w:t>式中：Leqg——建设项目声源在预测点的等效声级贡献值，dB；</w:t>
            </w:r>
          </w:p>
          <w:p>
            <w:pPr>
              <w:pStyle w:val="185"/>
              <w:wordWrap/>
              <w:topLinePunct w:val="0"/>
              <w:autoSpaceDE w:val="0"/>
              <w:autoSpaceDN w:val="0"/>
              <w:ind w:firstLine="480"/>
              <w:jc w:val="both"/>
              <w:rPr>
                <w:szCs w:val="26"/>
              </w:rPr>
            </w:pPr>
            <w:r>
              <w:rPr>
                <w:rFonts w:hint="eastAsia"/>
                <w:szCs w:val="26"/>
              </w:rPr>
              <w:t xml:space="preserve">      T——用于计算等效声级的时间，s；</w:t>
            </w:r>
          </w:p>
          <w:p>
            <w:pPr>
              <w:pStyle w:val="185"/>
              <w:wordWrap/>
              <w:topLinePunct w:val="0"/>
              <w:autoSpaceDE w:val="0"/>
              <w:autoSpaceDN w:val="0"/>
              <w:ind w:firstLine="480"/>
              <w:jc w:val="both"/>
              <w:rPr>
                <w:szCs w:val="26"/>
              </w:rPr>
            </w:pPr>
            <w:r>
              <w:rPr>
                <w:rFonts w:hint="eastAsia"/>
                <w:szCs w:val="26"/>
              </w:rPr>
              <w:t xml:space="preserve">      N——室外声源个数；</w:t>
            </w:r>
          </w:p>
          <w:p>
            <w:pPr>
              <w:pStyle w:val="185"/>
              <w:wordWrap/>
              <w:topLinePunct w:val="0"/>
              <w:autoSpaceDE w:val="0"/>
              <w:autoSpaceDN w:val="0"/>
              <w:ind w:firstLine="480"/>
              <w:jc w:val="both"/>
              <w:rPr>
                <w:szCs w:val="26"/>
              </w:rPr>
            </w:pPr>
            <w:r>
              <w:rPr>
                <w:rFonts w:hint="eastAsia"/>
                <w:szCs w:val="26"/>
              </w:rPr>
              <w:t xml:space="preserve">      ti——在T时间内i声源工作时间，s；</w:t>
            </w:r>
          </w:p>
          <w:p>
            <w:pPr>
              <w:pStyle w:val="185"/>
              <w:wordWrap/>
              <w:topLinePunct w:val="0"/>
              <w:autoSpaceDE w:val="0"/>
              <w:autoSpaceDN w:val="0"/>
              <w:ind w:firstLine="480"/>
              <w:jc w:val="both"/>
              <w:rPr>
                <w:szCs w:val="26"/>
              </w:rPr>
            </w:pPr>
            <w:r>
              <w:rPr>
                <w:rFonts w:hint="eastAsia"/>
                <w:szCs w:val="26"/>
              </w:rPr>
              <w:t xml:space="preserve">      M——等效室外声源个数；</w:t>
            </w:r>
          </w:p>
          <w:p>
            <w:pPr>
              <w:pStyle w:val="185"/>
              <w:wordWrap/>
              <w:topLinePunct w:val="0"/>
              <w:autoSpaceDE w:val="0"/>
              <w:autoSpaceDN w:val="0"/>
              <w:ind w:firstLine="480"/>
              <w:jc w:val="both"/>
              <w:rPr>
                <w:szCs w:val="26"/>
              </w:rPr>
            </w:pPr>
            <w:r>
              <w:rPr>
                <w:rFonts w:hint="eastAsia"/>
                <w:szCs w:val="26"/>
              </w:rPr>
              <w:t xml:space="preserve">      tj——在T时间内j声源工作时间，s。</w:t>
            </w:r>
          </w:p>
          <w:p>
            <w:pPr>
              <w:pStyle w:val="185"/>
              <w:wordWrap/>
              <w:topLinePunct w:val="0"/>
              <w:autoSpaceDE w:val="0"/>
              <w:autoSpaceDN w:val="0"/>
              <w:ind w:firstLine="480"/>
              <w:jc w:val="both"/>
              <w:rPr>
                <w:szCs w:val="26"/>
              </w:rPr>
            </w:pPr>
            <w:r>
              <w:rPr>
                <w:rFonts w:hint="eastAsia"/>
                <w:szCs w:val="26"/>
              </w:rPr>
              <w:t>（4）</w:t>
            </w:r>
            <w:r>
              <w:rPr>
                <w:szCs w:val="26"/>
              </w:rPr>
              <w:t>预测点的预测等效声级（Leq）计算公式：</w:t>
            </w:r>
          </w:p>
          <w:p>
            <w:pPr>
              <w:pStyle w:val="185"/>
              <w:wordWrap/>
              <w:topLinePunct w:val="0"/>
              <w:autoSpaceDE w:val="0"/>
              <w:autoSpaceDN w:val="0"/>
              <w:ind w:firstLine="480"/>
              <w:jc w:val="center"/>
              <w:rPr>
                <w:szCs w:val="26"/>
              </w:rPr>
            </w:pPr>
            <w:r>
              <w:drawing>
                <wp:inline distT="0" distB="0" distL="114300" distR="114300">
                  <wp:extent cx="1711960" cy="260985"/>
                  <wp:effectExtent l="0" t="0" r="2540" b="5715"/>
                  <wp:docPr id="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9"/>
                          <pic:cNvPicPr>
                            <a:picLocks noChangeAspect="1"/>
                          </pic:cNvPicPr>
                        </pic:nvPicPr>
                        <pic:blipFill>
                          <a:blip r:embed="rId44"/>
                          <a:stretch>
                            <a:fillRect/>
                          </a:stretch>
                        </pic:blipFill>
                        <pic:spPr>
                          <a:xfrm>
                            <a:off x="0" y="0"/>
                            <a:ext cx="1711960" cy="260985"/>
                          </a:xfrm>
                          <a:prstGeom prst="rect">
                            <a:avLst/>
                          </a:prstGeom>
                          <a:noFill/>
                          <a:ln>
                            <a:noFill/>
                          </a:ln>
                        </pic:spPr>
                      </pic:pic>
                    </a:graphicData>
                  </a:graphic>
                </wp:inline>
              </w:drawing>
            </w:r>
          </w:p>
          <w:p>
            <w:pPr>
              <w:pStyle w:val="185"/>
              <w:wordWrap/>
              <w:topLinePunct w:val="0"/>
              <w:autoSpaceDE w:val="0"/>
              <w:autoSpaceDN w:val="0"/>
              <w:ind w:firstLine="480"/>
              <w:jc w:val="both"/>
              <w:rPr>
                <w:szCs w:val="26"/>
              </w:rPr>
            </w:pPr>
            <w:r>
              <w:rPr>
                <w:szCs w:val="26"/>
              </w:rPr>
              <w:t>式中：</w:t>
            </w:r>
          </w:p>
          <w:p>
            <w:pPr>
              <w:pStyle w:val="185"/>
              <w:wordWrap/>
              <w:topLinePunct w:val="0"/>
              <w:autoSpaceDE w:val="0"/>
              <w:autoSpaceDN w:val="0"/>
              <w:ind w:firstLine="480"/>
              <w:jc w:val="both"/>
              <w:rPr>
                <w:szCs w:val="26"/>
              </w:rPr>
            </w:pPr>
            <w:r>
              <w:rPr>
                <w:rFonts w:hint="eastAsia"/>
                <w:szCs w:val="26"/>
              </w:rPr>
              <w:t xml:space="preserve">     </w:t>
            </w:r>
            <w:r>
              <w:rPr>
                <w:i/>
                <w:szCs w:val="26"/>
              </w:rPr>
              <w:t>L</w:t>
            </w:r>
            <w:r>
              <w:rPr>
                <w:i/>
                <w:szCs w:val="26"/>
                <w:vertAlign w:val="subscript"/>
              </w:rPr>
              <w:t>eqg</w:t>
            </w:r>
            <w:r>
              <w:rPr>
                <w:szCs w:val="26"/>
              </w:rPr>
              <w:t>—建设项目声源在预测点的等效声级贡献值，dB（A）；</w:t>
            </w:r>
          </w:p>
          <w:p>
            <w:pPr>
              <w:pStyle w:val="185"/>
              <w:wordWrap/>
              <w:topLinePunct w:val="0"/>
              <w:autoSpaceDE w:val="0"/>
              <w:autoSpaceDN w:val="0"/>
              <w:ind w:firstLine="480"/>
              <w:jc w:val="both"/>
              <w:rPr>
                <w:b/>
                <w:bCs/>
                <w:color w:val="000000"/>
              </w:rPr>
            </w:pPr>
            <w:r>
              <w:rPr>
                <w:rFonts w:hint="eastAsia"/>
                <w:szCs w:val="26"/>
              </w:rPr>
              <w:t xml:space="preserve">   </w:t>
            </w:r>
            <w:r>
              <w:rPr>
                <w:rFonts w:hint="eastAsia"/>
                <w:i/>
                <w:szCs w:val="26"/>
              </w:rPr>
              <w:t xml:space="preserve">  </w:t>
            </w:r>
            <w:r>
              <w:rPr>
                <w:i/>
                <w:szCs w:val="26"/>
              </w:rPr>
              <w:t>L</w:t>
            </w:r>
            <w:r>
              <w:rPr>
                <w:i/>
                <w:szCs w:val="26"/>
                <w:vertAlign w:val="subscript"/>
              </w:rPr>
              <w:t>eqb</w:t>
            </w:r>
            <w:r>
              <w:rPr>
                <w:szCs w:val="26"/>
              </w:rPr>
              <w:t>— 预测点的背景值，dB（A）。</w:t>
            </w:r>
          </w:p>
          <w:p>
            <w:pPr>
              <w:pStyle w:val="185"/>
              <w:wordWrap/>
              <w:topLinePunct w:val="0"/>
              <w:autoSpaceDE w:val="0"/>
              <w:autoSpaceDN w:val="0"/>
              <w:ind w:firstLine="480"/>
              <w:jc w:val="both"/>
              <w:rPr>
                <w:rFonts w:hint="eastAsia"/>
                <w:color w:val="000000"/>
              </w:rPr>
            </w:pPr>
            <w:r>
              <w:rPr>
                <w:rFonts w:hint="eastAsia"/>
                <w:color w:val="000000"/>
              </w:rPr>
              <w:t>从工程总平面布置图看，本项目各主要噪声源于厂界的距离见下表：</w:t>
            </w:r>
          </w:p>
          <w:p>
            <w:pPr>
              <w:pStyle w:val="186"/>
              <w:autoSpaceDE w:val="0"/>
              <w:autoSpaceDN w:val="0"/>
              <w:spacing w:line="240" w:lineRule="auto"/>
            </w:pPr>
            <w:r>
              <w:rPr>
                <w:rFonts w:hint="eastAsia"/>
              </w:rPr>
              <w:t>表4-</w:t>
            </w:r>
            <w:r>
              <w:rPr>
                <w:rFonts w:hint="eastAsia"/>
                <w:lang w:val="en-US" w:eastAsia="zh-CN"/>
              </w:rPr>
              <w:t>13</w:t>
            </w:r>
            <w:r>
              <w:rPr>
                <w:rFonts w:hint="eastAsia"/>
              </w:rPr>
              <w:t xml:space="preserve">  本工程各主要噪声源与院区边界及敏感点的距离</w:t>
            </w:r>
            <w:r>
              <w:t xml:space="preserve">    </w:t>
            </w:r>
            <w:r>
              <w:rPr>
                <w:rFonts w:hint="eastAsia"/>
              </w:rPr>
              <w:t>单位：</w:t>
            </w:r>
            <w:r>
              <w:t>m</w:t>
            </w:r>
          </w:p>
          <w:tbl>
            <w:tblPr>
              <w:tblStyle w:val="41"/>
              <w:tblW w:w="0" w:type="auto"/>
              <w:jc w:val="center"/>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108" w:type="dxa"/>
                <w:bottom w:w="0" w:type="dxa"/>
                <w:right w:w="108" w:type="dxa"/>
              </w:tblCellMar>
            </w:tblPr>
            <w:tblGrid>
              <w:gridCol w:w="671"/>
              <w:gridCol w:w="1313"/>
              <w:gridCol w:w="787"/>
              <w:gridCol w:w="1275"/>
              <w:gridCol w:w="1275"/>
              <w:gridCol w:w="1275"/>
              <w:gridCol w:w="1342"/>
            </w:tblGrid>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00" w:hRule="atLeast"/>
                <w:jc w:val="center"/>
              </w:trPr>
              <w:tc>
                <w:tcPr>
                  <w:tcW w:w="671" w:type="dxa"/>
                  <w:vMerge w:val="restart"/>
                  <w:tcBorders>
                    <w:top w:val="single" w:color="auto" w:sz="2" w:space="0"/>
                    <w:left w:val="single" w:color="auto" w:sz="2" w:space="0"/>
                    <w:bottom w:val="single" w:color="auto" w:sz="6" w:space="0"/>
                    <w:right w:val="single" w:color="auto" w:sz="6" w:space="0"/>
                  </w:tcBorders>
                  <w:noWrap w:val="0"/>
                  <w:vAlign w:val="center"/>
                </w:tcPr>
                <w:p>
                  <w:pPr>
                    <w:pStyle w:val="184"/>
                    <w:wordWrap/>
                    <w:rPr>
                      <w:b/>
                      <w:color w:val="000000"/>
                      <w:sz w:val="21"/>
                      <w:szCs w:val="21"/>
                    </w:rPr>
                  </w:pPr>
                  <w:r>
                    <w:rPr>
                      <w:rFonts w:hint="eastAsia"/>
                      <w:b/>
                      <w:color w:val="000000"/>
                      <w:sz w:val="21"/>
                      <w:szCs w:val="21"/>
                    </w:rPr>
                    <w:t>序号</w:t>
                  </w:r>
                </w:p>
              </w:tc>
              <w:tc>
                <w:tcPr>
                  <w:tcW w:w="1313" w:type="dxa"/>
                  <w:vMerge w:val="restart"/>
                  <w:tcBorders>
                    <w:top w:val="single" w:color="auto" w:sz="2" w:space="0"/>
                    <w:left w:val="single" w:color="auto" w:sz="6" w:space="0"/>
                    <w:bottom w:val="single" w:color="auto" w:sz="6" w:space="0"/>
                    <w:right w:val="single" w:color="auto" w:sz="6" w:space="0"/>
                  </w:tcBorders>
                  <w:noWrap w:val="0"/>
                  <w:vAlign w:val="center"/>
                </w:tcPr>
                <w:p>
                  <w:pPr>
                    <w:pStyle w:val="184"/>
                    <w:wordWrap/>
                    <w:rPr>
                      <w:b/>
                      <w:color w:val="000000"/>
                      <w:sz w:val="21"/>
                      <w:szCs w:val="21"/>
                    </w:rPr>
                  </w:pPr>
                  <w:r>
                    <w:rPr>
                      <w:rFonts w:hint="eastAsia"/>
                      <w:b/>
                      <w:color w:val="000000"/>
                      <w:sz w:val="21"/>
                      <w:szCs w:val="21"/>
                    </w:rPr>
                    <w:t>噪声源</w:t>
                  </w:r>
                </w:p>
              </w:tc>
              <w:tc>
                <w:tcPr>
                  <w:tcW w:w="787" w:type="dxa"/>
                  <w:vMerge w:val="restart"/>
                  <w:tcBorders>
                    <w:top w:val="single" w:color="auto" w:sz="2" w:space="0"/>
                    <w:left w:val="single" w:color="auto" w:sz="6" w:space="0"/>
                    <w:bottom w:val="single" w:color="auto" w:sz="6" w:space="0"/>
                    <w:right w:val="single" w:color="auto" w:sz="6" w:space="0"/>
                  </w:tcBorders>
                  <w:noWrap w:val="0"/>
                  <w:vAlign w:val="center"/>
                </w:tcPr>
                <w:p>
                  <w:pPr>
                    <w:pStyle w:val="184"/>
                    <w:wordWrap/>
                    <w:rPr>
                      <w:b/>
                      <w:color w:val="000000"/>
                      <w:sz w:val="21"/>
                      <w:szCs w:val="21"/>
                    </w:rPr>
                  </w:pPr>
                  <w:r>
                    <w:rPr>
                      <w:rFonts w:hint="eastAsia"/>
                      <w:b/>
                      <w:color w:val="000000"/>
                      <w:sz w:val="21"/>
                      <w:szCs w:val="21"/>
                    </w:rPr>
                    <w:t>数量</w:t>
                  </w:r>
                </w:p>
              </w:tc>
              <w:tc>
                <w:tcPr>
                  <w:tcW w:w="5167" w:type="dxa"/>
                  <w:gridSpan w:val="4"/>
                  <w:tcBorders>
                    <w:top w:val="single" w:color="auto" w:sz="2" w:space="0"/>
                    <w:left w:val="single" w:color="auto" w:sz="6" w:space="0"/>
                    <w:bottom w:val="single" w:color="auto" w:sz="6" w:space="0"/>
                    <w:right w:val="single" w:color="auto" w:sz="2" w:space="0"/>
                  </w:tcBorders>
                  <w:noWrap w:val="0"/>
                  <w:vAlign w:val="center"/>
                </w:tcPr>
                <w:p>
                  <w:pPr>
                    <w:pStyle w:val="184"/>
                    <w:wordWrap/>
                    <w:rPr>
                      <w:b/>
                      <w:color w:val="000000"/>
                      <w:sz w:val="21"/>
                      <w:szCs w:val="21"/>
                    </w:rPr>
                  </w:pPr>
                  <w:r>
                    <w:rPr>
                      <w:rFonts w:hint="eastAsia"/>
                      <w:b/>
                      <w:color w:val="000000"/>
                      <w:sz w:val="21"/>
                      <w:szCs w:val="21"/>
                    </w:rPr>
                    <w:t>距各院区边界距离（</w:t>
                  </w:r>
                  <w:r>
                    <w:rPr>
                      <w:b/>
                      <w:color w:val="000000"/>
                      <w:sz w:val="21"/>
                      <w:szCs w:val="21"/>
                    </w:rPr>
                    <w:t>m</w:t>
                  </w:r>
                  <w:r>
                    <w:rPr>
                      <w:rFonts w:hint="eastAsia"/>
                      <w:b/>
                      <w:color w:val="000000"/>
                      <w:sz w:val="21"/>
                      <w:szCs w:val="21"/>
                    </w:rPr>
                    <w:t>）</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16" w:hRule="atLeast"/>
                <w:jc w:val="center"/>
              </w:trPr>
              <w:tc>
                <w:tcPr>
                  <w:tcW w:w="671" w:type="dxa"/>
                  <w:vMerge w:val="continue"/>
                  <w:tcBorders>
                    <w:top w:val="single" w:color="auto" w:sz="6" w:space="0"/>
                    <w:left w:val="single" w:color="auto" w:sz="2" w:space="0"/>
                    <w:bottom w:val="single" w:color="auto" w:sz="6" w:space="0"/>
                    <w:right w:val="single" w:color="auto" w:sz="6" w:space="0"/>
                  </w:tcBorders>
                  <w:noWrap w:val="0"/>
                  <w:vAlign w:val="center"/>
                </w:tcPr>
                <w:p>
                  <w:pPr>
                    <w:pStyle w:val="184"/>
                    <w:wordWrap/>
                    <w:rPr>
                      <w:b/>
                      <w:color w:val="000000"/>
                      <w:sz w:val="21"/>
                      <w:szCs w:val="21"/>
                    </w:rPr>
                  </w:pPr>
                </w:p>
              </w:tc>
              <w:tc>
                <w:tcPr>
                  <w:tcW w:w="1313" w:type="dxa"/>
                  <w:vMerge w:val="continue"/>
                  <w:tcBorders>
                    <w:top w:val="single" w:color="auto" w:sz="6" w:space="0"/>
                    <w:left w:val="single" w:color="auto" w:sz="6" w:space="0"/>
                    <w:bottom w:val="single" w:color="auto" w:sz="6" w:space="0"/>
                    <w:right w:val="single" w:color="auto" w:sz="6" w:space="0"/>
                  </w:tcBorders>
                  <w:noWrap w:val="0"/>
                  <w:vAlign w:val="center"/>
                </w:tcPr>
                <w:p>
                  <w:pPr>
                    <w:pStyle w:val="184"/>
                    <w:wordWrap/>
                    <w:rPr>
                      <w:b/>
                      <w:color w:val="000000"/>
                      <w:sz w:val="21"/>
                      <w:szCs w:val="21"/>
                    </w:rPr>
                  </w:pPr>
                </w:p>
              </w:tc>
              <w:tc>
                <w:tcPr>
                  <w:tcW w:w="787" w:type="dxa"/>
                  <w:vMerge w:val="continue"/>
                  <w:tcBorders>
                    <w:top w:val="single" w:color="auto" w:sz="6" w:space="0"/>
                    <w:left w:val="single" w:color="auto" w:sz="6" w:space="0"/>
                    <w:bottom w:val="single" w:color="auto" w:sz="6" w:space="0"/>
                    <w:right w:val="single" w:color="auto" w:sz="6" w:space="0"/>
                  </w:tcBorders>
                  <w:noWrap w:val="0"/>
                  <w:vAlign w:val="center"/>
                </w:tcPr>
                <w:p>
                  <w:pPr>
                    <w:pStyle w:val="184"/>
                    <w:wordWrap/>
                    <w:rPr>
                      <w:b/>
                      <w:color w:val="000000"/>
                      <w:sz w:val="21"/>
                      <w:szCs w:val="21"/>
                    </w:rPr>
                  </w:pPr>
                </w:p>
              </w:tc>
              <w:tc>
                <w:tcPr>
                  <w:tcW w:w="1275" w:type="dxa"/>
                  <w:tcBorders>
                    <w:top w:val="single" w:color="auto" w:sz="6" w:space="0"/>
                    <w:left w:val="single" w:color="auto" w:sz="6" w:space="0"/>
                    <w:bottom w:val="single" w:color="auto" w:sz="6" w:space="0"/>
                    <w:right w:val="single" w:color="auto" w:sz="6" w:space="0"/>
                  </w:tcBorders>
                  <w:noWrap w:val="0"/>
                  <w:vAlign w:val="center"/>
                </w:tcPr>
                <w:p>
                  <w:pPr>
                    <w:pStyle w:val="184"/>
                    <w:wordWrap/>
                    <w:rPr>
                      <w:rFonts w:hint="eastAsia"/>
                      <w:b/>
                      <w:color w:val="000000"/>
                      <w:sz w:val="21"/>
                      <w:szCs w:val="21"/>
                    </w:rPr>
                  </w:pPr>
                  <w:r>
                    <w:rPr>
                      <w:rFonts w:hint="eastAsia"/>
                      <w:b/>
                      <w:color w:val="000000"/>
                      <w:sz w:val="21"/>
                      <w:szCs w:val="21"/>
                    </w:rPr>
                    <w:t>东院区边界</w:t>
                  </w:r>
                </w:p>
              </w:tc>
              <w:tc>
                <w:tcPr>
                  <w:tcW w:w="1275" w:type="dxa"/>
                  <w:tcBorders>
                    <w:top w:val="single" w:color="auto" w:sz="6" w:space="0"/>
                    <w:left w:val="single" w:color="auto" w:sz="6" w:space="0"/>
                    <w:bottom w:val="single" w:color="auto" w:sz="6" w:space="0"/>
                    <w:right w:val="single" w:color="auto" w:sz="6" w:space="0"/>
                  </w:tcBorders>
                  <w:noWrap w:val="0"/>
                  <w:vAlign w:val="center"/>
                </w:tcPr>
                <w:p>
                  <w:pPr>
                    <w:pStyle w:val="184"/>
                    <w:wordWrap/>
                    <w:rPr>
                      <w:b/>
                      <w:color w:val="000000"/>
                      <w:sz w:val="21"/>
                      <w:szCs w:val="21"/>
                    </w:rPr>
                  </w:pPr>
                  <w:r>
                    <w:rPr>
                      <w:rFonts w:hint="eastAsia"/>
                      <w:b/>
                      <w:color w:val="000000"/>
                      <w:sz w:val="21"/>
                      <w:szCs w:val="21"/>
                    </w:rPr>
                    <w:t>南院区边界</w:t>
                  </w:r>
                </w:p>
              </w:tc>
              <w:tc>
                <w:tcPr>
                  <w:tcW w:w="1275" w:type="dxa"/>
                  <w:tcBorders>
                    <w:top w:val="single" w:color="auto" w:sz="6" w:space="0"/>
                    <w:left w:val="single" w:color="auto" w:sz="6" w:space="0"/>
                    <w:bottom w:val="single" w:color="auto" w:sz="6" w:space="0"/>
                    <w:right w:val="single" w:color="auto" w:sz="6" w:space="0"/>
                  </w:tcBorders>
                  <w:noWrap w:val="0"/>
                  <w:vAlign w:val="center"/>
                </w:tcPr>
                <w:p>
                  <w:pPr>
                    <w:pStyle w:val="184"/>
                    <w:wordWrap/>
                    <w:rPr>
                      <w:b/>
                      <w:color w:val="000000"/>
                      <w:sz w:val="21"/>
                      <w:szCs w:val="21"/>
                    </w:rPr>
                  </w:pPr>
                  <w:r>
                    <w:rPr>
                      <w:rFonts w:hint="eastAsia"/>
                      <w:b/>
                      <w:color w:val="000000"/>
                      <w:sz w:val="21"/>
                      <w:szCs w:val="21"/>
                    </w:rPr>
                    <w:t>西院区边界</w:t>
                  </w:r>
                </w:p>
              </w:tc>
              <w:tc>
                <w:tcPr>
                  <w:tcW w:w="1342" w:type="dxa"/>
                  <w:tcBorders>
                    <w:top w:val="single" w:color="auto" w:sz="6" w:space="0"/>
                    <w:left w:val="single" w:color="auto" w:sz="6" w:space="0"/>
                    <w:bottom w:val="single" w:color="auto" w:sz="6" w:space="0"/>
                    <w:right w:val="single" w:color="auto" w:sz="2" w:space="0"/>
                  </w:tcBorders>
                  <w:noWrap w:val="0"/>
                  <w:vAlign w:val="center"/>
                </w:tcPr>
                <w:p>
                  <w:pPr>
                    <w:pStyle w:val="184"/>
                    <w:wordWrap/>
                    <w:rPr>
                      <w:b/>
                      <w:color w:val="000000"/>
                      <w:sz w:val="21"/>
                      <w:szCs w:val="21"/>
                    </w:rPr>
                  </w:pPr>
                  <w:r>
                    <w:rPr>
                      <w:rFonts w:hint="eastAsia"/>
                      <w:b/>
                      <w:color w:val="000000"/>
                      <w:sz w:val="21"/>
                      <w:szCs w:val="21"/>
                    </w:rPr>
                    <w:t>北院区边界</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74" w:hRule="atLeast"/>
                <w:jc w:val="center"/>
              </w:trPr>
              <w:tc>
                <w:tcPr>
                  <w:tcW w:w="671" w:type="dxa"/>
                  <w:tcBorders>
                    <w:top w:val="single" w:color="auto" w:sz="6" w:space="0"/>
                    <w:left w:val="single" w:color="auto" w:sz="2" w:space="0"/>
                    <w:bottom w:val="single" w:color="auto" w:sz="6" w:space="0"/>
                    <w:right w:val="single" w:color="auto" w:sz="6" w:space="0"/>
                  </w:tcBorders>
                  <w:noWrap w:val="0"/>
                  <w:vAlign w:val="center"/>
                </w:tcPr>
                <w:p>
                  <w:pPr>
                    <w:pStyle w:val="165"/>
                    <w:rPr>
                      <w:sz w:val="21"/>
                      <w:szCs w:val="21"/>
                    </w:rPr>
                  </w:pPr>
                  <w:r>
                    <w:rPr>
                      <w:sz w:val="21"/>
                      <w:szCs w:val="21"/>
                    </w:rPr>
                    <w:t>1</w:t>
                  </w:r>
                </w:p>
              </w:tc>
              <w:tc>
                <w:tcPr>
                  <w:tcW w:w="1313" w:type="dxa"/>
                  <w:tcBorders>
                    <w:top w:val="single" w:color="auto" w:sz="6" w:space="0"/>
                    <w:left w:val="single" w:color="auto" w:sz="6" w:space="0"/>
                    <w:bottom w:val="single" w:color="auto" w:sz="6" w:space="0"/>
                    <w:right w:val="single" w:color="auto" w:sz="6" w:space="0"/>
                  </w:tcBorders>
                  <w:noWrap w:val="0"/>
                  <w:vAlign w:val="center"/>
                </w:tcPr>
                <w:p>
                  <w:pPr>
                    <w:pStyle w:val="165"/>
                    <w:rPr>
                      <w:rFonts w:hint="eastAsia"/>
                      <w:color w:val="000000"/>
                      <w:sz w:val="21"/>
                      <w:szCs w:val="21"/>
                    </w:rPr>
                  </w:pPr>
                  <w:r>
                    <w:rPr>
                      <w:rFonts w:hint="eastAsia"/>
                      <w:sz w:val="21"/>
                      <w:szCs w:val="21"/>
                    </w:rPr>
                    <w:t>发电机</w:t>
                  </w:r>
                </w:p>
              </w:tc>
              <w:tc>
                <w:tcPr>
                  <w:tcW w:w="787" w:type="dxa"/>
                  <w:tcBorders>
                    <w:top w:val="single" w:color="auto" w:sz="6" w:space="0"/>
                    <w:left w:val="single" w:color="auto" w:sz="6" w:space="0"/>
                    <w:bottom w:val="single" w:color="auto" w:sz="6" w:space="0"/>
                    <w:right w:val="single" w:color="auto" w:sz="6" w:space="0"/>
                  </w:tcBorders>
                  <w:noWrap w:val="0"/>
                  <w:vAlign w:val="center"/>
                </w:tcPr>
                <w:p>
                  <w:pPr>
                    <w:autoSpaceDE w:val="0"/>
                    <w:autoSpaceDN w:val="0"/>
                    <w:spacing w:line="260" w:lineRule="exact"/>
                    <w:jc w:val="center"/>
                    <w:rPr>
                      <w:color w:val="000000"/>
                      <w:sz w:val="21"/>
                      <w:szCs w:val="21"/>
                    </w:rPr>
                  </w:pPr>
                  <w:r>
                    <w:rPr>
                      <w:rFonts w:hint="eastAsia"/>
                      <w:color w:val="000000"/>
                      <w:sz w:val="21"/>
                      <w:szCs w:val="21"/>
                    </w:rPr>
                    <w:t>1</w:t>
                  </w:r>
                </w:p>
              </w:tc>
              <w:tc>
                <w:tcPr>
                  <w:tcW w:w="1275" w:type="dxa"/>
                  <w:tcBorders>
                    <w:top w:val="single" w:color="auto" w:sz="6" w:space="0"/>
                    <w:left w:val="single" w:color="auto" w:sz="6" w:space="0"/>
                    <w:bottom w:val="single" w:color="auto" w:sz="6" w:space="0"/>
                    <w:right w:val="single" w:color="auto" w:sz="6" w:space="0"/>
                  </w:tcBorders>
                  <w:noWrap w:val="0"/>
                  <w:vAlign w:val="center"/>
                </w:tcPr>
                <w:p>
                  <w:pPr>
                    <w:pStyle w:val="165"/>
                    <w:rPr>
                      <w:rFonts w:hint="eastAsia"/>
                      <w:color w:val="000000"/>
                      <w:sz w:val="21"/>
                      <w:szCs w:val="21"/>
                    </w:rPr>
                  </w:pPr>
                  <w:r>
                    <w:rPr>
                      <w:rFonts w:hint="eastAsia"/>
                      <w:color w:val="000000"/>
                      <w:sz w:val="21"/>
                      <w:szCs w:val="21"/>
                    </w:rPr>
                    <w:t>3</w:t>
                  </w:r>
                </w:p>
              </w:tc>
              <w:tc>
                <w:tcPr>
                  <w:tcW w:w="1275" w:type="dxa"/>
                  <w:tcBorders>
                    <w:top w:val="single" w:color="auto" w:sz="6" w:space="0"/>
                    <w:left w:val="single" w:color="auto" w:sz="6" w:space="0"/>
                    <w:bottom w:val="single" w:color="auto" w:sz="6" w:space="0"/>
                    <w:right w:val="single" w:color="auto" w:sz="6" w:space="0"/>
                  </w:tcBorders>
                  <w:noWrap w:val="0"/>
                  <w:vAlign w:val="center"/>
                </w:tcPr>
                <w:p>
                  <w:pPr>
                    <w:pStyle w:val="165"/>
                    <w:rPr>
                      <w:color w:val="000000"/>
                      <w:sz w:val="21"/>
                      <w:szCs w:val="21"/>
                    </w:rPr>
                  </w:pPr>
                  <w:r>
                    <w:rPr>
                      <w:rFonts w:hint="eastAsia"/>
                      <w:color w:val="000000"/>
                      <w:sz w:val="21"/>
                      <w:szCs w:val="21"/>
                    </w:rPr>
                    <w:t>16</w:t>
                  </w:r>
                </w:p>
              </w:tc>
              <w:tc>
                <w:tcPr>
                  <w:tcW w:w="1275" w:type="dxa"/>
                  <w:tcBorders>
                    <w:top w:val="single" w:color="auto" w:sz="6" w:space="0"/>
                    <w:left w:val="single" w:color="auto" w:sz="6" w:space="0"/>
                    <w:bottom w:val="single" w:color="auto" w:sz="6" w:space="0"/>
                    <w:right w:val="single" w:color="auto" w:sz="6" w:space="0"/>
                  </w:tcBorders>
                  <w:noWrap w:val="0"/>
                  <w:vAlign w:val="center"/>
                </w:tcPr>
                <w:p>
                  <w:pPr>
                    <w:pStyle w:val="165"/>
                    <w:rPr>
                      <w:color w:val="000000"/>
                      <w:sz w:val="21"/>
                      <w:szCs w:val="21"/>
                    </w:rPr>
                  </w:pPr>
                  <w:r>
                    <w:rPr>
                      <w:rFonts w:hint="eastAsia"/>
                      <w:color w:val="000000"/>
                      <w:sz w:val="21"/>
                      <w:szCs w:val="21"/>
                    </w:rPr>
                    <w:t>40</w:t>
                  </w:r>
                </w:p>
              </w:tc>
              <w:tc>
                <w:tcPr>
                  <w:tcW w:w="1342" w:type="dxa"/>
                  <w:tcBorders>
                    <w:top w:val="single" w:color="auto" w:sz="6" w:space="0"/>
                    <w:left w:val="single" w:color="auto" w:sz="6" w:space="0"/>
                    <w:bottom w:val="single" w:color="auto" w:sz="6" w:space="0"/>
                    <w:right w:val="single" w:color="auto" w:sz="2" w:space="0"/>
                  </w:tcBorders>
                  <w:noWrap w:val="0"/>
                  <w:vAlign w:val="center"/>
                </w:tcPr>
                <w:p>
                  <w:pPr>
                    <w:pStyle w:val="165"/>
                    <w:rPr>
                      <w:color w:val="000000"/>
                      <w:sz w:val="21"/>
                      <w:szCs w:val="21"/>
                    </w:rPr>
                  </w:pPr>
                  <w:r>
                    <w:rPr>
                      <w:rFonts w:hint="eastAsia"/>
                      <w:color w:val="000000"/>
                      <w:sz w:val="21"/>
                      <w:szCs w:val="21"/>
                    </w:rPr>
                    <w:t>76</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74" w:hRule="atLeast"/>
                <w:jc w:val="center"/>
              </w:trPr>
              <w:tc>
                <w:tcPr>
                  <w:tcW w:w="671" w:type="dxa"/>
                  <w:tcBorders>
                    <w:top w:val="single" w:color="auto" w:sz="6" w:space="0"/>
                    <w:left w:val="single" w:color="auto" w:sz="2" w:space="0"/>
                    <w:bottom w:val="single" w:color="auto" w:sz="6" w:space="0"/>
                    <w:right w:val="single" w:color="auto" w:sz="6" w:space="0"/>
                  </w:tcBorders>
                  <w:noWrap w:val="0"/>
                  <w:vAlign w:val="center"/>
                </w:tcPr>
                <w:p>
                  <w:pPr>
                    <w:pStyle w:val="165"/>
                    <w:rPr>
                      <w:sz w:val="21"/>
                      <w:szCs w:val="21"/>
                    </w:rPr>
                  </w:pPr>
                  <w:r>
                    <w:rPr>
                      <w:sz w:val="21"/>
                      <w:szCs w:val="21"/>
                    </w:rPr>
                    <w:t>2</w:t>
                  </w:r>
                </w:p>
              </w:tc>
              <w:tc>
                <w:tcPr>
                  <w:tcW w:w="1313" w:type="dxa"/>
                  <w:tcBorders>
                    <w:top w:val="single" w:color="auto" w:sz="6" w:space="0"/>
                    <w:left w:val="single" w:color="auto" w:sz="6" w:space="0"/>
                    <w:bottom w:val="single" w:color="auto" w:sz="6" w:space="0"/>
                    <w:right w:val="single" w:color="auto" w:sz="6" w:space="0"/>
                  </w:tcBorders>
                  <w:noWrap w:val="0"/>
                  <w:vAlign w:val="center"/>
                </w:tcPr>
                <w:p>
                  <w:pPr>
                    <w:pStyle w:val="165"/>
                    <w:rPr>
                      <w:rFonts w:hint="eastAsia"/>
                      <w:color w:val="000000"/>
                      <w:sz w:val="21"/>
                      <w:szCs w:val="21"/>
                    </w:rPr>
                  </w:pPr>
                  <w:r>
                    <w:rPr>
                      <w:rFonts w:hint="eastAsia"/>
                      <w:sz w:val="21"/>
                      <w:szCs w:val="21"/>
                    </w:rPr>
                    <w:t>污水处理站</w:t>
                  </w:r>
                </w:p>
              </w:tc>
              <w:tc>
                <w:tcPr>
                  <w:tcW w:w="787" w:type="dxa"/>
                  <w:tcBorders>
                    <w:top w:val="single" w:color="auto" w:sz="6" w:space="0"/>
                    <w:left w:val="single" w:color="auto" w:sz="6" w:space="0"/>
                    <w:bottom w:val="single" w:color="auto" w:sz="6" w:space="0"/>
                    <w:right w:val="single" w:color="auto" w:sz="6" w:space="0"/>
                  </w:tcBorders>
                  <w:noWrap w:val="0"/>
                  <w:vAlign w:val="center"/>
                </w:tcPr>
                <w:p>
                  <w:pPr>
                    <w:autoSpaceDE w:val="0"/>
                    <w:autoSpaceDN w:val="0"/>
                    <w:spacing w:line="260" w:lineRule="exact"/>
                    <w:jc w:val="center"/>
                    <w:rPr>
                      <w:rFonts w:hint="eastAsia"/>
                      <w:color w:val="000000"/>
                      <w:sz w:val="21"/>
                      <w:szCs w:val="21"/>
                    </w:rPr>
                  </w:pPr>
                  <w:r>
                    <w:rPr>
                      <w:rFonts w:hint="eastAsia"/>
                      <w:color w:val="000000"/>
                      <w:sz w:val="21"/>
                      <w:szCs w:val="21"/>
                    </w:rPr>
                    <w:t>1</w:t>
                  </w:r>
                </w:p>
              </w:tc>
              <w:tc>
                <w:tcPr>
                  <w:tcW w:w="1275" w:type="dxa"/>
                  <w:tcBorders>
                    <w:top w:val="single" w:color="auto" w:sz="6" w:space="0"/>
                    <w:left w:val="single" w:color="auto" w:sz="6" w:space="0"/>
                    <w:bottom w:val="single" w:color="auto" w:sz="6" w:space="0"/>
                    <w:right w:val="single" w:color="auto" w:sz="6" w:space="0"/>
                  </w:tcBorders>
                  <w:noWrap w:val="0"/>
                  <w:vAlign w:val="center"/>
                </w:tcPr>
                <w:p>
                  <w:pPr>
                    <w:pStyle w:val="165"/>
                    <w:rPr>
                      <w:rFonts w:hint="eastAsia"/>
                      <w:color w:val="000000"/>
                      <w:sz w:val="21"/>
                      <w:szCs w:val="21"/>
                    </w:rPr>
                  </w:pPr>
                  <w:r>
                    <w:rPr>
                      <w:rFonts w:hint="eastAsia"/>
                      <w:color w:val="000000"/>
                      <w:sz w:val="21"/>
                      <w:szCs w:val="21"/>
                    </w:rPr>
                    <w:t>2</w:t>
                  </w:r>
                </w:p>
              </w:tc>
              <w:tc>
                <w:tcPr>
                  <w:tcW w:w="1275" w:type="dxa"/>
                  <w:tcBorders>
                    <w:top w:val="single" w:color="auto" w:sz="6" w:space="0"/>
                    <w:left w:val="single" w:color="auto" w:sz="6" w:space="0"/>
                    <w:bottom w:val="single" w:color="auto" w:sz="6" w:space="0"/>
                    <w:right w:val="single" w:color="auto" w:sz="6" w:space="0"/>
                  </w:tcBorders>
                  <w:noWrap w:val="0"/>
                  <w:vAlign w:val="center"/>
                </w:tcPr>
                <w:p>
                  <w:pPr>
                    <w:pStyle w:val="165"/>
                    <w:rPr>
                      <w:color w:val="000000"/>
                      <w:sz w:val="21"/>
                      <w:szCs w:val="21"/>
                    </w:rPr>
                  </w:pPr>
                  <w:r>
                    <w:rPr>
                      <w:rFonts w:hint="eastAsia"/>
                      <w:color w:val="000000"/>
                      <w:sz w:val="21"/>
                      <w:szCs w:val="21"/>
                    </w:rPr>
                    <w:t>20</w:t>
                  </w:r>
                </w:p>
              </w:tc>
              <w:tc>
                <w:tcPr>
                  <w:tcW w:w="1275" w:type="dxa"/>
                  <w:tcBorders>
                    <w:top w:val="single" w:color="auto" w:sz="6" w:space="0"/>
                    <w:left w:val="single" w:color="auto" w:sz="6" w:space="0"/>
                    <w:bottom w:val="single" w:color="auto" w:sz="6" w:space="0"/>
                    <w:right w:val="single" w:color="auto" w:sz="6" w:space="0"/>
                  </w:tcBorders>
                  <w:noWrap w:val="0"/>
                  <w:vAlign w:val="center"/>
                </w:tcPr>
                <w:p>
                  <w:pPr>
                    <w:pStyle w:val="165"/>
                    <w:rPr>
                      <w:color w:val="000000"/>
                      <w:sz w:val="21"/>
                      <w:szCs w:val="21"/>
                    </w:rPr>
                  </w:pPr>
                  <w:r>
                    <w:rPr>
                      <w:rFonts w:hint="eastAsia"/>
                      <w:color w:val="000000"/>
                      <w:sz w:val="21"/>
                      <w:szCs w:val="21"/>
                    </w:rPr>
                    <w:t>36</w:t>
                  </w:r>
                </w:p>
              </w:tc>
              <w:tc>
                <w:tcPr>
                  <w:tcW w:w="1342" w:type="dxa"/>
                  <w:tcBorders>
                    <w:top w:val="single" w:color="auto" w:sz="6" w:space="0"/>
                    <w:left w:val="single" w:color="auto" w:sz="6" w:space="0"/>
                    <w:bottom w:val="single" w:color="auto" w:sz="6" w:space="0"/>
                    <w:right w:val="single" w:color="auto" w:sz="2" w:space="0"/>
                  </w:tcBorders>
                  <w:noWrap w:val="0"/>
                  <w:vAlign w:val="center"/>
                </w:tcPr>
                <w:p>
                  <w:pPr>
                    <w:pStyle w:val="165"/>
                    <w:rPr>
                      <w:color w:val="000000"/>
                      <w:sz w:val="21"/>
                      <w:szCs w:val="21"/>
                    </w:rPr>
                  </w:pPr>
                  <w:r>
                    <w:rPr>
                      <w:rFonts w:hint="eastAsia"/>
                      <w:color w:val="000000"/>
                      <w:sz w:val="21"/>
                      <w:szCs w:val="21"/>
                    </w:rPr>
                    <w:t>70</w:t>
                  </w:r>
                </w:p>
              </w:tc>
            </w:tr>
          </w:tbl>
          <w:p>
            <w:pPr>
              <w:autoSpaceDE w:val="0"/>
              <w:autoSpaceDN w:val="0"/>
              <w:spacing w:line="360" w:lineRule="auto"/>
              <w:ind w:firstLine="474" w:firstLineChars="200"/>
              <w:jc w:val="left"/>
              <w:rPr>
                <w:rFonts w:hint="eastAsia"/>
                <w:b/>
                <w:color w:val="000000"/>
                <w:spacing w:val="-2"/>
                <w:sz w:val="24"/>
              </w:rPr>
            </w:pPr>
            <w:r>
              <w:rPr>
                <w:rFonts w:hint="eastAsia"/>
                <w:b/>
                <w:color w:val="000000"/>
                <w:spacing w:val="-2"/>
                <w:sz w:val="24"/>
              </w:rPr>
              <w:t>②预测结果</w:t>
            </w:r>
          </w:p>
          <w:p>
            <w:pPr>
              <w:autoSpaceDE w:val="0"/>
              <w:autoSpaceDN w:val="0"/>
              <w:spacing w:line="360" w:lineRule="auto"/>
              <w:ind w:firstLine="472" w:firstLineChars="200"/>
              <w:rPr>
                <w:rFonts w:hAnsi="宋体"/>
                <w:b/>
                <w:bCs/>
                <w:color w:val="000000"/>
                <w:sz w:val="24"/>
              </w:rPr>
            </w:pPr>
            <w:r>
              <w:rPr>
                <w:rFonts w:hint="eastAsia"/>
                <w:color w:val="000000"/>
                <w:spacing w:val="-2"/>
                <w:sz w:val="24"/>
              </w:rPr>
              <w:t>根据噪声衰减公式对各设备声源在不同距离的衰减量进行计算得出本项目噪声的贡献值，工程噪声预测结果见下表：</w:t>
            </w:r>
          </w:p>
          <w:p>
            <w:pPr>
              <w:pStyle w:val="186"/>
              <w:autoSpaceDE w:val="0"/>
              <w:autoSpaceDN w:val="0"/>
              <w:spacing w:line="240" w:lineRule="auto"/>
              <w:jc w:val="right"/>
            </w:pPr>
            <w:r>
              <w:rPr>
                <w:rFonts w:hint="eastAsia"/>
              </w:rPr>
              <w:t>表4-1</w:t>
            </w:r>
            <w:r>
              <w:rPr>
                <w:rFonts w:hint="eastAsia"/>
                <w:lang w:val="en-US" w:eastAsia="zh-CN"/>
              </w:rPr>
              <w:t>4</w:t>
            </w:r>
            <w:r>
              <w:t xml:space="preserve">  </w:t>
            </w:r>
            <w:r>
              <w:rPr>
                <w:rFonts w:hint="eastAsia"/>
              </w:rPr>
              <w:t>本工程各主要噪声源对各厂界噪声贡献值</w:t>
            </w:r>
            <w:r>
              <w:t xml:space="preserve">    </w:t>
            </w:r>
            <w:r>
              <w:rPr>
                <w:rFonts w:hint="eastAsia"/>
              </w:rPr>
              <w:t>单位：</w:t>
            </w:r>
            <w:r>
              <w:t>dB</w:t>
            </w:r>
            <w:r>
              <w:rPr>
                <w:rFonts w:hint="eastAsia"/>
              </w:rPr>
              <w:t>（</w:t>
            </w:r>
            <w:r>
              <w:t>A</w:t>
            </w:r>
            <w:r>
              <w:rPr>
                <w:rFonts w:hint="eastAsia"/>
              </w:rPr>
              <w:t>）</w:t>
            </w:r>
          </w:p>
          <w:tbl>
            <w:tblPr>
              <w:tblStyle w:val="41"/>
              <w:tblW w:w="7998"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26"/>
              <w:gridCol w:w="1209"/>
              <w:gridCol w:w="941"/>
              <w:gridCol w:w="1369"/>
              <w:gridCol w:w="1387"/>
              <w:gridCol w:w="1350"/>
              <w:gridCol w:w="131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1" w:hRule="atLeast"/>
                <w:jc w:val="center"/>
              </w:trPr>
              <w:tc>
                <w:tcPr>
                  <w:tcW w:w="426" w:type="dxa"/>
                  <w:vMerge w:val="restart"/>
                  <w:tcBorders>
                    <w:top w:val="single" w:color="auto" w:sz="6" w:space="0"/>
                    <w:left w:val="single" w:color="auto" w:sz="6" w:space="0"/>
                    <w:bottom w:val="single" w:color="auto" w:sz="6" w:space="0"/>
                    <w:right w:val="single" w:color="auto" w:sz="6" w:space="0"/>
                  </w:tcBorders>
                  <w:noWrap w:val="0"/>
                  <w:vAlign w:val="center"/>
                </w:tcPr>
                <w:p>
                  <w:pPr>
                    <w:pStyle w:val="165"/>
                    <w:rPr>
                      <w:b/>
                      <w:bCs/>
                      <w:sz w:val="21"/>
                      <w:szCs w:val="21"/>
                    </w:rPr>
                  </w:pPr>
                  <w:r>
                    <w:rPr>
                      <w:rFonts w:hint="eastAsia"/>
                      <w:b/>
                      <w:bCs/>
                      <w:sz w:val="21"/>
                      <w:szCs w:val="21"/>
                    </w:rPr>
                    <w:t>序号</w:t>
                  </w:r>
                </w:p>
              </w:tc>
              <w:tc>
                <w:tcPr>
                  <w:tcW w:w="1209" w:type="dxa"/>
                  <w:vMerge w:val="restart"/>
                  <w:tcBorders>
                    <w:top w:val="single" w:color="auto" w:sz="6" w:space="0"/>
                    <w:left w:val="single" w:color="auto" w:sz="6" w:space="0"/>
                    <w:bottom w:val="single" w:color="auto" w:sz="6" w:space="0"/>
                    <w:right w:val="single" w:color="auto" w:sz="6" w:space="0"/>
                  </w:tcBorders>
                  <w:noWrap w:val="0"/>
                  <w:vAlign w:val="center"/>
                </w:tcPr>
                <w:p>
                  <w:pPr>
                    <w:pStyle w:val="165"/>
                    <w:rPr>
                      <w:b/>
                      <w:bCs/>
                      <w:sz w:val="21"/>
                      <w:szCs w:val="21"/>
                    </w:rPr>
                  </w:pPr>
                  <w:r>
                    <w:rPr>
                      <w:rFonts w:hint="eastAsia"/>
                      <w:b/>
                      <w:bCs/>
                      <w:sz w:val="21"/>
                      <w:szCs w:val="21"/>
                    </w:rPr>
                    <w:t>噪声源</w:t>
                  </w:r>
                </w:p>
              </w:tc>
              <w:tc>
                <w:tcPr>
                  <w:tcW w:w="941" w:type="dxa"/>
                  <w:vMerge w:val="restart"/>
                  <w:tcBorders>
                    <w:top w:val="single" w:color="auto" w:sz="6" w:space="0"/>
                    <w:left w:val="single" w:color="auto" w:sz="6" w:space="0"/>
                    <w:right w:val="single" w:color="auto" w:sz="6" w:space="0"/>
                  </w:tcBorders>
                  <w:noWrap w:val="0"/>
                  <w:vAlign w:val="center"/>
                </w:tcPr>
                <w:p>
                  <w:pPr>
                    <w:pStyle w:val="165"/>
                    <w:rPr>
                      <w:b/>
                      <w:bCs/>
                      <w:sz w:val="21"/>
                      <w:szCs w:val="21"/>
                    </w:rPr>
                  </w:pPr>
                  <w:r>
                    <w:rPr>
                      <w:rFonts w:hint="eastAsia"/>
                      <w:b/>
                      <w:bCs/>
                      <w:sz w:val="21"/>
                      <w:szCs w:val="21"/>
                    </w:rPr>
                    <w:t>数量</w:t>
                  </w:r>
                </w:p>
              </w:tc>
              <w:tc>
                <w:tcPr>
                  <w:tcW w:w="5422" w:type="dxa"/>
                  <w:gridSpan w:val="4"/>
                  <w:tcBorders>
                    <w:top w:val="single" w:color="auto" w:sz="6" w:space="0"/>
                    <w:left w:val="single" w:color="auto" w:sz="6" w:space="0"/>
                    <w:bottom w:val="single" w:color="auto" w:sz="6" w:space="0"/>
                    <w:right w:val="single" w:color="auto" w:sz="6" w:space="0"/>
                  </w:tcBorders>
                  <w:noWrap w:val="0"/>
                  <w:vAlign w:val="center"/>
                </w:tcPr>
                <w:p>
                  <w:pPr>
                    <w:pStyle w:val="165"/>
                    <w:rPr>
                      <w:b/>
                      <w:bCs/>
                      <w:sz w:val="21"/>
                      <w:szCs w:val="21"/>
                    </w:rPr>
                  </w:pPr>
                  <w:r>
                    <w:rPr>
                      <w:rFonts w:hint="eastAsia"/>
                      <w:b/>
                      <w:bCs/>
                      <w:sz w:val="21"/>
                      <w:szCs w:val="21"/>
                    </w:rPr>
                    <w:t>贡献值（</w:t>
                  </w:r>
                  <w:r>
                    <w:rPr>
                      <w:b/>
                      <w:bCs/>
                      <w:sz w:val="21"/>
                      <w:szCs w:val="21"/>
                    </w:rPr>
                    <w:t>dB</w:t>
                  </w:r>
                  <w:r>
                    <w:rPr>
                      <w:rFonts w:hint="eastAsia"/>
                      <w:b/>
                      <w:bCs/>
                      <w:sz w:val="21"/>
                      <w:szCs w:val="21"/>
                    </w:rPr>
                    <w:t>（</w:t>
                  </w:r>
                  <w:r>
                    <w:rPr>
                      <w:b/>
                      <w:bCs/>
                      <w:sz w:val="21"/>
                      <w:szCs w:val="21"/>
                    </w:rPr>
                    <w:t>A</w:t>
                  </w:r>
                  <w:r>
                    <w:rPr>
                      <w:rFonts w:hint="eastAsia"/>
                      <w:b/>
                      <w:bCs/>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2" w:hRule="atLeast"/>
                <w:jc w:val="center"/>
              </w:trPr>
              <w:tc>
                <w:tcPr>
                  <w:tcW w:w="426" w:type="dxa"/>
                  <w:vMerge w:val="continue"/>
                  <w:tcBorders>
                    <w:top w:val="single" w:color="auto" w:sz="6" w:space="0"/>
                    <w:left w:val="single" w:color="auto" w:sz="6" w:space="0"/>
                    <w:bottom w:val="single" w:color="auto" w:sz="6" w:space="0"/>
                    <w:right w:val="single" w:color="auto" w:sz="6" w:space="0"/>
                  </w:tcBorders>
                  <w:noWrap w:val="0"/>
                  <w:vAlign w:val="center"/>
                </w:tcPr>
                <w:p>
                  <w:pPr>
                    <w:pStyle w:val="165"/>
                    <w:rPr>
                      <w:b/>
                      <w:bCs/>
                      <w:sz w:val="21"/>
                      <w:szCs w:val="21"/>
                    </w:rPr>
                  </w:pPr>
                </w:p>
              </w:tc>
              <w:tc>
                <w:tcPr>
                  <w:tcW w:w="1209" w:type="dxa"/>
                  <w:vMerge w:val="continue"/>
                  <w:tcBorders>
                    <w:top w:val="single" w:color="auto" w:sz="6" w:space="0"/>
                    <w:left w:val="single" w:color="auto" w:sz="6" w:space="0"/>
                    <w:bottom w:val="single" w:color="auto" w:sz="6" w:space="0"/>
                    <w:right w:val="single" w:color="auto" w:sz="6" w:space="0"/>
                  </w:tcBorders>
                  <w:noWrap w:val="0"/>
                  <w:vAlign w:val="center"/>
                </w:tcPr>
                <w:p>
                  <w:pPr>
                    <w:pStyle w:val="165"/>
                    <w:rPr>
                      <w:b/>
                      <w:bCs/>
                      <w:sz w:val="21"/>
                      <w:szCs w:val="21"/>
                    </w:rPr>
                  </w:pPr>
                </w:p>
              </w:tc>
              <w:tc>
                <w:tcPr>
                  <w:tcW w:w="941" w:type="dxa"/>
                  <w:vMerge w:val="continue"/>
                  <w:tcBorders>
                    <w:left w:val="single" w:color="auto" w:sz="6" w:space="0"/>
                    <w:bottom w:val="single" w:color="auto" w:sz="6" w:space="0"/>
                    <w:right w:val="single" w:color="auto" w:sz="6" w:space="0"/>
                  </w:tcBorders>
                  <w:noWrap w:val="0"/>
                  <w:vAlign w:val="center"/>
                </w:tcPr>
                <w:p>
                  <w:pPr>
                    <w:pStyle w:val="165"/>
                    <w:rPr>
                      <w:b/>
                      <w:bCs/>
                      <w:sz w:val="21"/>
                      <w:szCs w:val="21"/>
                    </w:rPr>
                  </w:pPr>
                </w:p>
              </w:tc>
              <w:tc>
                <w:tcPr>
                  <w:tcW w:w="1369" w:type="dxa"/>
                  <w:tcBorders>
                    <w:top w:val="single" w:color="auto" w:sz="6" w:space="0"/>
                    <w:left w:val="single" w:color="auto" w:sz="6" w:space="0"/>
                    <w:bottom w:val="single" w:color="auto" w:sz="6" w:space="0"/>
                    <w:right w:val="single" w:color="auto" w:sz="6" w:space="0"/>
                  </w:tcBorders>
                  <w:noWrap w:val="0"/>
                  <w:vAlign w:val="center"/>
                </w:tcPr>
                <w:p>
                  <w:pPr>
                    <w:pStyle w:val="184"/>
                    <w:wordWrap/>
                    <w:rPr>
                      <w:b/>
                      <w:bCs/>
                      <w:sz w:val="21"/>
                      <w:szCs w:val="21"/>
                    </w:rPr>
                  </w:pPr>
                  <w:r>
                    <w:rPr>
                      <w:rFonts w:hint="eastAsia"/>
                      <w:b/>
                      <w:bCs/>
                      <w:color w:val="000000"/>
                      <w:sz w:val="21"/>
                      <w:szCs w:val="21"/>
                    </w:rPr>
                    <w:t>东院区边界</w:t>
                  </w:r>
                </w:p>
              </w:tc>
              <w:tc>
                <w:tcPr>
                  <w:tcW w:w="1387" w:type="dxa"/>
                  <w:tcBorders>
                    <w:top w:val="single" w:color="auto" w:sz="6" w:space="0"/>
                    <w:left w:val="single" w:color="auto" w:sz="6" w:space="0"/>
                    <w:bottom w:val="single" w:color="auto" w:sz="6" w:space="0"/>
                    <w:right w:val="single" w:color="auto" w:sz="6" w:space="0"/>
                  </w:tcBorders>
                  <w:noWrap w:val="0"/>
                  <w:vAlign w:val="center"/>
                </w:tcPr>
                <w:p>
                  <w:pPr>
                    <w:pStyle w:val="184"/>
                    <w:wordWrap/>
                    <w:rPr>
                      <w:b/>
                      <w:bCs/>
                      <w:sz w:val="21"/>
                      <w:szCs w:val="21"/>
                    </w:rPr>
                  </w:pPr>
                  <w:r>
                    <w:rPr>
                      <w:rFonts w:hint="eastAsia"/>
                      <w:b/>
                      <w:bCs/>
                      <w:color w:val="000000"/>
                      <w:sz w:val="21"/>
                      <w:szCs w:val="21"/>
                    </w:rPr>
                    <w:t>南院区边界</w:t>
                  </w:r>
                </w:p>
              </w:tc>
              <w:tc>
                <w:tcPr>
                  <w:tcW w:w="1350" w:type="dxa"/>
                  <w:tcBorders>
                    <w:top w:val="single" w:color="auto" w:sz="6" w:space="0"/>
                    <w:left w:val="single" w:color="auto" w:sz="6" w:space="0"/>
                    <w:bottom w:val="single" w:color="auto" w:sz="6" w:space="0"/>
                    <w:right w:val="single" w:color="auto" w:sz="6" w:space="0"/>
                  </w:tcBorders>
                  <w:noWrap w:val="0"/>
                  <w:vAlign w:val="center"/>
                </w:tcPr>
                <w:p>
                  <w:pPr>
                    <w:pStyle w:val="184"/>
                    <w:wordWrap/>
                    <w:rPr>
                      <w:b/>
                      <w:bCs/>
                      <w:sz w:val="21"/>
                      <w:szCs w:val="21"/>
                    </w:rPr>
                  </w:pPr>
                  <w:r>
                    <w:rPr>
                      <w:rFonts w:hint="eastAsia"/>
                      <w:b/>
                      <w:bCs/>
                      <w:color w:val="000000"/>
                      <w:sz w:val="21"/>
                      <w:szCs w:val="21"/>
                    </w:rPr>
                    <w:t>西院区边界</w:t>
                  </w:r>
                </w:p>
              </w:tc>
              <w:tc>
                <w:tcPr>
                  <w:tcW w:w="1316" w:type="dxa"/>
                  <w:tcBorders>
                    <w:top w:val="single" w:color="auto" w:sz="6" w:space="0"/>
                    <w:left w:val="single" w:color="auto" w:sz="6" w:space="0"/>
                    <w:bottom w:val="single" w:color="auto" w:sz="6" w:space="0"/>
                    <w:right w:val="single" w:color="auto" w:sz="6" w:space="0"/>
                  </w:tcBorders>
                  <w:noWrap w:val="0"/>
                  <w:vAlign w:val="center"/>
                </w:tcPr>
                <w:p>
                  <w:pPr>
                    <w:pStyle w:val="184"/>
                    <w:wordWrap/>
                    <w:rPr>
                      <w:b/>
                      <w:bCs/>
                      <w:sz w:val="21"/>
                      <w:szCs w:val="21"/>
                    </w:rPr>
                  </w:pPr>
                  <w:r>
                    <w:rPr>
                      <w:rFonts w:hint="eastAsia"/>
                      <w:b/>
                      <w:bCs/>
                      <w:color w:val="000000"/>
                      <w:sz w:val="21"/>
                      <w:szCs w:val="21"/>
                    </w:rPr>
                    <w:t>北院区边界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426" w:type="dxa"/>
                  <w:tcBorders>
                    <w:top w:val="single" w:color="auto" w:sz="6" w:space="0"/>
                    <w:left w:val="single" w:color="auto" w:sz="6" w:space="0"/>
                    <w:bottom w:val="single" w:color="auto" w:sz="6" w:space="0"/>
                    <w:right w:val="single" w:color="auto" w:sz="6" w:space="0"/>
                  </w:tcBorders>
                  <w:noWrap w:val="0"/>
                  <w:vAlign w:val="center"/>
                </w:tcPr>
                <w:p>
                  <w:pPr>
                    <w:pStyle w:val="165"/>
                    <w:rPr>
                      <w:sz w:val="21"/>
                      <w:szCs w:val="21"/>
                    </w:rPr>
                  </w:pPr>
                  <w:r>
                    <w:rPr>
                      <w:sz w:val="21"/>
                      <w:szCs w:val="21"/>
                    </w:rPr>
                    <w:t>1</w:t>
                  </w:r>
                </w:p>
              </w:tc>
              <w:tc>
                <w:tcPr>
                  <w:tcW w:w="1209" w:type="dxa"/>
                  <w:tcBorders>
                    <w:top w:val="single" w:color="auto" w:sz="6" w:space="0"/>
                    <w:left w:val="single" w:color="auto" w:sz="6" w:space="0"/>
                    <w:bottom w:val="single" w:color="auto" w:sz="6" w:space="0"/>
                    <w:right w:val="single" w:color="auto" w:sz="6" w:space="0"/>
                  </w:tcBorders>
                  <w:noWrap w:val="0"/>
                  <w:vAlign w:val="center"/>
                </w:tcPr>
                <w:p>
                  <w:pPr>
                    <w:pStyle w:val="165"/>
                    <w:rPr>
                      <w:sz w:val="21"/>
                      <w:szCs w:val="21"/>
                    </w:rPr>
                  </w:pPr>
                  <w:r>
                    <w:rPr>
                      <w:rFonts w:hint="eastAsia"/>
                      <w:sz w:val="21"/>
                      <w:szCs w:val="21"/>
                    </w:rPr>
                    <w:t>发电机</w:t>
                  </w:r>
                </w:p>
              </w:tc>
              <w:tc>
                <w:tcPr>
                  <w:tcW w:w="941" w:type="dxa"/>
                  <w:tcBorders>
                    <w:top w:val="single" w:color="auto" w:sz="6" w:space="0"/>
                    <w:left w:val="single" w:color="auto" w:sz="6" w:space="0"/>
                    <w:bottom w:val="single" w:color="auto" w:sz="6" w:space="0"/>
                    <w:right w:val="single" w:color="auto" w:sz="6" w:space="0"/>
                  </w:tcBorders>
                  <w:noWrap w:val="0"/>
                  <w:vAlign w:val="center"/>
                </w:tcPr>
                <w:p>
                  <w:pPr>
                    <w:autoSpaceDE w:val="0"/>
                    <w:autoSpaceDN w:val="0"/>
                    <w:spacing w:line="260" w:lineRule="exact"/>
                    <w:jc w:val="center"/>
                    <w:rPr>
                      <w:sz w:val="21"/>
                      <w:szCs w:val="21"/>
                    </w:rPr>
                  </w:pPr>
                  <w:r>
                    <w:rPr>
                      <w:rFonts w:hint="eastAsia"/>
                      <w:color w:val="000000"/>
                      <w:sz w:val="21"/>
                      <w:szCs w:val="21"/>
                    </w:rPr>
                    <w:t>1</w:t>
                  </w:r>
                </w:p>
              </w:tc>
              <w:tc>
                <w:tcPr>
                  <w:tcW w:w="1369" w:type="dxa"/>
                  <w:tcBorders>
                    <w:top w:val="single" w:color="auto" w:sz="6" w:space="0"/>
                    <w:left w:val="single" w:color="auto" w:sz="6" w:space="0"/>
                    <w:bottom w:val="single" w:color="auto" w:sz="6" w:space="0"/>
                    <w:right w:val="single" w:color="auto" w:sz="6" w:space="0"/>
                  </w:tcBorders>
                  <w:noWrap w:val="0"/>
                  <w:vAlign w:val="center"/>
                </w:tcPr>
                <w:p>
                  <w:pPr>
                    <w:pStyle w:val="165"/>
                    <w:rPr>
                      <w:sz w:val="21"/>
                      <w:szCs w:val="21"/>
                    </w:rPr>
                  </w:pPr>
                  <w:r>
                    <w:rPr>
                      <w:rFonts w:hint="eastAsia"/>
                      <w:sz w:val="21"/>
                      <w:szCs w:val="21"/>
                    </w:rPr>
                    <w:t>56</w:t>
                  </w:r>
                </w:p>
              </w:tc>
              <w:tc>
                <w:tcPr>
                  <w:tcW w:w="1387" w:type="dxa"/>
                  <w:tcBorders>
                    <w:top w:val="single" w:color="auto" w:sz="6" w:space="0"/>
                    <w:left w:val="single" w:color="auto" w:sz="6" w:space="0"/>
                    <w:bottom w:val="single" w:color="auto" w:sz="6" w:space="0"/>
                    <w:right w:val="single" w:color="auto" w:sz="6" w:space="0"/>
                  </w:tcBorders>
                  <w:noWrap w:val="0"/>
                  <w:vAlign w:val="center"/>
                </w:tcPr>
                <w:p>
                  <w:pPr>
                    <w:pStyle w:val="165"/>
                    <w:rPr>
                      <w:sz w:val="21"/>
                      <w:szCs w:val="21"/>
                    </w:rPr>
                  </w:pPr>
                  <w:r>
                    <w:rPr>
                      <w:rFonts w:hint="eastAsia"/>
                      <w:sz w:val="21"/>
                      <w:szCs w:val="21"/>
                    </w:rPr>
                    <w:t>41</w:t>
                  </w:r>
                </w:p>
              </w:tc>
              <w:tc>
                <w:tcPr>
                  <w:tcW w:w="1350" w:type="dxa"/>
                  <w:tcBorders>
                    <w:top w:val="single" w:color="auto" w:sz="6" w:space="0"/>
                    <w:left w:val="single" w:color="auto" w:sz="6" w:space="0"/>
                    <w:bottom w:val="single" w:color="auto" w:sz="6" w:space="0"/>
                    <w:right w:val="single" w:color="auto" w:sz="6" w:space="0"/>
                  </w:tcBorders>
                  <w:noWrap w:val="0"/>
                  <w:vAlign w:val="center"/>
                </w:tcPr>
                <w:p>
                  <w:pPr>
                    <w:pStyle w:val="165"/>
                    <w:rPr>
                      <w:sz w:val="21"/>
                      <w:szCs w:val="21"/>
                    </w:rPr>
                  </w:pPr>
                  <w:r>
                    <w:rPr>
                      <w:rFonts w:hint="eastAsia"/>
                      <w:sz w:val="21"/>
                      <w:szCs w:val="21"/>
                    </w:rPr>
                    <w:t>33</w:t>
                  </w:r>
                </w:p>
              </w:tc>
              <w:tc>
                <w:tcPr>
                  <w:tcW w:w="1316" w:type="dxa"/>
                  <w:tcBorders>
                    <w:top w:val="single" w:color="auto" w:sz="6" w:space="0"/>
                    <w:left w:val="single" w:color="auto" w:sz="6" w:space="0"/>
                    <w:bottom w:val="single" w:color="auto" w:sz="6" w:space="0"/>
                    <w:right w:val="single" w:color="auto" w:sz="6" w:space="0"/>
                  </w:tcBorders>
                  <w:noWrap w:val="0"/>
                  <w:vAlign w:val="center"/>
                </w:tcPr>
                <w:p>
                  <w:pPr>
                    <w:pStyle w:val="165"/>
                    <w:rPr>
                      <w:sz w:val="21"/>
                      <w:szCs w:val="21"/>
                    </w:rPr>
                  </w:pPr>
                  <w:r>
                    <w:rPr>
                      <w:rFonts w:hint="eastAsia"/>
                      <w:sz w:val="21"/>
                      <w:szCs w:val="21"/>
                    </w:rPr>
                    <w:t>27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1" w:hRule="atLeast"/>
                <w:jc w:val="center"/>
              </w:trPr>
              <w:tc>
                <w:tcPr>
                  <w:tcW w:w="426" w:type="dxa"/>
                  <w:tcBorders>
                    <w:top w:val="single" w:color="auto" w:sz="6" w:space="0"/>
                    <w:left w:val="single" w:color="auto" w:sz="6" w:space="0"/>
                    <w:bottom w:val="single" w:color="auto" w:sz="6" w:space="0"/>
                    <w:right w:val="single" w:color="auto" w:sz="6" w:space="0"/>
                  </w:tcBorders>
                  <w:noWrap w:val="0"/>
                  <w:vAlign w:val="center"/>
                </w:tcPr>
                <w:p>
                  <w:pPr>
                    <w:pStyle w:val="165"/>
                    <w:rPr>
                      <w:sz w:val="21"/>
                      <w:szCs w:val="21"/>
                    </w:rPr>
                  </w:pPr>
                  <w:r>
                    <w:rPr>
                      <w:sz w:val="21"/>
                      <w:szCs w:val="21"/>
                    </w:rPr>
                    <w:t>2</w:t>
                  </w:r>
                </w:p>
              </w:tc>
              <w:tc>
                <w:tcPr>
                  <w:tcW w:w="1209" w:type="dxa"/>
                  <w:tcBorders>
                    <w:top w:val="single" w:color="auto" w:sz="6" w:space="0"/>
                    <w:left w:val="single" w:color="auto" w:sz="6" w:space="0"/>
                    <w:bottom w:val="single" w:color="auto" w:sz="6" w:space="0"/>
                    <w:right w:val="single" w:color="auto" w:sz="6" w:space="0"/>
                  </w:tcBorders>
                  <w:noWrap w:val="0"/>
                  <w:vAlign w:val="center"/>
                </w:tcPr>
                <w:p>
                  <w:pPr>
                    <w:pStyle w:val="165"/>
                    <w:rPr>
                      <w:sz w:val="21"/>
                      <w:szCs w:val="21"/>
                    </w:rPr>
                  </w:pPr>
                  <w:r>
                    <w:rPr>
                      <w:rFonts w:hint="eastAsia"/>
                      <w:sz w:val="21"/>
                      <w:szCs w:val="21"/>
                    </w:rPr>
                    <w:t>污水处理站</w:t>
                  </w:r>
                </w:p>
              </w:tc>
              <w:tc>
                <w:tcPr>
                  <w:tcW w:w="941" w:type="dxa"/>
                  <w:tcBorders>
                    <w:top w:val="single" w:color="auto" w:sz="6" w:space="0"/>
                    <w:left w:val="single" w:color="auto" w:sz="6" w:space="0"/>
                    <w:bottom w:val="single" w:color="auto" w:sz="6" w:space="0"/>
                    <w:right w:val="single" w:color="auto" w:sz="6" w:space="0"/>
                  </w:tcBorders>
                  <w:noWrap w:val="0"/>
                  <w:vAlign w:val="center"/>
                </w:tcPr>
                <w:p>
                  <w:pPr>
                    <w:autoSpaceDE w:val="0"/>
                    <w:autoSpaceDN w:val="0"/>
                    <w:spacing w:line="260" w:lineRule="exact"/>
                    <w:jc w:val="center"/>
                    <w:rPr>
                      <w:sz w:val="21"/>
                      <w:szCs w:val="21"/>
                    </w:rPr>
                  </w:pPr>
                  <w:r>
                    <w:rPr>
                      <w:rFonts w:hint="eastAsia"/>
                      <w:color w:val="000000"/>
                      <w:sz w:val="21"/>
                      <w:szCs w:val="21"/>
                    </w:rPr>
                    <w:t>1</w:t>
                  </w:r>
                </w:p>
              </w:tc>
              <w:tc>
                <w:tcPr>
                  <w:tcW w:w="1369" w:type="dxa"/>
                  <w:tcBorders>
                    <w:top w:val="single" w:color="auto" w:sz="6" w:space="0"/>
                    <w:left w:val="single" w:color="auto" w:sz="6" w:space="0"/>
                    <w:bottom w:val="single" w:color="auto" w:sz="6" w:space="0"/>
                    <w:right w:val="single" w:color="auto" w:sz="6" w:space="0"/>
                  </w:tcBorders>
                  <w:noWrap w:val="0"/>
                  <w:vAlign w:val="center"/>
                </w:tcPr>
                <w:p>
                  <w:pPr>
                    <w:pStyle w:val="165"/>
                    <w:rPr>
                      <w:sz w:val="21"/>
                      <w:szCs w:val="21"/>
                    </w:rPr>
                  </w:pPr>
                  <w:r>
                    <w:rPr>
                      <w:rFonts w:hint="eastAsia"/>
                      <w:sz w:val="21"/>
                      <w:szCs w:val="21"/>
                    </w:rPr>
                    <w:t>54</w:t>
                  </w:r>
                </w:p>
              </w:tc>
              <w:tc>
                <w:tcPr>
                  <w:tcW w:w="1387" w:type="dxa"/>
                  <w:tcBorders>
                    <w:top w:val="single" w:color="auto" w:sz="6" w:space="0"/>
                    <w:left w:val="single" w:color="auto" w:sz="6" w:space="0"/>
                    <w:bottom w:val="single" w:color="auto" w:sz="6" w:space="0"/>
                    <w:right w:val="single" w:color="auto" w:sz="6" w:space="0"/>
                  </w:tcBorders>
                  <w:noWrap w:val="0"/>
                  <w:vAlign w:val="center"/>
                </w:tcPr>
                <w:p>
                  <w:pPr>
                    <w:pStyle w:val="165"/>
                    <w:rPr>
                      <w:sz w:val="21"/>
                      <w:szCs w:val="21"/>
                    </w:rPr>
                  </w:pPr>
                  <w:r>
                    <w:rPr>
                      <w:rFonts w:hint="eastAsia"/>
                      <w:sz w:val="21"/>
                      <w:szCs w:val="21"/>
                    </w:rPr>
                    <w:t>34</w:t>
                  </w:r>
                </w:p>
              </w:tc>
              <w:tc>
                <w:tcPr>
                  <w:tcW w:w="1350" w:type="dxa"/>
                  <w:tcBorders>
                    <w:top w:val="single" w:color="auto" w:sz="6" w:space="0"/>
                    <w:left w:val="single" w:color="auto" w:sz="6" w:space="0"/>
                    <w:bottom w:val="single" w:color="auto" w:sz="6" w:space="0"/>
                    <w:right w:val="single" w:color="auto" w:sz="6" w:space="0"/>
                  </w:tcBorders>
                  <w:noWrap w:val="0"/>
                  <w:vAlign w:val="center"/>
                </w:tcPr>
                <w:p>
                  <w:pPr>
                    <w:pStyle w:val="165"/>
                    <w:rPr>
                      <w:sz w:val="21"/>
                      <w:szCs w:val="21"/>
                    </w:rPr>
                  </w:pPr>
                  <w:r>
                    <w:rPr>
                      <w:rFonts w:hint="eastAsia"/>
                      <w:sz w:val="21"/>
                      <w:szCs w:val="21"/>
                    </w:rPr>
                    <w:t>29</w:t>
                  </w:r>
                </w:p>
              </w:tc>
              <w:tc>
                <w:tcPr>
                  <w:tcW w:w="1316" w:type="dxa"/>
                  <w:tcBorders>
                    <w:top w:val="single" w:color="auto" w:sz="6" w:space="0"/>
                    <w:left w:val="single" w:color="auto" w:sz="6" w:space="0"/>
                    <w:bottom w:val="single" w:color="auto" w:sz="6" w:space="0"/>
                    <w:right w:val="single" w:color="auto" w:sz="6" w:space="0"/>
                  </w:tcBorders>
                  <w:noWrap w:val="0"/>
                  <w:vAlign w:val="center"/>
                </w:tcPr>
                <w:p>
                  <w:pPr>
                    <w:pStyle w:val="165"/>
                    <w:rPr>
                      <w:sz w:val="21"/>
                      <w:szCs w:val="21"/>
                    </w:rPr>
                  </w:pPr>
                  <w:r>
                    <w:rPr>
                      <w:rFonts w:hint="eastAsia"/>
                      <w:sz w:val="21"/>
                      <w:szCs w:val="21"/>
                    </w:rPr>
                    <w:t>23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3" w:hRule="atLeast"/>
                <w:jc w:val="center"/>
              </w:trPr>
              <w:tc>
                <w:tcPr>
                  <w:tcW w:w="2576" w:type="dxa"/>
                  <w:gridSpan w:val="3"/>
                  <w:tcBorders>
                    <w:top w:val="single" w:color="auto" w:sz="6" w:space="0"/>
                    <w:left w:val="single" w:color="auto" w:sz="6" w:space="0"/>
                    <w:bottom w:val="single" w:color="auto" w:sz="6" w:space="0"/>
                    <w:right w:val="single" w:color="auto" w:sz="6" w:space="0"/>
                  </w:tcBorders>
                  <w:noWrap w:val="0"/>
                  <w:vAlign w:val="center"/>
                </w:tcPr>
                <w:p>
                  <w:pPr>
                    <w:pStyle w:val="165"/>
                    <w:rPr>
                      <w:sz w:val="21"/>
                      <w:szCs w:val="21"/>
                    </w:rPr>
                  </w:pPr>
                  <w:r>
                    <w:rPr>
                      <w:rFonts w:hint="eastAsia"/>
                      <w:sz w:val="21"/>
                      <w:szCs w:val="21"/>
                    </w:rPr>
                    <w:t>叠加后噪声源对厂界噪声的贡献值</w:t>
                  </w:r>
                </w:p>
              </w:tc>
              <w:tc>
                <w:tcPr>
                  <w:tcW w:w="1369" w:type="dxa"/>
                  <w:tcBorders>
                    <w:top w:val="single" w:color="auto" w:sz="6" w:space="0"/>
                    <w:left w:val="single" w:color="auto" w:sz="6" w:space="0"/>
                    <w:bottom w:val="single" w:color="auto" w:sz="6" w:space="0"/>
                    <w:right w:val="single" w:color="auto" w:sz="6" w:space="0"/>
                  </w:tcBorders>
                  <w:noWrap w:val="0"/>
                  <w:vAlign w:val="center"/>
                </w:tcPr>
                <w:p>
                  <w:pPr>
                    <w:pStyle w:val="165"/>
                    <w:rPr>
                      <w:sz w:val="21"/>
                      <w:szCs w:val="21"/>
                    </w:rPr>
                  </w:pPr>
                  <w:r>
                    <w:rPr>
                      <w:rFonts w:hint="eastAsia"/>
                      <w:sz w:val="21"/>
                      <w:szCs w:val="21"/>
                    </w:rPr>
                    <w:t>58</w:t>
                  </w:r>
                </w:p>
              </w:tc>
              <w:tc>
                <w:tcPr>
                  <w:tcW w:w="1387" w:type="dxa"/>
                  <w:tcBorders>
                    <w:top w:val="single" w:color="auto" w:sz="6" w:space="0"/>
                    <w:left w:val="single" w:color="auto" w:sz="6" w:space="0"/>
                    <w:bottom w:val="single" w:color="auto" w:sz="6" w:space="0"/>
                    <w:right w:val="single" w:color="auto" w:sz="6" w:space="0"/>
                  </w:tcBorders>
                  <w:noWrap w:val="0"/>
                  <w:vAlign w:val="center"/>
                </w:tcPr>
                <w:p>
                  <w:pPr>
                    <w:pStyle w:val="165"/>
                    <w:rPr>
                      <w:sz w:val="21"/>
                      <w:szCs w:val="21"/>
                    </w:rPr>
                  </w:pPr>
                  <w:r>
                    <w:rPr>
                      <w:rFonts w:hint="eastAsia"/>
                      <w:sz w:val="21"/>
                      <w:szCs w:val="21"/>
                    </w:rPr>
                    <w:t>42</w:t>
                  </w:r>
                </w:p>
              </w:tc>
              <w:tc>
                <w:tcPr>
                  <w:tcW w:w="1350" w:type="dxa"/>
                  <w:tcBorders>
                    <w:top w:val="single" w:color="auto" w:sz="6" w:space="0"/>
                    <w:left w:val="single" w:color="auto" w:sz="6" w:space="0"/>
                    <w:bottom w:val="single" w:color="auto" w:sz="6" w:space="0"/>
                    <w:right w:val="single" w:color="auto" w:sz="6" w:space="0"/>
                  </w:tcBorders>
                  <w:noWrap w:val="0"/>
                  <w:vAlign w:val="center"/>
                </w:tcPr>
                <w:p>
                  <w:pPr>
                    <w:pStyle w:val="165"/>
                    <w:rPr>
                      <w:sz w:val="21"/>
                      <w:szCs w:val="21"/>
                    </w:rPr>
                  </w:pPr>
                  <w:r>
                    <w:rPr>
                      <w:rFonts w:hint="eastAsia"/>
                      <w:sz w:val="21"/>
                      <w:szCs w:val="21"/>
                    </w:rPr>
                    <w:t>34</w:t>
                  </w:r>
                </w:p>
              </w:tc>
              <w:tc>
                <w:tcPr>
                  <w:tcW w:w="1316" w:type="dxa"/>
                  <w:tcBorders>
                    <w:top w:val="single" w:color="auto" w:sz="6" w:space="0"/>
                    <w:left w:val="single" w:color="auto" w:sz="6" w:space="0"/>
                    <w:bottom w:val="single" w:color="auto" w:sz="6" w:space="0"/>
                    <w:right w:val="single" w:color="auto" w:sz="6" w:space="0"/>
                  </w:tcBorders>
                  <w:noWrap w:val="0"/>
                  <w:vAlign w:val="center"/>
                </w:tcPr>
                <w:p>
                  <w:pPr>
                    <w:pStyle w:val="165"/>
                    <w:rPr>
                      <w:sz w:val="21"/>
                      <w:szCs w:val="21"/>
                    </w:rPr>
                  </w:pPr>
                  <w:r>
                    <w:rPr>
                      <w:rFonts w:hint="eastAsia"/>
                      <w:sz w:val="21"/>
                      <w:szCs w:val="21"/>
                    </w:rPr>
                    <w:t>28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3" w:hRule="atLeast"/>
                <w:jc w:val="center"/>
              </w:trPr>
              <w:tc>
                <w:tcPr>
                  <w:tcW w:w="7998" w:type="dxa"/>
                  <w:gridSpan w:val="7"/>
                  <w:tcBorders>
                    <w:top w:val="single" w:color="auto" w:sz="6" w:space="0"/>
                    <w:left w:val="single" w:color="auto" w:sz="6" w:space="0"/>
                    <w:bottom w:val="single" w:color="auto" w:sz="6" w:space="0"/>
                    <w:right w:val="single" w:color="auto" w:sz="6" w:space="0"/>
                  </w:tcBorders>
                  <w:noWrap w:val="0"/>
                  <w:vAlign w:val="center"/>
                </w:tcPr>
                <w:p>
                  <w:pPr>
                    <w:pStyle w:val="165"/>
                    <w:rPr>
                      <w:rFonts w:hint="eastAsia"/>
                      <w:sz w:val="21"/>
                      <w:szCs w:val="21"/>
                    </w:rPr>
                  </w:pPr>
                  <w:r>
                    <w:rPr>
                      <w:rFonts w:hint="eastAsia"/>
                      <w:sz w:val="21"/>
                      <w:szCs w:val="21"/>
                    </w:rPr>
                    <w:t>执行标准：《工业企业厂界环境噪声排放标准》（</w:t>
                  </w:r>
                  <w:r>
                    <w:rPr>
                      <w:sz w:val="21"/>
                      <w:szCs w:val="21"/>
                    </w:rPr>
                    <w:t>GB12348-2008</w:t>
                  </w:r>
                  <w:r>
                    <w:rPr>
                      <w:rFonts w:hint="eastAsia"/>
                      <w:sz w:val="21"/>
                      <w:szCs w:val="21"/>
                    </w:rPr>
                    <w:t>）2类标准</w:t>
                  </w:r>
                </w:p>
              </w:tc>
            </w:tr>
          </w:tbl>
          <w:p>
            <w:pPr>
              <w:pStyle w:val="186"/>
              <w:spacing w:line="240" w:lineRule="auto"/>
              <w:jc w:val="right"/>
            </w:pPr>
            <w:r>
              <w:rPr>
                <w:rFonts w:hint="eastAsia"/>
              </w:rPr>
              <w:t>表4-1</w:t>
            </w:r>
            <w:r>
              <w:rPr>
                <w:rFonts w:hint="eastAsia"/>
                <w:lang w:val="en-US" w:eastAsia="zh-CN"/>
              </w:rPr>
              <w:t>5</w:t>
            </w:r>
            <w:r>
              <w:rPr>
                <w:rFonts w:hint="eastAsia"/>
              </w:rPr>
              <w:t xml:space="preserve"> </w:t>
            </w:r>
            <w:r>
              <w:t xml:space="preserve"> </w:t>
            </w:r>
            <w:r>
              <w:rPr>
                <w:rFonts w:hint="eastAsia"/>
              </w:rPr>
              <w:t>项目厂界处噪声排放预测值</w:t>
            </w:r>
            <w:r>
              <w:rPr>
                <w:rFonts w:hint="eastAsia"/>
                <w:lang w:val="en-US" w:eastAsia="zh-CN"/>
              </w:rPr>
              <w:t xml:space="preserve">        </w:t>
            </w:r>
            <w:r>
              <w:rPr>
                <w:rFonts w:hint="eastAsia"/>
              </w:rPr>
              <w:t>单位：</w:t>
            </w:r>
            <w:r>
              <w:t>dB</w:t>
            </w:r>
            <w:r>
              <w:rPr>
                <w:rFonts w:hint="eastAsia"/>
              </w:rPr>
              <w:t>（</w:t>
            </w:r>
            <w:r>
              <w:t>A</w:t>
            </w:r>
            <w:r>
              <w:rPr>
                <w:rFonts w:hint="eastAsia"/>
              </w:rPr>
              <w:t>）</w:t>
            </w:r>
          </w:p>
          <w:tbl>
            <w:tblPr>
              <w:tblStyle w:val="41"/>
              <w:tblW w:w="79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2"/>
              <w:gridCol w:w="1347"/>
              <w:gridCol w:w="1748"/>
              <w:gridCol w:w="1748"/>
              <w:gridCol w:w="15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92"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color w:val="000000"/>
                      <w:kern w:val="0"/>
                      <w:szCs w:val="21"/>
                    </w:rPr>
                  </w:pPr>
                  <w:r>
                    <w:rPr>
                      <w:rFonts w:hint="eastAsia"/>
                      <w:b/>
                      <w:bCs/>
                      <w:color w:val="000000"/>
                      <w:kern w:val="0"/>
                      <w:szCs w:val="21"/>
                    </w:rPr>
                    <w:t>预测点名称</w:t>
                  </w:r>
                </w:p>
              </w:tc>
              <w:tc>
                <w:tcPr>
                  <w:tcW w:w="1347" w:type="dxa"/>
                  <w:tcBorders>
                    <w:top w:val="single" w:color="auto" w:sz="4" w:space="0"/>
                    <w:left w:val="single" w:color="auto" w:sz="4" w:space="0"/>
                    <w:bottom w:val="single" w:color="auto" w:sz="4" w:space="0"/>
                    <w:right w:val="single" w:color="auto" w:sz="4" w:space="0"/>
                  </w:tcBorders>
                  <w:noWrap w:val="0"/>
                  <w:vAlign w:val="center"/>
                </w:tcPr>
                <w:p>
                  <w:pPr>
                    <w:pStyle w:val="184"/>
                    <w:wordWrap/>
                    <w:rPr>
                      <w:b/>
                      <w:bCs/>
                      <w:kern w:val="0"/>
                      <w:sz w:val="21"/>
                      <w:szCs w:val="21"/>
                      <w:lang w:val="en-US" w:eastAsia="zh-CN" w:bidi="ar-SA"/>
                    </w:rPr>
                  </w:pPr>
                  <w:r>
                    <w:rPr>
                      <w:rFonts w:hint="eastAsia"/>
                      <w:b/>
                      <w:bCs/>
                      <w:color w:val="000000"/>
                      <w:sz w:val="21"/>
                      <w:szCs w:val="21"/>
                    </w:rPr>
                    <w:t>东院区边界</w:t>
                  </w:r>
                </w:p>
              </w:tc>
              <w:tc>
                <w:tcPr>
                  <w:tcW w:w="1748" w:type="dxa"/>
                  <w:tcBorders>
                    <w:top w:val="single" w:color="auto" w:sz="4" w:space="0"/>
                    <w:left w:val="single" w:color="auto" w:sz="4" w:space="0"/>
                    <w:bottom w:val="single" w:color="auto" w:sz="4" w:space="0"/>
                    <w:right w:val="single" w:color="auto" w:sz="4" w:space="0"/>
                  </w:tcBorders>
                  <w:noWrap w:val="0"/>
                  <w:vAlign w:val="center"/>
                </w:tcPr>
                <w:p>
                  <w:pPr>
                    <w:pStyle w:val="184"/>
                    <w:wordWrap/>
                    <w:rPr>
                      <w:b/>
                      <w:bCs/>
                      <w:kern w:val="0"/>
                      <w:sz w:val="21"/>
                      <w:szCs w:val="21"/>
                      <w:lang w:val="en-US" w:eastAsia="zh-CN" w:bidi="ar-SA"/>
                    </w:rPr>
                  </w:pPr>
                  <w:r>
                    <w:rPr>
                      <w:rFonts w:hint="eastAsia"/>
                      <w:b/>
                      <w:bCs/>
                      <w:color w:val="000000"/>
                      <w:sz w:val="21"/>
                      <w:szCs w:val="21"/>
                    </w:rPr>
                    <w:t>南院区边界</w:t>
                  </w:r>
                </w:p>
              </w:tc>
              <w:tc>
                <w:tcPr>
                  <w:tcW w:w="1748" w:type="dxa"/>
                  <w:tcBorders>
                    <w:top w:val="single" w:color="auto" w:sz="4" w:space="0"/>
                    <w:left w:val="single" w:color="auto" w:sz="4" w:space="0"/>
                    <w:bottom w:val="single" w:color="auto" w:sz="4" w:space="0"/>
                    <w:right w:val="single" w:color="auto" w:sz="4" w:space="0"/>
                  </w:tcBorders>
                  <w:noWrap w:val="0"/>
                  <w:vAlign w:val="center"/>
                </w:tcPr>
                <w:p>
                  <w:pPr>
                    <w:pStyle w:val="184"/>
                    <w:wordWrap/>
                    <w:rPr>
                      <w:b/>
                      <w:bCs/>
                      <w:kern w:val="0"/>
                      <w:sz w:val="21"/>
                      <w:szCs w:val="21"/>
                      <w:lang w:val="en-US" w:eastAsia="zh-CN" w:bidi="ar-SA"/>
                    </w:rPr>
                  </w:pPr>
                  <w:r>
                    <w:rPr>
                      <w:rFonts w:hint="eastAsia"/>
                      <w:b/>
                      <w:bCs/>
                      <w:color w:val="000000"/>
                      <w:sz w:val="21"/>
                      <w:szCs w:val="21"/>
                    </w:rPr>
                    <w:t>西院区边界</w:t>
                  </w:r>
                </w:p>
              </w:tc>
              <w:tc>
                <w:tcPr>
                  <w:tcW w:w="1536" w:type="dxa"/>
                  <w:tcBorders>
                    <w:top w:val="single" w:color="auto" w:sz="4" w:space="0"/>
                    <w:left w:val="single" w:color="auto" w:sz="4" w:space="0"/>
                    <w:bottom w:val="single" w:color="auto" w:sz="4" w:space="0"/>
                    <w:right w:val="single" w:color="auto" w:sz="4" w:space="0"/>
                  </w:tcBorders>
                  <w:noWrap w:val="0"/>
                  <w:vAlign w:val="center"/>
                </w:tcPr>
                <w:p>
                  <w:pPr>
                    <w:pStyle w:val="184"/>
                    <w:wordWrap/>
                    <w:rPr>
                      <w:b/>
                      <w:bCs/>
                      <w:kern w:val="0"/>
                      <w:sz w:val="21"/>
                      <w:szCs w:val="21"/>
                      <w:lang w:val="en-US" w:eastAsia="zh-CN" w:bidi="ar-SA"/>
                    </w:rPr>
                  </w:pPr>
                  <w:r>
                    <w:rPr>
                      <w:rFonts w:hint="eastAsia"/>
                      <w:b/>
                      <w:bCs/>
                      <w:color w:val="000000"/>
                      <w:sz w:val="21"/>
                      <w:szCs w:val="21"/>
                    </w:rPr>
                    <w:t>北院区边界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92"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rPr>
                    <w:t>噪声值</w:t>
                  </w:r>
                </w:p>
              </w:tc>
              <w:tc>
                <w:tcPr>
                  <w:tcW w:w="1347" w:type="dxa"/>
                  <w:tcBorders>
                    <w:top w:val="single" w:color="auto" w:sz="4" w:space="0"/>
                    <w:left w:val="single" w:color="auto" w:sz="4" w:space="0"/>
                    <w:bottom w:val="single" w:color="auto" w:sz="4" w:space="0"/>
                    <w:right w:val="single" w:color="auto" w:sz="4" w:space="0"/>
                  </w:tcBorders>
                  <w:noWrap w:val="0"/>
                  <w:vAlign w:val="center"/>
                </w:tcPr>
                <w:p>
                  <w:pPr>
                    <w:pStyle w:val="165"/>
                    <w:rPr>
                      <w:rFonts w:ascii="Times New Roman" w:hAnsi="Times New Roman" w:eastAsia="宋体" w:cs="Times New Roman"/>
                      <w:sz w:val="21"/>
                      <w:szCs w:val="21"/>
                      <w:lang w:val="en-US" w:eastAsia="zh-CN" w:bidi="ar-SA"/>
                    </w:rPr>
                  </w:pPr>
                  <w:r>
                    <w:rPr>
                      <w:rFonts w:hint="eastAsia"/>
                      <w:sz w:val="21"/>
                      <w:szCs w:val="21"/>
                    </w:rPr>
                    <w:t>58</w:t>
                  </w:r>
                </w:p>
              </w:tc>
              <w:tc>
                <w:tcPr>
                  <w:tcW w:w="1748" w:type="dxa"/>
                  <w:tcBorders>
                    <w:top w:val="single" w:color="auto" w:sz="4" w:space="0"/>
                    <w:left w:val="single" w:color="auto" w:sz="4" w:space="0"/>
                    <w:bottom w:val="single" w:color="auto" w:sz="4" w:space="0"/>
                    <w:right w:val="single" w:color="auto" w:sz="4" w:space="0"/>
                  </w:tcBorders>
                  <w:noWrap w:val="0"/>
                  <w:vAlign w:val="center"/>
                </w:tcPr>
                <w:p>
                  <w:pPr>
                    <w:pStyle w:val="165"/>
                    <w:rPr>
                      <w:rFonts w:ascii="Times New Roman" w:hAnsi="Times New Roman" w:eastAsia="宋体" w:cs="Times New Roman"/>
                      <w:sz w:val="21"/>
                      <w:szCs w:val="21"/>
                      <w:lang w:val="en-US" w:eastAsia="zh-CN" w:bidi="ar-SA"/>
                    </w:rPr>
                  </w:pPr>
                  <w:r>
                    <w:rPr>
                      <w:rFonts w:hint="eastAsia"/>
                      <w:sz w:val="21"/>
                      <w:szCs w:val="21"/>
                    </w:rPr>
                    <w:t>42</w:t>
                  </w:r>
                </w:p>
              </w:tc>
              <w:tc>
                <w:tcPr>
                  <w:tcW w:w="1748" w:type="dxa"/>
                  <w:tcBorders>
                    <w:top w:val="single" w:color="auto" w:sz="4" w:space="0"/>
                    <w:left w:val="single" w:color="auto" w:sz="4" w:space="0"/>
                    <w:bottom w:val="single" w:color="auto" w:sz="4" w:space="0"/>
                    <w:right w:val="single" w:color="auto" w:sz="4" w:space="0"/>
                  </w:tcBorders>
                  <w:noWrap w:val="0"/>
                  <w:vAlign w:val="center"/>
                </w:tcPr>
                <w:p>
                  <w:pPr>
                    <w:pStyle w:val="165"/>
                    <w:rPr>
                      <w:rFonts w:ascii="Times New Roman" w:hAnsi="Times New Roman" w:eastAsia="宋体" w:cs="Times New Roman"/>
                      <w:sz w:val="21"/>
                      <w:szCs w:val="21"/>
                      <w:lang w:val="en-US" w:eastAsia="zh-CN" w:bidi="ar-SA"/>
                    </w:rPr>
                  </w:pPr>
                  <w:r>
                    <w:rPr>
                      <w:rFonts w:hint="eastAsia"/>
                      <w:sz w:val="21"/>
                      <w:szCs w:val="21"/>
                    </w:rPr>
                    <w:t>34</w:t>
                  </w:r>
                </w:p>
              </w:tc>
              <w:tc>
                <w:tcPr>
                  <w:tcW w:w="1536" w:type="dxa"/>
                  <w:tcBorders>
                    <w:top w:val="single" w:color="auto" w:sz="4" w:space="0"/>
                    <w:left w:val="single" w:color="auto" w:sz="4" w:space="0"/>
                    <w:bottom w:val="single" w:color="auto" w:sz="4" w:space="0"/>
                    <w:right w:val="single" w:color="auto" w:sz="4" w:space="0"/>
                  </w:tcBorders>
                  <w:noWrap w:val="0"/>
                  <w:vAlign w:val="center"/>
                </w:tcPr>
                <w:p>
                  <w:pPr>
                    <w:pStyle w:val="165"/>
                    <w:rPr>
                      <w:rFonts w:ascii="Times New Roman" w:hAnsi="Times New Roman" w:eastAsia="宋体" w:cs="Times New Roman"/>
                      <w:sz w:val="21"/>
                      <w:szCs w:val="21"/>
                      <w:lang w:val="en-US" w:eastAsia="zh-CN" w:bidi="ar-SA"/>
                    </w:rPr>
                  </w:pPr>
                  <w:r>
                    <w:rPr>
                      <w:rFonts w:hint="eastAsia"/>
                      <w:sz w:val="21"/>
                      <w:szCs w:val="21"/>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92"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color w:val="000000"/>
                      <w:kern w:val="0"/>
                      <w:szCs w:val="21"/>
                    </w:rPr>
                  </w:pPr>
                  <w:r>
                    <w:rPr>
                      <w:rFonts w:hint="eastAsia" w:hAnsi="宋体"/>
                      <w:color w:val="000000"/>
                      <w:kern w:val="0"/>
                      <w:szCs w:val="21"/>
                    </w:rPr>
                    <w:t>执行标准</w:t>
                  </w:r>
                </w:p>
              </w:tc>
              <w:tc>
                <w:tcPr>
                  <w:tcW w:w="6379" w:type="dxa"/>
                  <w:gridSpan w:val="4"/>
                  <w:tcBorders>
                    <w:top w:val="single" w:color="auto" w:sz="4" w:space="0"/>
                    <w:left w:val="single" w:color="auto" w:sz="4" w:space="0"/>
                    <w:bottom w:val="single" w:color="auto" w:sz="4" w:space="0"/>
                    <w:right w:val="single" w:color="auto" w:sz="4" w:space="0"/>
                  </w:tcBorders>
                  <w:noWrap w:val="0"/>
                  <w:vAlign w:val="center"/>
                </w:tcPr>
                <w:p>
                  <w:pPr>
                    <w:pStyle w:val="184"/>
                    <w:rPr>
                      <w:color w:val="000000"/>
                    </w:rPr>
                  </w:pPr>
                  <w:r>
                    <w:rPr>
                      <w:rFonts w:hint="eastAsia"/>
                      <w:color w:val="000000"/>
                    </w:rPr>
                    <w:t>《工业企业厂界环境噪声排放标准》（</w:t>
                  </w:r>
                  <w:r>
                    <w:rPr>
                      <w:color w:val="000000"/>
                    </w:rPr>
                    <w:t>GB12348-2008</w:t>
                  </w:r>
                  <w:r>
                    <w:rPr>
                      <w:rFonts w:hint="eastAsia"/>
                      <w:color w:val="000000"/>
                    </w:rPr>
                    <w:t>）</w:t>
                  </w:r>
                  <w:r>
                    <w:rPr>
                      <w:rFonts w:hint="eastAsia"/>
                      <w:color w:val="000000"/>
                      <w:lang w:val="en-US" w:eastAsia="zh-CN"/>
                    </w:rPr>
                    <w:t>2</w:t>
                  </w:r>
                  <w:r>
                    <w:rPr>
                      <w:rFonts w:hint="eastAsia"/>
                      <w:color w:val="000000"/>
                    </w:rPr>
                    <w:t>类标准</w:t>
                  </w:r>
                </w:p>
              </w:tc>
            </w:tr>
          </w:tbl>
          <w:p>
            <w:pPr>
              <w:pStyle w:val="185"/>
              <w:ind w:firstLine="480"/>
              <w:rPr>
                <w:rFonts w:hint="eastAsia"/>
                <w:b/>
                <w:bCs/>
                <w:color w:val="000000"/>
                <w:sz w:val="21"/>
                <w:szCs w:val="21"/>
              </w:rPr>
            </w:pPr>
            <w:r>
              <w:rPr>
                <w:rFonts w:hint="eastAsia"/>
                <w:color w:val="000000"/>
              </w:rPr>
              <w:t>本项目设备采取基础减震、</w:t>
            </w:r>
            <w:r>
              <w:rPr>
                <w:rFonts w:hint="eastAsia"/>
                <w:color w:val="000000"/>
                <w:lang w:eastAsia="zh-CN"/>
              </w:rPr>
              <w:t>污水处理站封闭加盖</w:t>
            </w:r>
            <w:r>
              <w:rPr>
                <w:rFonts w:hint="eastAsia"/>
                <w:color w:val="000000"/>
              </w:rPr>
              <w:t>等措施，经预测，本项目噪声排放满足《工业企业厂界环境噪声排放标准》（GB12348-2008）</w:t>
            </w:r>
            <w:r>
              <w:rPr>
                <w:rFonts w:hint="eastAsia"/>
                <w:color w:val="000000"/>
                <w:lang w:val="en-US" w:eastAsia="zh-CN"/>
              </w:rPr>
              <w:t>2</w:t>
            </w:r>
            <w:r>
              <w:rPr>
                <w:rFonts w:hint="eastAsia"/>
                <w:color w:val="000000"/>
              </w:rPr>
              <w:t>类标准。</w:t>
            </w:r>
          </w:p>
          <w:p>
            <w:pPr>
              <w:pStyle w:val="185"/>
              <w:spacing w:line="240" w:lineRule="auto"/>
              <w:ind w:firstLine="422"/>
              <w:jc w:val="right"/>
              <w:rPr>
                <w:rFonts w:hint="default" w:eastAsia="宋体"/>
                <w:b/>
                <w:bCs/>
                <w:color w:val="000000"/>
                <w:sz w:val="21"/>
                <w:szCs w:val="21"/>
                <w:lang w:val="en-US" w:eastAsia="zh-CN"/>
              </w:rPr>
            </w:pPr>
            <w:r>
              <w:rPr>
                <w:rFonts w:hint="eastAsia"/>
                <w:b/>
                <w:bCs/>
                <w:color w:val="000000"/>
                <w:sz w:val="21"/>
                <w:szCs w:val="21"/>
                <w:highlight w:val="none"/>
              </w:rPr>
              <w:t>表4-</w:t>
            </w:r>
            <w:r>
              <w:rPr>
                <w:rFonts w:hint="eastAsia"/>
                <w:b/>
                <w:bCs/>
                <w:color w:val="000000"/>
                <w:sz w:val="21"/>
                <w:szCs w:val="21"/>
                <w:highlight w:val="none"/>
                <w:lang w:val="en-US" w:eastAsia="zh-CN"/>
              </w:rPr>
              <w:t>16</w:t>
            </w:r>
            <w:r>
              <w:rPr>
                <w:rFonts w:hint="eastAsia"/>
                <w:b/>
                <w:bCs/>
                <w:color w:val="000000"/>
                <w:sz w:val="21"/>
                <w:szCs w:val="21"/>
                <w:highlight w:val="none"/>
              </w:rPr>
              <w:t xml:space="preserve"> 敏感点声学环境预测表</w:t>
            </w:r>
            <w:r>
              <w:rPr>
                <w:rFonts w:hint="eastAsia"/>
                <w:b/>
                <w:bCs/>
                <w:color w:val="000000"/>
                <w:sz w:val="21"/>
                <w:szCs w:val="21"/>
                <w:highlight w:val="none"/>
                <w:lang w:val="en-US" w:eastAsia="zh-CN"/>
              </w:rPr>
              <w:t xml:space="preserve">     </w:t>
            </w:r>
            <w:r>
              <w:rPr>
                <w:rFonts w:hint="eastAsia"/>
                <w:b/>
                <w:bCs/>
                <w:color w:val="000000"/>
                <w:sz w:val="21"/>
                <w:szCs w:val="21"/>
                <w:lang w:val="en-US" w:eastAsia="zh-CN"/>
              </w:rPr>
              <w:t xml:space="preserve">      </w:t>
            </w:r>
            <w:r>
              <w:rPr>
                <w:rFonts w:hint="eastAsia"/>
                <w:b/>
                <w:bCs/>
                <w:color w:val="000000"/>
                <w:sz w:val="21"/>
                <w:szCs w:val="21"/>
              </w:rPr>
              <w:t>单位：dB（A）</w:t>
            </w:r>
          </w:p>
          <w:tbl>
            <w:tblPr>
              <w:tblStyle w:val="41"/>
              <w:tblW w:w="80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2"/>
              <w:gridCol w:w="992"/>
              <w:gridCol w:w="457"/>
              <w:gridCol w:w="458"/>
              <w:gridCol w:w="496"/>
              <w:gridCol w:w="497"/>
              <w:gridCol w:w="496"/>
              <w:gridCol w:w="496"/>
              <w:gridCol w:w="496"/>
              <w:gridCol w:w="496"/>
              <w:gridCol w:w="603"/>
              <w:gridCol w:w="604"/>
              <w:gridCol w:w="709"/>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2" w:type="dxa"/>
                  <w:vMerge w:val="restart"/>
                  <w:noWrap w:val="0"/>
                  <w:vAlign w:val="center"/>
                </w:tcPr>
                <w:p>
                  <w:pPr>
                    <w:pStyle w:val="184"/>
                    <w:rPr>
                      <w:rFonts w:hint="eastAsia"/>
                      <w:b/>
                      <w:color w:val="000000"/>
                    </w:rPr>
                  </w:pPr>
                  <w:r>
                    <w:rPr>
                      <w:rFonts w:hint="eastAsia"/>
                      <w:b/>
                      <w:color w:val="000000"/>
                    </w:rPr>
                    <w:t>序号</w:t>
                  </w:r>
                </w:p>
              </w:tc>
              <w:tc>
                <w:tcPr>
                  <w:tcW w:w="992" w:type="dxa"/>
                  <w:vMerge w:val="restart"/>
                  <w:noWrap w:val="0"/>
                  <w:vAlign w:val="center"/>
                </w:tcPr>
                <w:p>
                  <w:pPr>
                    <w:pStyle w:val="184"/>
                    <w:rPr>
                      <w:rFonts w:hint="eastAsia"/>
                      <w:b/>
                      <w:color w:val="000000"/>
                    </w:rPr>
                  </w:pPr>
                  <w:r>
                    <w:rPr>
                      <w:rFonts w:hint="eastAsia"/>
                      <w:b/>
                      <w:color w:val="000000"/>
                    </w:rPr>
                    <w:t>声环境保护目标名称</w:t>
                  </w:r>
                </w:p>
              </w:tc>
              <w:tc>
                <w:tcPr>
                  <w:tcW w:w="915" w:type="dxa"/>
                  <w:gridSpan w:val="2"/>
                  <w:noWrap w:val="0"/>
                  <w:vAlign w:val="center"/>
                </w:tcPr>
                <w:p>
                  <w:pPr>
                    <w:pStyle w:val="184"/>
                    <w:rPr>
                      <w:rFonts w:hint="eastAsia"/>
                      <w:b/>
                      <w:color w:val="000000"/>
                    </w:rPr>
                  </w:pPr>
                  <w:r>
                    <w:rPr>
                      <w:rFonts w:hint="eastAsia"/>
                      <w:b/>
                      <w:color w:val="000000"/>
                    </w:rPr>
                    <w:t>噪声背景值</w:t>
                  </w:r>
                </w:p>
              </w:tc>
              <w:tc>
                <w:tcPr>
                  <w:tcW w:w="993" w:type="dxa"/>
                  <w:gridSpan w:val="2"/>
                  <w:noWrap w:val="0"/>
                  <w:vAlign w:val="center"/>
                </w:tcPr>
                <w:p>
                  <w:pPr>
                    <w:pStyle w:val="184"/>
                    <w:rPr>
                      <w:rFonts w:hint="eastAsia"/>
                      <w:b/>
                      <w:color w:val="000000"/>
                    </w:rPr>
                  </w:pPr>
                  <w:r>
                    <w:rPr>
                      <w:rFonts w:hint="eastAsia"/>
                      <w:b/>
                      <w:color w:val="000000"/>
                    </w:rPr>
                    <w:t>噪声标准</w:t>
                  </w:r>
                </w:p>
              </w:tc>
              <w:tc>
                <w:tcPr>
                  <w:tcW w:w="992" w:type="dxa"/>
                  <w:gridSpan w:val="2"/>
                  <w:noWrap w:val="0"/>
                  <w:vAlign w:val="center"/>
                </w:tcPr>
                <w:p>
                  <w:pPr>
                    <w:pStyle w:val="184"/>
                    <w:rPr>
                      <w:rFonts w:hint="eastAsia"/>
                      <w:b/>
                      <w:color w:val="000000"/>
                    </w:rPr>
                  </w:pPr>
                  <w:r>
                    <w:rPr>
                      <w:rFonts w:hint="eastAsia"/>
                      <w:b/>
                      <w:color w:val="000000"/>
                    </w:rPr>
                    <w:t>噪声贡献值</w:t>
                  </w:r>
                </w:p>
              </w:tc>
              <w:tc>
                <w:tcPr>
                  <w:tcW w:w="992" w:type="dxa"/>
                  <w:gridSpan w:val="2"/>
                  <w:noWrap w:val="0"/>
                  <w:vAlign w:val="center"/>
                </w:tcPr>
                <w:p>
                  <w:pPr>
                    <w:pStyle w:val="184"/>
                    <w:rPr>
                      <w:rFonts w:hint="eastAsia"/>
                      <w:b/>
                      <w:color w:val="000000"/>
                    </w:rPr>
                  </w:pPr>
                  <w:r>
                    <w:rPr>
                      <w:rFonts w:hint="eastAsia"/>
                      <w:b/>
                      <w:color w:val="000000"/>
                    </w:rPr>
                    <w:t>噪声预测值</w:t>
                  </w:r>
                </w:p>
              </w:tc>
              <w:tc>
                <w:tcPr>
                  <w:tcW w:w="1207" w:type="dxa"/>
                  <w:gridSpan w:val="2"/>
                  <w:noWrap w:val="0"/>
                  <w:vAlign w:val="center"/>
                </w:tcPr>
                <w:p>
                  <w:pPr>
                    <w:pStyle w:val="184"/>
                    <w:rPr>
                      <w:rFonts w:hint="eastAsia"/>
                      <w:b/>
                      <w:color w:val="000000"/>
                    </w:rPr>
                  </w:pPr>
                  <w:r>
                    <w:rPr>
                      <w:rFonts w:hint="eastAsia"/>
                      <w:b/>
                      <w:color w:val="000000"/>
                    </w:rPr>
                    <w:t>较现状增量</w:t>
                  </w:r>
                </w:p>
              </w:tc>
              <w:tc>
                <w:tcPr>
                  <w:tcW w:w="1418" w:type="dxa"/>
                  <w:gridSpan w:val="2"/>
                  <w:noWrap w:val="0"/>
                  <w:vAlign w:val="center"/>
                </w:tcPr>
                <w:p>
                  <w:pPr>
                    <w:pStyle w:val="184"/>
                    <w:rPr>
                      <w:rFonts w:hint="eastAsia"/>
                      <w:b/>
                      <w:color w:val="000000"/>
                    </w:rPr>
                  </w:pPr>
                  <w:r>
                    <w:rPr>
                      <w:rFonts w:hint="eastAsia"/>
                      <w:b/>
                      <w:color w:val="000000"/>
                    </w:rPr>
                    <w:t>超标和达标情况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2" w:type="dxa"/>
                  <w:vMerge w:val="continue"/>
                  <w:noWrap w:val="0"/>
                  <w:vAlign w:val="center"/>
                </w:tcPr>
                <w:p>
                  <w:pPr>
                    <w:pStyle w:val="184"/>
                    <w:rPr>
                      <w:rFonts w:hint="eastAsia"/>
                      <w:b/>
                      <w:color w:val="000000"/>
                    </w:rPr>
                  </w:pPr>
                </w:p>
              </w:tc>
              <w:tc>
                <w:tcPr>
                  <w:tcW w:w="992" w:type="dxa"/>
                  <w:vMerge w:val="continue"/>
                  <w:noWrap w:val="0"/>
                  <w:vAlign w:val="center"/>
                </w:tcPr>
                <w:p>
                  <w:pPr>
                    <w:pStyle w:val="184"/>
                    <w:rPr>
                      <w:rFonts w:hint="eastAsia"/>
                      <w:b/>
                      <w:color w:val="000000"/>
                    </w:rPr>
                  </w:pPr>
                </w:p>
              </w:tc>
              <w:tc>
                <w:tcPr>
                  <w:tcW w:w="457" w:type="dxa"/>
                  <w:noWrap w:val="0"/>
                  <w:vAlign w:val="center"/>
                </w:tcPr>
                <w:p>
                  <w:pPr>
                    <w:pStyle w:val="184"/>
                    <w:rPr>
                      <w:rFonts w:hint="eastAsia"/>
                      <w:b/>
                      <w:color w:val="000000"/>
                    </w:rPr>
                  </w:pPr>
                  <w:r>
                    <w:rPr>
                      <w:rFonts w:hint="eastAsia"/>
                      <w:b/>
                      <w:color w:val="000000"/>
                    </w:rPr>
                    <w:t>昼间</w:t>
                  </w:r>
                </w:p>
              </w:tc>
              <w:tc>
                <w:tcPr>
                  <w:tcW w:w="458" w:type="dxa"/>
                  <w:noWrap w:val="0"/>
                  <w:vAlign w:val="center"/>
                </w:tcPr>
                <w:p>
                  <w:pPr>
                    <w:pStyle w:val="184"/>
                    <w:rPr>
                      <w:rFonts w:hint="eastAsia"/>
                      <w:b/>
                      <w:color w:val="000000"/>
                    </w:rPr>
                  </w:pPr>
                  <w:r>
                    <w:rPr>
                      <w:rFonts w:hint="eastAsia"/>
                      <w:b/>
                      <w:color w:val="000000"/>
                    </w:rPr>
                    <w:t>夜间</w:t>
                  </w:r>
                </w:p>
              </w:tc>
              <w:tc>
                <w:tcPr>
                  <w:tcW w:w="496" w:type="dxa"/>
                  <w:noWrap w:val="0"/>
                  <w:vAlign w:val="center"/>
                </w:tcPr>
                <w:p>
                  <w:pPr>
                    <w:pStyle w:val="184"/>
                    <w:rPr>
                      <w:rFonts w:hint="eastAsia"/>
                      <w:b/>
                      <w:color w:val="000000"/>
                    </w:rPr>
                  </w:pPr>
                  <w:r>
                    <w:rPr>
                      <w:rFonts w:hint="eastAsia"/>
                      <w:b/>
                      <w:color w:val="000000"/>
                    </w:rPr>
                    <w:t>昼间</w:t>
                  </w:r>
                </w:p>
              </w:tc>
              <w:tc>
                <w:tcPr>
                  <w:tcW w:w="497" w:type="dxa"/>
                  <w:noWrap w:val="0"/>
                  <w:vAlign w:val="center"/>
                </w:tcPr>
                <w:p>
                  <w:pPr>
                    <w:pStyle w:val="184"/>
                    <w:rPr>
                      <w:rFonts w:hint="eastAsia"/>
                      <w:b/>
                      <w:color w:val="000000"/>
                    </w:rPr>
                  </w:pPr>
                  <w:r>
                    <w:rPr>
                      <w:rFonts w:hint="eastAsia"/>
                      <w:b/>
                      <w:color w:val="000000"/>
                    </w:rPr>
                    <w:t>夜间</w:t>
                  </w:r>
                </w:p>
              </w:tc>
              <w:tc>
                <w:tcPr>
                  <w:tcW w:w="496" w:type="dxa"/>
                  <w:noWrap w:val="0"/>
                  <w:vAlign w:val="center"/>
                </w:tcPr>
                <w:p>
                  <w:pPr>
                    <w:pStyle w:val="184"/>
                    <w:rPr>
                      <w:rFonts w:hint="eastAsia"/>
                      <w:b/>
                      <w:color w:val="000000"/>
                    </w:rPr>
                  </w:pPr>
                  <w:r>
                    <w:rPr>
                      <w:rFonts w:hint="eastAsia"/>
                      <w:b/>
                      <w:color w:val="000000"/>
                    </w:rPr>
                    <w:t>昼间</w:t>
                  </w:r>
                </w:p>
              </w:tc>
              <w:tc>
                <w:tcPr>
                  <w:tcW w:w="496" w:type="dxa"/>
                  <w:noWrap w:val="0"/>
                  <w:vAlign w:val="center"/>
                </w:tcPr>
                <w:p>
                  <w:pPr>
                    <w:pStyle w:val="184"/>
                    <w:rPr>
                      <w:rFonts w:hint="eastAsia"/>
                      <w:b/>
                      <w:color w:val="000000"/>
                    </w:rPr>
                  </w:pPr>
                  <w:r>
                    <w:rPr>
                      <w:rFonts w:hint="eastAsia"/>
                      <w:b/>
                      <w:color w:val="000000"/>
                    </w:rPr>
                    <w:t>夜间</w:t>
                  </w:r>
                </w:p>
              </w:tc>
              <w:tc>
                <w:tcPr>
                  <w:tcW w:w="496" w:type="dxa"/>
                  <w:noWrap w:val="0"/>
                  <w:vAlign w:val="center"/>
                </w:tcPr>
                <w:p>
                  <w:pPr>
                    <w:pStyle w:val="184"/>
                    <w:rPr>
                      <w:rFonts w:hint="eastAsia"/>
                      <w:b/>
                      <w:color w:val="000000"/>
                    </w:rPr>
                  </w:pPr>
                  <w:r>
                    <w:rPr>
                      <w:rFonts w:hint="eastAsia"/>
                      <w:b/>
                      <w:color w:val="000000"/>
                    </w:rPr>
                    <w:t>昼间</w:t>
                  </w:r>
                </w:p>
              </w:tc>
              <w:tc>
                <w:tcPr>
                  <w:tcW w:w="496" w:type="dxa"/>
                  <w:noWrap w:val="0"/>
                  <w:vAlign w:val="center"/>
                </w:tcPr>
                <w:p>
                  <w:pPr>
                    <w:pStyle w:val="184"/>
                    <w:rPr>
                      <w:rFonts w:hint="eastAsia"/>
                      <w:b/>
                      <w:color w:val="000000"/>
                    </w:rPr>
                  </w:pPr>
                  <w:r>
                    <w:rPr>
                      <w:rFonts w:hint="eastAsia"/>
                      <w:b/>
                      <w:color w:val="000000"/>
                    </w:rPr>
                    <w:t>夜间</w:t>
                  </w:r>
                </w:p>
              </w:tc>
              <w:tc>
                <w:tcPr>
                  <w:tcW w:w="603" w:type="dxa"/>
                  <w:noWrap w:val="0"/>
                  <w:vAlign w:val="center"/>
                </w:tcPr>
                <w:p>
                  <w:pPr>
                    <w:pStyle w:val="184"/>
                    <w:rPr>
                      <w:rFonts w:hint="eastAsia"/>
                      <w:b/>
                      <w:color w:val="000000"/>
                    </w:rPr>
                  </w:pPr>
                  <w:r>
                    <w:rPr>
                      <w:rFonts w:hint="eastAsia"/>
                      <w:b/>
                      <w:color w:val="000000"/>
                    </w:rPr>
                    <w:t>昼间</w:t>
                  </w:r>
                </w:p>
              </w:tc>
              <w:tc>
                <w:tcPr>
                  <w:tcW w:w="604" w:type="dxa"/>
                  <w:noWrap w:val="0"/>
                  <w:vAlign w:val="center"/>
                </w:tcPr>
                <w:p>
                  <w:pPr>
                    <w:pStyle w:val="184"/>
                    <w:rPr>
                      <w:rFonts w:hint="eastAsia"/>
                      <w:b/>
                      <w:color w:val="000000"/>
                    </w:rPr>
                  </w:pPr>
                  <w:r>
                    <w:rPr>
                      <w:rFonts w:hint="eastAsia"/>
                      <w:b/>
                      <w:color w:val="000000"/>
                    </w:rPr>
                    <w:t>夜间</w:t>
                  </w:r>
                </w:p>
              </w:tc>
              <w:tc>
                <w:tcPr>
                  <w:tcW w:w="709" w:type="dxa"/>
                  <w:noWrap w:val="0"/>
                  <w:vAlign w:val="center"/>
                </w:tcPr>
                <w:p>
                  <w:pPr>
                    <w:pStyle w:val="184"/>
                    <w:rPr>
                      <w:b/>
                      <w:color w:val="000000"/>
                    </w:rPr>
                  </w:pPr>
                  <w:r>
                    <w:rPr>
                      <w:rFonts w:hint="eastAsia"/>
                      <w:b/>
                      <w:color w:val="000000"/>
                    </w:rPr>
                    <w:t>昼间</w:t>
                  </w:r>
                </w:p>
              </w:tc>
              <w:tc>
                <w:tcPr>
                  <w:tcW w:w="709" w:type="dxa"/>
                  <w:noWrap w:val="0"/>
                  <w:vAlign w:val="center"/>
                </w:tcPr>
                <w:p>
                  <w:pPr>
                    <w:pStyle w:val="184"/>
                    <w:rPr>
                      <w:rFonts w:hint="eastAsia"/>
                      <w:b/>
                      <w:color w:val="000000"/>
                    </w:rPr>
                  </w:pPr>
                  <w:r>
                    <w:rPr>
                      <w:rFonts w:hint="eastAsia"/>
                      <w:b/>
                      <w:color w:val="000000"/>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2" w:type="dxa"/>
                  <w:noWrap w:val="0"/>
                  <w:vAlign w:val="center"/>
                </w:tcPr>
                <w:p>
                  <w:pPr>
                    <w:pStyle w:val="184"/>
                    <w:rPr>
                      <w:rFonts w:hint="eastAsia"/>
                      <w:color w:val="000000"/>
                    </w:rPr>
                  </w:pPr>
                  <w:r>
                    <w:rPr>
                      <w:rFonts w:hint="eastAsia"/>
                      <w:color w:val="000000"/>
                    </w:rPr>
                    <w:t>1</w:t>
                  </w:r>
                </w:p>
              </w:tc>
              <w:tc>
                <w:tcPr>
                  <w:tcW w:w="992" w:type="dxa"/>
                  <w:noWrap w:val="0"/>
                  <w:vAlign w:val="center"/>
                </w:tcPr>
                <w:p>
                  <w:pPr>
                    <w:jc w:val="center"/>
                    <w:rPr>
                      <w:rFonts w:hint="eastAsia" w:ascii="Calibri" w:hAnsi="Calibri"/>
                      <w:bCs/>
                      <w:color w:val="000000"/>
                      <w:szCs w:val="21"/>
                    </w:rPr>
                  </w:pPr>
                  <w:r>
                    <w:rPr>
                      <w:rFonts w:hint="eastAsia" w:ascii="Calibri" w:hAnsi="Calibri"/>
                      <w:bCs/>
                      <w:color w:val="000000"/>
                      <w:szCs w:val="21"/>
                      <w:lang w:eastAsia="zh-CN"/>
                    </w:rPr>
                    <w:t>北</w:t>
                  </w:r>
                  <w:r>
                    <w:rPr>
                      <w:rFonts w:hint="eastAsia" w:ascii="Calibri" w:hAnsi="Calibri"/>
                      <w:bCs/>
                      <w:color w:val="000000"/>
                      <w:szCs w:val="21"/>
                    </w:rPr>
                    <w:t>面住户</w:t>
                  </w:r>
                </w:p>
              </w:tc>
              <w:tc>
                <w:tcPr>
                  <w:tcW w:w="457" w:type="dxa"/>
                  <w:noWrap w:val="0"/>
                  <w:vAlign w:val="center"/>
                </w:tcPr>
                <w:p>
                  <w:pPr>
                    <w:jc w:val="center"/>
                    <w:rPr>
                      <w:rFonts w:hint="eastAsia"/>
                      <w:color w:val="000000"/>
                    </w:rPr>
                  </w:pPr>
                  <w:r>
                    <w:rPr>
                      <w:rFonts w:hint="eastAsia"/>
                      <w:kern w:val="21"/>
                      <w:szCs w:val="21"/>
                    </w:rPr>
                    <w:t>53</w:t>
                  </w:r>
                </w:p>
              </w:tc>
              <w:tc>
                <w:tcPr>
                  <w:tcW w:w="458" w:type="dxa"/>
                  <w:noWrap w:val="0"/>
                  <w:vAlign w:val="center"/>
                </w:tcPr>
                <w:p>
                  <w:pPr>
                    <w:jc w:val="center"/>
                    <w:rPr>
                      <w:rFonts w:hint="eastAsia"/>
                      <w:color w:val="000000"/>
                    </w:rPr>
                  </w:pPr>
                  <w:r>
                    <w:rPr>
                      <w:rFonts w:hint="eastAsia"/>
                      <w:kern w:val="21"/>
                      <w:szCs w:val="21"/>
                    </w:rPr>
                    <w:t>42</w:t>
                  </w:r>
                </w:p>
              </w:tc>
              <w:tc>
                <w:tcPr>
                  <w:tcW w:w="496" w:type="dxa"/>
                  <w:noWrap w:val="0"/>
                  <w:vAlign w:val="center"/>
                </w:tcPr>
                <w:p>
                  <w:pPr>
                    <w:pStyle w:val="184"/>
                    <w:rPr>
                      <w:rFonts w:hint="default" w:eastAsia="宋体"/>
                      <w:color w:val="000000"/>
                      <w:lang w:val="en-US" w:eastAsia="zh-CN"/>
                    </w:rPr>
                  </w:pPr>
                  <w:r>
                    <w:rPr>
                      <w:rFonts w:hint="eastAsia"/>
                      <w:color w:val="000000"/>
                      <w:lang w:val="en-US" w:eastAsia="zh-CN"/>
                    </w:rPr>
                    <w:t>60</w:t>
                  </w:r>
                </w:p>
              </w:tc>
              <w:tc>
                <w:tcPr>
                  <w:tcW w:w="497" w:type="dxa"/>
                  <w:noWrap w:val="0"/>
                  <w:vAlign w:val="center"/>
                </w:tcPr>
                <w:p>
                  <w:pPr>
                    <w:pStyle w:val="184"/>
                    <w:rPr>
                      <w:rFonts w:hint="default" w:eastAsia="宋体"/>
                      <w:color w:val="000000"/>
                      <w:lang w:val="en-US" w:eastAsia="zh-CN"/>
                    </w:rPr>
                  </w:pPr>
                  <w:r>
                    <w:rPr>
                      <w:rFonts w:hint="eastAsia"/>
                      <w:color w:val="000000"/>
                      <w:lang w:val="en-US" w:eastAsia="zh-CN"/>
                    </w:rPr>
                    <w:t>50</w:t>
                  </w:r>
                </w:p>
              </w:tc>
              <w:tc>
                <w:tcPr>
                  <w:tcW w:w="496" w:type="dxa"/>
                  <w:noWrap w:val="0"/>
                  <w:vAlign w:val="center"/>
                </w:tcPr>
                <w:p>
                  <w:pPr>
                    <w:pStyle w:val="184"/>
                    <w:rPr>
                      <w:rFonts w:hint="default" w:eastAsia="宋体"/>
                      <w:color w:val="000000"/>
                      <w:lang w:val="en-US" w:eastAsia="zh-CN"/>
                    </w:rPr>
                  </w:pPr>
                  <w:r>
                    <w:rPr>
                      <w:rFonts w:hint="eastAsia"/>
                      <w:color w:val="000000"/>
                      <w:lang w:val="en-US" w:eastAsia="zh-CN"/>
                    </w:rPr>
                    <w:t>28</w:t>
                  </w:r>
                </w:p>
              </w:tc>
              <w:tc>
                <w:tcPr>
                  <w:tcW w:w="496" w:type="dxa"/>
                  <w:noWrap w:val="0"/>
                  <w:vAlign w:val="center"/>
                </w:tcPr>
                <w:p>
                  <w:pPr>
                    <w:pStyle w:val="184"/>
                    <w:rPr>
                      <w:rFonts w:hint="default" w:eastAsia="宋体"/>
                      <w:color w:val="000000"/>
                      <w:lang w:val="en-US" w:eastAsia="zh-CN"/>
                    </w:rPr>
                  </w:pPr>
                  <w:r>
                    <w:rPr>
                      <w:rFonts w:hint="eastAsia"/>
                      <w:color w:val="000000"/>
                      <w:lang w:val="en-US" w:eastAsia="zh-CN"/>
                    </w:rPr>
                    <w:t>28</w:t>
                  </w:r>
                </w:p>
              </w:tc>
              <w:tc>
                <w:tcPr>
                  <w:tcW w:w="496" w:type="dxa"/>
                  <w:noWrap w:val="0"/>
                  <w:vAlign w:val="center"/>
                </w:tcPr>
                <w:p>
                  <w:pPr>
                    <w:pStyle w:val="184"/>
                    <w:rPr>
                      <w:rFonts w:hint="default" w:eastAsia="宋体"/>
                      <w:color w:val="000000"/>
                      <w:lang w:val="en-US" w:eastAsia="zh-CN"/>
                    </w:rPr>
                  </w:pPr>
                  <w:r>
                    <w:rPr>
                      <w:rFonts w:hint="eastAsia"/>
                      <w:color w:val="000000"/>
                      <w:lang w:val="en-US" w:eastAsia="zh-CN"/>
                    </w:rPr>
                    <w:t>53.01</w:t>
                  </w:r>
                </w:p>
              </w:tc>
              <w:tc>
                <w:tcPr>
                  <w:tcW w:w="496" w:type="dxa"/>
                  <w:noWrap w:val="0"/>
                  <w:vAlign w:val="center"/>
                </w:tcPr>
                <w:p>
                  <w:pPr>
                    <w:pStyle w:val="184"/>
                    <w:rPr>
                      <w:rFonts w:hint="default" w:eastAsia="宋体"/>
                      <w:color w:val="000000"/>
                      <w:lang w:val="en-US" w:eastAsia="zh-CN"/>
                    </w:rPr>
                  </w:pPr>
                  <w:r>
                    <w:rPr>
                      <w:rFonts w:hint="eastAsia"/>
                      <w:color w:val="000000"/>
                      <w:lang w:val="en-US" w:eastAsia="zh-CN"/>
                    </w:rPr>
                    <w:t>42.17</w:t>
                  </w:r>
                </w:p>
              </w:tc>
              <w:tc>
                <w:tcPr>
                  <w:tcW w:w="603" w:type="dxa"/>
                  <w:noWrap w:val="0"/>
                  <w:vAlign w:val="center"/>
                </w:tcPr>
                <w:p>
                  <w:pPr>
                    <w:pStyle w:val="184"/>
                    <w:rPr>
                      <w:rFonts w:hint="default" w:eastAsia="宋体"/>
                      <w:color w:val="000000"/>
                      <w:lang w:val="en-US" w:eastAsia="zh-CN"/>
                    </w:rPr>
                  </w:pPr>
                  <w:r>
                    <w:rPr>
                      <w:rFonts w:hint="eastAsia"/>
                      <w:color w:val="000000"/>
                    </w:rPr>
                    <w:t>0.</w:t>
                  </w:r>
                  <w:r>
                    <w:rPr>
                      <w:rFonts w:hint="eastAsia"/>
                      <w:color w:val="000000"/>
                      <w:lang w:val="en-US" w:eastAsia="zh-CN"/>
                    </w:rPr>
                    <w:t>01</w:t>
                  </w:r>
                </w:p>
              </w:tc>
              <w:tc>
                <w:tcPr>
                  <w:tcW w:w="604" w:type="dxa"/>
                  <w:noWrap w:val="0"/>
                  <w:vAlign w:val="center"/>
                </w:tcPr>
                <w:p>
                  <w:pPr>
                    <w:pStyle w:val="184"/>
                    <w:rPr>
                      <w:rFonts w:hint="default" w:eastAsia="宋体"/>
                      <w:color w:val="000000"/>
                      <w:lang w:val="en-US" w:eastAsia="zh-CN"/>
                    </w:rPr>
                  </w:pPr>
                  <w:r>
                    <w:rPr>
                      <w:rFonts w:hint="eastAsia"/>
                      <w:color w:val="000000"/>
                      <w:lang w:val="en-US" w:eastAsia="zh-CN"/>
                    </w:rPr>
                    <w:t>0.17</w:t>
                  </w:r>
                </w:p>
              </w:tc>
              <w:tc>
                <w:tcPr>
                  <w:tcW w:w="709" w:type="dxa"/>
                  <w:noWrap w:val="0"/>
                  <w:vAlign w:val="center"/>
                </w:tcPr>
                <w:p>
                  <w:pPr>
                    <w:pStyle w:val="184"/>
                    <w:rPr>
                      <w:rFonts w:hint="eastAsia"/>
                      <w:color w:val="000000"/>
                    </w:rPr>
                  </w:pPr>
                  <w:r>
                    <w:rPr>
                      <w:rFonts w:hint="eastAsia"/>
                      <w:color w:val="000000"/>
                    </w:rPr>
                    <w:t>达标</w:t>
                  </w:r>
                </w:p>
              </w:tc>
              <w:tc>
                <w:tcPr>
                  <w:tcW w:w="709" w:type="dxa"/>
                  <w:noWrap w:val="0"/>
                  <w:vAlign w:val="center"/>
                </w:tcPr>
                <w:p>
                  <w:pPr>
                    <w:pStyle w:val="184"/>
                    <w:rPr>
                      <w:rFonts w:hint="eastAsia"/>
                      <w:color w:val="000000"/>
                    </w:rPr>
                  </w:pPr>
                  <w:r>
                    <w:rPr>
                      <w:rFonts w:hint="eastAsia"/>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82" w:type="dxa"/>
                  <w:noWrap w:val="0"/>
                  <w:vAlign w:val="center"/>
                </w:tcPr>
                <w:p>
                  <w:pPr>
                    <w:pStyle w:val="184"/>
                    <w:rPr>
                      <w:rFonts w:hint="eastAsia"/>
                      <w:color w:val="000000"/>
                    </w:rPr>
                  </w:pPr>
                  <w:r>
                    <w:rPr>
                      <w:rFonts w:hint="eastAsia"/>
                      <w:color w:val="000000"/>
                    </w:rPr>
                    <w:t>2</w:t>
                  </w:r>
                </w:p>
              </w:tc>
              <w:tc>
                <w:tcPr>
                  <w:tcW w:w="992" w:type="dxa"/>
                  <w:noWrap w:val="0"/>
                  <w:vAlign w:val="center"/>
                </w:tcPr>
                <w:p>
                  <w:pPr>
                    <w:jc w:val="center"/>
                    <w:rPr>
                      <w:rFonts w:hint="eastAsia" w:ascii="Calibri" w:hAnsi="Calibri"/>
                      <w:bCs/>
                      <w:color w:val="000000"/>
                      <w:szCs w:val="21"/>
                    </w:rPr>
                  </w:pPr>
                  <w:r>
                    <w:rPr>
                      <w:rFonts w:hint="eastAsia" w:ascii="Calibri" w:hAnsi="Calibri"/>
                      <w:bCs/>
                      <w:color w:val="000000"/>
                      <w:szCs w:val="21"/>
                    </w:rPr>
                    <w:t>东面住户</w:t>
                  </w:r>
                </w:p>
              </w:tc>
              <w:tc>
                <w:tcPr>
                  <w:tcW w:w="457" w:type="dxa"/>
                  <w:noWrap w:val="0"/>
                  <w:vAlign w:val="center"/>
                </w:tcPr>
                <w:p>
                  <w:pPr>
                    <w:jc w:val="center"/>
                    <w:rPr>
                      <w:rFonts w:hint="eastAsia"/>
                      <w:color w:val="000000"/>
                    </w:rPr>
                  </w:pPr>
                  <w:r>
                    <w:rPr>
                      <w:rFonts w:hint="eastAsia"/>
                      <w:kern w:val="21"/>
                      <w:szCs w:val="21"/>
                    </w:rPr>
                    <w:t>52</w:t>
                  </w:r>
                </w:p>
              </w:tc>
              <w:tc>
                <w:tcPr>
                  <w:tcW w:w="458" w:type="dxa"/>
                  <w:noWrap w:val="0"/>
                  <w:vAlign w:val="center"/>
                </w:tcPr>
                <w:p>
                  <w:pPr>
                    <w:jc w:val="center"/>
                    <w:rPr>
                      <w:rFonts w:hint="eastAsia"/>
                      <w:color w:val="000000"/>
                    </w:rPr>
                  </w:pPr>
                  <w:r>
                    <w:rPr>
                      <w:rFonts w:hint="eastAsia"/>
                      <w:kern w:val="21"/>
                      <w:szCs w:val="21"/>
                    </w:rPr>
                    <w:t>45</w:t>
                  </w:r>
                </w:p>
              </w:tc>
              <w:tc>
                <w:tcPr>
                  <w:tcW w:w="496" w:type="dxa"/>
                  <w:noWrap w:val="0"/>
                  <w:vAlign w:val="center"/>
                </w:tcPr>
                <w:p>
                  <w:pPr>
                    <w:pStyle w:val="184"/>
                    <w:rPr>
                      <w:rFonts w:hint="eastAsia"/>
                      <w:color w:val="000000"/>
                    </w:rPr>
                  </w:pPr>
                  <w:r>
                    <w:rPr>
                      <w:rFonts w:hint="eastAsia"/>
                      <w:color w:val="000000"/>
                      <w:lang w:val="en-US" w:eastAsia="zh-CN"/>
                    </w:rPr>
                    <w:t>60</w:t>
                  </w:r>
                </w:p>
              </w:tc>
              <w:tc>
                <w:tcPr>
                  <w:tcW w:w="497" w:type="dxa"/>
                  <w:noWrap w:val="0"/>
                  <w:vAlign w:val="center"/>
                </w:tcPr>
                <w:p>
                  <w:pPr>
                    <w:pStyle w:val="184"/>
                    <w:rPr>
                      <w:rFonts w:hint="eastAsia"/>
                      <w:color w:val="000000"/>
                    </w:rPr>
                  </w:pPr>
                  <w:r>
                    <w:rPr>
                      <w:rFonts w:hint="eastAsia"/>
                      <w:color w:val="000000"/>
                      <w:lang w:val="en-US" w:eastAsia="zh-CN"/>
                    </w:rPr>
                    <w:t>50</w:t>
                  </w:r>
                </w:p>
              </w:tc>
              <w:tc>
                <w:tcPr>
                  <w:tcW w:w="496" w:type="dxa"/>
                  <w:noWrap w:val="0"/>
                  <w:vAlign w:val="center"/>
                </w:tcPr>
                <w:p>
                  <w:pPr>
                    <w:pStyle w:val="184"/>
                    <w:rPr>
                      <w:rFonts w:hint="eastAsia" w:eastAsia="宋体"/>
                      <w:color w:val="000000"/>
                      <w:lang w:eastAsia="zh-CN"/>
                    </w:rPr>
                  </w:pPr>
                  <w:r>
                    <w:rPr>
                      <w:rFonts w:hint="eastAsia"/>
                      <w:color w:val="000000"/>
                    </w:rPr>
                    <w:t>4</w:t>
                  </w:r>
                  <w:r>
                    <w:rPr>
                      <w:rFonts w:hint="eastAsia"/>
                      <w:color w:val="000000"/>
                      <w:lang w:val="en-US" w:eastAsia="zh-CN"/>
                    </w:rPr>
                    <w:t>3</w:t>
                  </w:r>
                </w:p>
              </w:tc>
              <w:tc>
                <w:tcPr>
                  <w:tcW w:w="496" w:type="dxa"/>
                  <w:noWrap w:val="0"/>
                  <w:vAlign w:val="center"/>
                </w:tcPr>
                <w:p>
                  <w:pPr>
                    <w:pStyle w:val="184"/>
                    <w:rPr>
                      <w:rFonts w:hint="eastAsia" w:eastAsia="宋体"/>
                      <w:color w:val="000000"/>
                      <w:kern w:val="0"/>
                      <w:sz w:val="21"/>
                      <w:szCs w:val="21"/>
                      <w:lang w:val="en-US" w:eastAsia="zh-CN" w:bidi="ar-SA"/>
                    </w:rPr>
                  </w:pPr>
                  <w:r>
                    <w:rPr>
                      <w:rFonts w:hint="eastAsia"/>
                      <w:color w:val="000000"/>
                    </w:rPr>
                    <w:t>4</w:t>
                  </w:r>
                  <w:r>
                    <w:rPr>
                      <w:rFonts w:hint="eastAsia"/>
                      <w:color w:val="000000"/>
                      <w:lang w:val="en-US" w:eastAsia="zh-CN"/>
                    </w:rPr>
                    <w:t>3</w:t>
                  </w:r>
                </w:p>
              </w:tc>
              <w:tc>
                <w:tcPr>
                  <w:tcW w:w="496" w:type="dxa"/>
                  <w:noWrap w:val="0"/>
                  <w:vAlign w:val="center"/>
                </w:tcPr>
                <w:p>
                  <w:pPr>
                    <w:pStyle w:val="184"/>
                    <w:rPr>
                      <w:rFonts w:hint="default" w:eastAsia="宋体"/>
                      <w:color w:val="000000"/>
                      <w:lang w:val="en-US" w:eastAsia="zh-CN"/>
                    </w:rPr>
                  </w:pPr>
                  <w:r>
                    <w:rPr>
                      <w:rFonts w:hint="eastAsia"/>
                      <w:color w:val="000000"/>
                      <w:lang w:val="en-US" w:eastAsia="zh-CN"/>
                    </w:rPr>
                    <w:t>52.51</w:t>
                  </w:r>
                </w:p>
              </w:tc>
              <w:tc>
                <w:tcPr>
                  <w:tcW w:w="496" w:type="dxa"/>
                  <w:noWrap w:val="0"/>
                  <w:vAlign w:val="center"/>
                </w:tcPr>
                <w:p>
                  <w:pPr>
                    <w:pStyle w:val="184"/>
                    <w:rPr>
                      <w:rFonts w:hint="default" w:eastAsia="宋体"/>
                      <w:color w:val="000000"/>
                      <w:lang w:val="en-US" w:eastAsia="zh-CN"/>
                    </w:rPr>
                  </w:pPr>
                  <w:r>
                    <w:rPr>
                      <w:rFonts w:hint="eastAsia"/>
                      <w:color w:val="000000"/>
                      <w:lang w:val="en-US" w:eastAsia="zh-CN"/>
                    </w:rPr>
                    <w:t>47.12</w:t>
                  </w:r>
                </w:p>
              </w:tc>
              <w:tc>
                <w:tcPr>
                  <w:tcW w:w="603" w:type="dxa"/>
                  <w:noWrap w:val="0"/>
                  <w:vAlign w:val="center"/>
                </w:tcPr>
                <w:p>
                  <w:pPr>
                    <w:pStyle w:val="184"/>
                    <w:rPr>
                      <w:rFonts w:hint="default" w:eastAsia="宋体"/>
                      <w:color w:val="000000"/>
                      <w:lang w:val="en-US" w:eastAsia="zh-CN"/>
                    </w:rPr>
                  </w:pPr>
                  <w:r>
                    <w:rPr>
                      <w:rFonts w:hint="eastAsia"/>
                      <w:color w:val="000000"/>
                      <w:lang w:val="en-US" w:eastAsia="zh-CN"/>
                    </w:rPr>
                    <w:t>0.51</w:t>
                  </w:r>
                </w:p>
              </w:tc>
              <w:tc>
                <w:tcPr>
                  <w:tcW w:w="604" w:type="dxa"/>
                  <w:noWrap w:val="0"/>
                  <w:vAlign w:val="center"/>
                </w:tcPr>
                <w:p>
                  <w:pPr>
                    <w:pStyle w:val="184"/>
                    <w:rPr>
                      <w:rFonts w:hint="default" w:eastAsia="宋体"/>
                      <w:color w:val="000000"/>
                      <w:lang w:val="en-US" w:eastAsia="zh-CN"/>
                    </w:rPr>
                  </w:pPr>
                  <w:r>
                    <w:rPr>
                      <w:rFonts w:hint="eastAsia"/>
                      <w:color w:val="000000"/>
                      <w:lang w:val="en-US" w:eastAsia="zh-CN"/>
                    </w:rPr>
                    <w:t>2.12</w:t>
                  </w:r>
                </w:p>
              </w:tc>
              <w:tc>
                <w:tcPr>
                  <w:tcW w:w="709" w:type="dxa"/>
                  <w:noWrap w:val="0"/>
                  <w:vAlign w:val="center"/>
                </w:tcPr>
                <w:p>
                  <w:pPr>
                    <w:pStyle w:val="184"/>
                    <w:rPr>
                      <w:rFonts w:hint="eastAsia"/>
                      <w:color w:val="000000"/>
                    </w:rPr>
                  </w:pPr>
                  <w:r>
                    <w:rPr>
                      <w:rFonts w:hint="eastAsia"/>
                      <w:color w:val="000000"/>
                    </w:rPr>
                    <w:t>达标</w:t>
                  </w:r>
                </w:p>
              </w:tc>
              <w:tc>
                <w:tcPr>
                  <w:tcW w:w="709" w:type="dxa"/>
                  <w:noWrap w:val="0"/>
                  <w:vAlign w:val="center"/>
                </w:tcPr>
                <w:p>
                  <w:pPr>
                    <w:pStyle w:val="184"/>
                    <w:rPr>
                      <w:rFonts w:hint="eastAsia"/>
                      <w:color w:val="000000"/>
                    </w:rPr>
                  </w:pPr>
                  <w:r>
                    <w:rPr>
                      <w:rFonts w:hint="eastAsia"/>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2" w:type="dxa"/>
                  <w:noWrap w:val="0"/>
                  <w:vAlign w:val="center"/>
                </w:tcPr>
                <w:p>
                  <w:pPr>
                    <w:pStyle w:val="184"/>
                    <w:rPr>
                      <w:rFonts w:hint="eastAsia" w:eastAsia="宋体"/>
                      <w:color w:val="000000"/>
                      <w:lang w:val="en-US" w:eastAsia="zh-CN"/>
                    </w:rPr>
                  </w:pPr>
                  <w:r>
                    <w:rPr>
                      <w:rFonts w:hint="eastAsia"/>
                      <w:color w:val="000000"/>
                      <w:lang w:val="en-US" w:eastAsia="zh-CN"/>
                    </w:rPr>
                    <w:t>3</w:t>
                  </w:r>
                </w:p>
              </w:tc>
              <w:tc>
                <w:tcPr>
                  <w:tcW w:w="992" w:type="dxa"/>
                  <w:noWrap w:val="0"/>
                  <w:vAlign w:val="center"/>
                </w:tcPr>
                <w:p>
                  <w:pPr>
                    <w:jc w:val="center"/>
                    <w:rPr>
                      <w:rFonts w:hint="eastAsia" w:ascii="Calibri" w:hAnsi="Calibri" w:eastAsia="宋体"/>
                      <w:bCs/>
                      <w:color w:val="000000"/>
                      <w:szCs w:val="21"/>
                      <w:lang w:eastAsia="zh-CN"/>
                    </w:rPr>
                  </w:pPr>
                  <w:r>
                    <w:rPr>
                      <w:rFonts w:hint="eastAsia" w:ascii="Calibri" w:hAnsi="Calibri"/>
                      <w:bCs/>
                      <w:color w:val="000000"/>
                      <w:szCs w:val="21"/>
                      <w:lang w:eastAsia="zh-CN"/>
                    </w:rPr>
                    <w:t>南面住户</w:t>
                  </w:r>
                </w:p>
              </w:tc>
              <w:tc>
                <w:tcPr>
                  <w:tcW w:w="457" w:type="dxa"/>
                  <w:noWrap w:val="0"/>
                  <w:vAlign w:val="center"/>
                </w:tcPr>
                <w:p>
                  <w:pPr>
                    <w:jc w:val="center"/>
                    <w:rPr>
                      <w:rFonts w:hint="eastAsia"/>
                      <w:color w:val="000000"/>
                    </w:rPr>
                  </w:pPr>
                  <w:r>
                    <w:rPr>
                      <w:rFonts w:hint="eastAsia"/>
                      <w:kern w:val="21"/>
                      <w:szCs w:val="21"/>
                    </w:rPr>
                    <w:t>52</w:t>
                  </w:r>
                </w:p>
              </w:tc>
              <w:tc>
                <w:tcPr>
                  <w:tcW w:w="458" w:type="dxa"/>
                  <w:noWrap w:val="0"/>
                  <w:vAlign w:val="center"/>
                </w:tcPr>
                <w:p>
                  <w:pPr>
                    <w:jc w:val="center"/>
                    <w:rPr>
                      <w:rFonts w:hint="eastAsia"/>
                      <w:color w:val="000000"/>
                    </w:rPr>
                  </w:pPr>
                  <w:r>
                    <w:rPr>
                      <w:rFonts w:hint="eastAsia"/>
                      <w:kern w:val="21"/>
                      <w:szCs w:val="21"/>
                    </w:rPr>
                    <w:t>44</w:t>
                  </w:r>
                </w:p>
              </w:tc>
              <w:tc>
                <w:tcPr>
                  <w:tcW w:w="496" w:type="dxa"/>
                  <w:noWrap w:val="0"/>
                  <w:vAlign w:val="center"/>
                </w:tcPr>
                <w:p>
                  <w:pPr>
                    <w:pStyle w:val="184"/>
                    <w:rPr>
                      <w:rFonts w:hint="eastAsia"/>
                      <w:color w:val="000000"/>
                    </w:rPr>
                  </w:pPr>
                  <w:r>
                    <w:rPr>
                      <w:rFonts w:hint="eastAsia"/>
                      <w:color w:val="000000"/>
                      <w:lang w:val="en-US" w:eastAsia="zh-CN"/>
                    </w:rPr>
                    <w:t>60</w:t>
                  </w:r>
                </w:p>
              </w:tc>
              <w:tc>
                <w:tcPr>
                  <w:tcW w:w="497" w:type="dxa"/>
                  <w:noWrap w:val="0"/>
                  <w:vAlign w:val="center"/>
                </w:tcPr>
                <w:p>
                  <w:pPr>
                    <w:pStyle w:val="184"/>
                    <w:rPr>
                      <w:rFonts w:hint="eastAsia"/>
                      <w:color w:val="000000"/>
                    </w:rPr>
                  </w:pPr>
                  <w:r>
                    <w:rPr>
                      <w:rFonts w:hint="eastAsia"/>
                      <w:color w:val="000000"/>
                      <w:lang w:val="en-US" w:eastAsia="zh-CN"/>
                    </w:rPr>
                    <w:t>50</w:t>
                  </w:r>
                </w:p>
              </w:tc>
              <w:tc>
                <w:tcPr>
                  <w:tcW w:w="496" w:type="dxa"/>
                  <w:noWrap w:val="0"/>
                  <w:vAlign w:val="center"/>
                </w:tcPr>
                <w:p>
                  <w:pPr>
                    <w:pStyle w:val="184"/>
                    <w:rPr>
                      <w:rFonts w:hint="default" w:eastAsia="宋体"/>
                      <w:color w:val="000000"/>
                      <w:lang w:val="en-US" w:eastAsia="zh-CN"/>
                    </w:rPr>
                  </w:pPr>
                  <w:r>
                    <w:rPr>
                      <w:rFonts w:hint="eastAsia"/>
                      <w:color w:val="000000"/>
                      <w:lang w:val="en-US" w:eastAsia="zh-CN"/>
                    </w:rPr>
                    <w:t>36</w:t>
                  </w:r>
                </w:p>
              </w:tc>
              <w:tc>
                <w:tcPr>
                  <w:tcW w:w="496" w:type="dxa"/>
                  <w:noWrap w:val="0"/>
                  <w:vAlign w:val="center"/>
                </w:tcPr>
                <w:p>
                  <w:pPr>
                    <w:pStyle w:val="184"/>
                    <w:rPr>
                      <w:rFonts w:hint="eastAsia" w:eastAsia="宋体"/>
                      <w:color w:val="000000"/>
                      <w:kern w:val="0"/>
                      <w:sz w:val="21"/>
                      <w:szCs w:val="21"/>
                      <w:lang w:val="en-US" w:eastAsia="zh-CN" w:bidi="ar-SA"/>
                    </w:rPr>
                  </w:pPr>
                  <w:r>
                    <w:rPr>
                      <w:rFonts w:hint="eastAsia"/>
                      <w:color w:val="000000"/>
                      <w:lang w:val="en-US" w:eastAsia="zh-CN"/>
                    </w:rPr>
                    <w:t>36</w:t>
                  </w:r>
                </w:p>
              </w:tc>
              <w:tc>
                <w:tcPr>
                  <w:tcW w:w="496" w:type="dxa"/>
                  <w:noWrap w:val="0"/>
                  <w:vAlign w:val="center"/>
                </w:tcPr>
                <w:p>
                  <w:pPr>
                    <w:pStyle w:val="184"/>
                    <w:rPr>
                      <w:rFonts w:hint="default" w:eastAsia="宋体"/>
                      <w:color w:val="000000"/>
                      <w:lang w:val="en-US" w:eastAsia="zh-CN"/>
                    </w:rPr>
                  </w:pPr>
                  <w:r>
                    <w:rPr>
                      <w:rFonts w:hint="eastAsia"/>
                      <w:color w:val="000000"/>
                      <w:lang w:val="en-US" w:eastAsia="zh-CN"/>
                    </w:rPr>
                    <w:t>52.11</w:t>
                  </w:r>
                </w:p>
              </w:tc>
              <w:tc>
                <w:tcPr>
                  <w:tcW w:w="496" w:type="dxa"/>
                  <w:noWrap w:val="0"/>
                  <w:vAlign w:val="center"/>
                </w:tcPr>
                <w:p>
                  <w:pPr>
                    <w:pStyle w:val="184"/>
                    <w:rPr>
                      <w:rFonts w:hint="default" w:eastAsia="宋体"/>
                      <w:color w:val="000000"/>
                      <w:lang w:val="en-US" w:eastAsia="zh-CN"/>
                    </w:rPr>
                  </w:pPr>
                  <w:r>
                    <w:rPr>
                      <w:rFonts w:hint="eastAsia"/>
                      <w:color w:val="000000"/>
                      <w:lang w:val="en-US" w:eastAsia="zh-CN"/>
                    </w:rPr>
                    <w:t>44.64</w:t>
                  </w:r>
                </w:p>
              </w:tc>
              <w:tc>
                <w:tcPr>
                  <w:tcW w:w="603" w:type="dxa"/>
                  <w:noWrap w:val="0"/>
                  <w:vAlign w:val="center"/>
                </w:tcPr>
                <w:p>
                  <w:pPr>
                    <w:pStyle w:val="184"/>
                    <w:rPr>
                      <w:rFonts w:hint="default" w:eastAsia="宋体"/>
                      <w:color w:val="000000"/>
                      <w:lang w:val="en-US" w:eastAsia="zh-CN"/>
                    </w:rPr>
                  </w:pPr>
                  <w:r>
                    <w:rPr>
                      <w:rFonts w:hint="eastAsia"/>
                      <w:color w:val="000000"/>
                      <w:lang w:val="en-US" w:eastAsia="zh-CN"/>
                    </w:rPr>
                    <w:t>0.11</w:t>
                  </w:r>
                </w:p>
              </w:tc>
              <w:tc>
                <w:tcPr>
                  <w:tcW w:w="604" w:type="dxa"/>
                  <w:noWrap w:val="0"/>
                  <w:vAlign w:val="center"/>
                </w:tcPr>
                <w:p>
                  <w:pPr>
                    <w:pStyle w:val="184"/>
                    <w:rPr>
                      <w:rFonts w:hint="default" w:eastAsia="宋体"/>
                      <w:color w:val="000000"/>
                      <w:lang w:val="en-US" w:eastAsia="zh-CN"/>
                    </w:rPr>
                  </w:pPr>
                  <w:r>
                    <w:rPr>
                      <w:rFonts w:hint="eastAsia"/>
                      <w:color w:val="000000"/>
                      <w:lang w:val="en-US" w:eastAsia="zh-CN"/>
                    </w:rPr>
                    <w:t>0.64</w:t>
                  </w:r>
                </w:p>
              </w:tc>
              <w:tc>
                <w:tcPr>
                  <w:tcW w:w="709" w:type="dxa"/>
                  <w:noWrap w:val="0"/>
                  <w:vAlign w:val="center"/>
                </w:tcPr>
                <w:p>
                  <w:pPr>
                    <w:pStyle w:val="184"/>
                    <w:rPr>
                      <w:rFonts w:hint="eastAsia"/>
                      <w:color w:val="000000"/>
                    </w:rPr>
                  </w:pPr>
                  <w:r>
                    <w:rPr>
                      <w:rFonts w:hint="eastAsia"/>
                      <w:color w:val="000000"/>
                    </w:rPr>
                    <w:t>达标</w:t>
                  </w:r>
                </w:p>
              </w:tc>
              <w:tc>
                <w:tcPr>
                  <w:tcW w:w="709" w:type="dxa"/>
                  <w:noWrap w:val="0"/>
                  <w:vAlign w:val="center"/>
                </w:tcPr>
                <w:p>
                  <w:pPr>
                    <w:pStyle w:val="184"/>
                    <w:rPr>
                      <w:rFonts w:hint="eastAsia"/>
                      <w:color w:val="000000"/>
                    </w:rPr>
                  </w:pPr>
                  <w:r>
                    <w:rPr>
                      <w:rFonts w:hint="eastAsia"/>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82" w:type="dxa"/>
                  <w:noWrap w:val="0"/>
                  <w:vAlign w:val="center"/>
                </w:tcPr>
                <w:p>
                  <w:pPr>
                    <w:pStyle w:val="184"/>
                    <w:rPr>
                      <w:rFonts w:hint="eastAsia" w:eastAsia="宋体"/>
                      <w:color w:val="000000"/>
                      <w:lang w:val="en-US" w:eastAsia="zh-CN"/>
                    </w:rPr>
                  </w:pPr>
                  <w:r>
                    <w:rPr>
                      <w:rFonts w:hint="eastAsia"/>
                      <w:color w:val="000000"/>
                      <w:lang w:val="en-US" w:eastAsia="zh-CN"/>
                    </w:rPr>
                    <w:t>4</w:t>
                  </w:r>
                </w:p>
              </w:tc>
              <w:tc>
                <w:tcPr>
                  <w:tcW w:w="992" w:type="dxa"/>
                  <w:noWrap w:val="0"/>
                  <w:vAlign w:val="center"/>
                </w:tcPr>
                <w:p>
                  <w:pPr>
                    <w:jc w:val="center"/>
                    <w:rPr>
                      <w:rFonts w:hint="eastAsia" w:ascii="Calibri" w:hAnsi="Calibri" w:eastAsia="宋体"/>
                      <w:bCs/>
                      <w:color w:val="000000"/>
                      <w:szCs w:val="21"/>
                      <w:lang w:eastAsia="zh-CN"/>
                    </w:rPr>
                  </w:pPr>
                  <w:r>
                    <w:rPr>
                      <w:rFonts w:hint="eastAsia" w:ascii="Calibri" w:hAnsi="Calibri"/>
                      <w:bCs/>
                      <w:color w:val="000000"/>
                      <w:szCs w:val="21"/>
                      <w:lang w:eastAsia="zh-CN"/>
                    </w:rPr>
                    <w:t>西面住户</w:t>
                  </w:r>
                </w:p>
              </w:tc>
              <w:tc>
                <w:tcPr>
                  <w:tcW w:w="457" w:type="dxa"/>
                  <w:noWrap w:val="0"/>
                  <w:vAlign w:val="center"/>
                </w:tcPr>
                <w:p>
                  <w:pPr>
                    <w:jc w:val="center"/>
                    <w:rPr>
                      <w:rFonts w:hint="eastAsia"/>
                      <w:color w:val="000000"/>
                    </w:rPr>
                  </w:pPr>
                  <w:r>
                    <w:rPr>
                      <w:rFonts w:hint="eastAsia"/>
                      <w:kern w:val="21"/>
                      <w:szCs w:val="21"/>
                    </w:rPr>
                    <w:t>53</w:t>
                  </w:r>
                </w:p>
              </w:tc>
              <w:tc>
                <w:tcPr>
                  <w:tcW w:w="458" w:type="dxa"/>
                  <w:noWrap w:val="0"/>
                  <w:vAlign w:val="center"/>
                </w:tcPr>
                <w:p>
                  <w:pPr>
                    <w:jc w:val="center"/>
                    <w:rPr>
                      <w:rFonts w:hint="eastAsia"/>
                      <w:color w:val="000000"/>
                    </w:rPr>
                  </w:pPr>
                  <w:r>
                    <w:rPr>
                      <w:rFonts w:hint="eastAsia"/>
                      <w:kern w:val="21"/>
                      <w:szCs w:val="21"/>
                    </w:rPr>
                    <w:t>44</w:t>
                  </w:r>
                </w:p>
              </w:tc>
              <w:tc>
                <w:tcPr>
                  <w:tcW w:w="496" w:type="dxa"/>
                  <w:noWrap w:val="0"/>
                  <w:vAlign w:val="center"/>
                </w:tcPr>
                <w:p>
                  <w:pPr>
                    <w:pStyle w:val="184"/>
                    <w:rPr>
                      <w:rFonts w:hint="eastAsia"/>
                      <w:color w:val="000000"/>
                    </w:rPr>
                  </w:pPr>
                  <w:r>
                    <w:rPr>
                      <w:rFonts w:hint="eastAsia"/>
                      <w:color w:val="000000"/>
                      <w:lang w:val="en-US" w:eastAsia="zh-CN"/>
                    </w:rPr>
                    <w:t>60</w:t>
                  </w:r>
                </w:p>
              </w:tc>
              <w:tc>
                <w:tcPr>
                  <w:tcW w:w="497" w:type="dxa"/>
                  <w:noWrap w:val="0"/>
                  <w:vAlign w:val="center"/>
                </w:tcPr>
                <w:p>
                  <w:pPr>
                    <w:pStyle w:val="184"/>
                    <w:rPr>
                      <w:rFonts w:hint="eastAsia"/>
                      <w:color w:val="000000"/>
                    </w:rPr>
                  </w:pPr>
                  <w:r>
                    <w:rPr>
                      <w:rFonts w:hint="eastAsia"/>
                      <w:color w:val="000000"/>
                      <w:lang w:val="en-US" w:eastAsia="zh-CN"/>
                    </w:rPr>
                    <w:t>50</w:t>
                  </w:r>
                </w:p>
              </w:tc>
              <w:tc>
                <w:tcPr>
                  <w:tcW w:w="496" w:type="dxa"/>
                  <w:noWrap w:val="0"/>
                  <w:vAlign w:val="center"/>
                </w:tcPr>
                <w:p>
                  <w:pPr>
                    <w:pStyle w:val="184"/>
                    <w:rPr>
                      <w:rFonts w:hint="default" w:eastAsia="宋体"/>
                      <w:color w:val="000000"/>
                      <w:lang w:val="en-US" w:eastAsia="zh-CN"/>
                    </w:rPr>
                  </w:pPr>
                  <w:r>
                    <w:rPr>
                      <w:rFonts w:hint="eastAsia"/>
                      <w:color w:val="000000"/>
                      <w:lang w:val="en-US" w:eastAsia="zh-CN"/>
                    </w:rPr>
                    <w:t>34</w:t>
                  </w:r>
                </w:p>
              </w:tc>
              <w:tc>
                <w:tcPr>
                  <w:tcW w:w="496" w:type="dxa"/>
                  <w:noWrap w:val="0"/>
                  <w:vAlign w:val="center"/>
                </w:tcPr>
                <w:p>
                  <w:pPr>
                    <w:pStyle w:val="184"/>
                    <w:rPr>
                      <w:rFonts w:hint="eastAsia" w:eastAsia="宋体"/>
                      <w:color w:val="000000"/>
                      <w:kern w:val="0"/>
                      <w:sz w:val="21"/>
                      <w:szCs w:val="21"/>
                      <w:lang w:val="en-US" w:eastAsia="zh-CN" w:bidi="ar-SA"/>
                    </w:rPr>
                  </w:pPr>
                  <w:r>
                    <w:rPr>
                      <w:rFonts w:hint="eastAsia"/>
                      <w:color w:val="000000"/>
                      <w:lang w:val="en-US" w:eastAsia="zh-CN"/>
                    </w:rPr>
                    <w:t>34</w:t>
                  </w:r>
                </w:p>
              </w:tc>
              <w:tc>
                <w:tcPr>
                  <w:tcW w:w="496" w:type="dxa"/>
                  <w:noWrap w:val="0"/>
                  <w:vAlign w:val="center"/>
                </w:tcPr>
                <w:p>
                  <w:pPr>
                    <w:pStyle w:val="184"/>
                    <w:rPr>
                      <w:rFonts w:hint="default" w:eastAsia="宋体"/>
                      <w:color w:val="000000"/>
                      <w:lang w:val="en-US" w:eastAsia="zh-CN"/>
                    </w:rPr>
                  </w:pPr>
                  <w:r>
                    <w:rPr>
                      <w:rFonts w:hint="eastAsia"/>
                      <w:color w:val="000000"/>
                      <w:lang w:val="en-US" w:eastAsia="zh-CN"/>
                    </w:rPr>
                    <w:t>53.05</w:t>
                  </w:r>
                </w:p>
              </w:tc>
              <w:tc>
                <w:tcPr>
                  <w:tcW w:w="496" w:type="dxa"/>
                  <w:noWrap w:val="0"/>
                  <w:vAlign w:val="center"/>
                </w:tcPr>
                <w:p>
                  <w:pPr>
                    <w:pStyle w:val="184"/>
                    <w:rPr>
                      <w:rFonts w:hint="default" w:eastAsia="宋体"/>
                      <w:color w:val="000000"/>
                      <w:lang w:val="en-US" w:eastAsia="zh-CN"/>
                    </w:rPr>
                  </w:pPr>
                  <w:r>
                    <w:rPr>
                      <w:rFonts w:hint="eastAsia"/>
                      <w:color w:val="000000"/>
                      <w:lang w:val="en-US" w:eastAsia="zh-CN"/>
                    </w:rPr>
                    <w:t>44.41</w:t>
                  </w:r>
                </w:p>
              </w:tc>
              <w:tc>
                <w:tcPr>
                  <w:tcW w:w="603" w:type="dxa"/>
                  <w:noWrap w:val="0"/>
                  <w:vAlign w:val="center"/>
                </w:tcPr>
                <w:p>
                  <w:pPr>
                    <w:pStyle w:val="184"/>
                    <w:rPr>
                      <w:rFonts w:hint="default" w:eastAsia="宋体"/>
                      <w:color w:val="000000"/>
                      <w:lang w:val="en-US" w:eastAsia="zh-CN"/>
                    </w:rPr>
                  </w:pPr>
                  <w:r>
                    <w:rPr>
                      <w:rFonts w:hint="eastAsia"/>
                      <w:color w:val="000000"/>
                      <w:lang w:val="en-US" w:eastAsia="zh-CN"/>
                    </w:rPr>
                    <w:t>0.05</w:t>
                  </w:r>
                </w:p>
              </w:tc>
              <w:tc>
                <w:tcPr>
                  <w:tcW w:w="604" w:type="dxa"/>
                  <w:noWrap w:val="0"/>
                  <w:vAlign w:val="center"/>
                </w:tcPr>
                <w:p>
                  <w:pPr>
                    <w:pStyle w:val="184"/>
                    <w:rPr>
                      <w:rFonts w:hint="default" w:eastAsia="宋体"/>
                      <w:color w:val="000000"/>
                      <w:lang w:val="en-US" w:eastAsia="zh-CN"/>
                    </w:rPr>
                  </w:pPr>
                  <w:r>
                    <w:rPr>
                      <w:rFonts w:hint="eastAsia"/>
                      <w:color w:val="000000"/>
                      <w:lang w:val="en-US" w:eastAsia="zh-CN"/>
                    </w:rPr>
                    <w:t>0.41</w:t>
                  </w:r>
                </w:p>
              </w:tc>
              <w:tc>
                <w:tcPr>
                  <w:tcW w:w="709" w:type="dxa"/>
                  <w:noWrap w:val="0"/>
                  <w:vAlign w:val="center"/>
                </w:tcPr>
                <w:p>
                  <w:pPr>
                    <w:pStyle w:val="184"/>
                    <w:rPr>
                      <w:rFonts w:hint="eastAsia"/>
                      <w:color w:val="000000"/>
                    </w:rPr>
                  </w:pPr>
                  <w:r>
                    <w:rPr>
                      <w:rFonts w:hint="eastAsia"/>
                      <w:color w:val="000000"/>
                    </w:rPr>
                    <w:t>达标</w:t>
                  </w:r>
                </w:p>
              </w:tc>
              <w:tc>
                <w:tcPr>
                  <w:tcW w:w="709" w:type="dxa"/>
                  <w:noWrap w:val="0"/>
                  <w:vAlign w:val="center"/>
                </w:tcPr>
                <w:p>
                  <w:pPr>
                    <w:pStyle w:val="184"/>
                    <w:rPr>
                      <w:rFonts w:hint="eastAsia"/>
                      <w:color w:val="000000"/>
                    </w:rPr>
                  </w:pPr>
                  <w:r>
                    <w:rPr>
                      <w:rFonts w:hint="eastAsia"/>
                      <w:color w:val="000000"/>
                    </w:rPr>
                    <w:t>达标</w:t>
                  </w:r>
                </w:p>
              </w:tc>
            </w:tr>
          </w:tbl>
          <w:p>
            <w:pPr>
              <w:spacing w:line="360" w:lineRule="auto"/>
              <w:ind w:firstLine="480"/>
              <w:rPr>
                <w:rFonts w:hint="eastAsia" w:ascii="Times New Roman" w:hAnsi="Times New Roman" w:eastAsia="宋体" w:cs="Times New Roman"/>
                <w:b/>
                <w:bCs/>
                <w:color w:val="000000"/>
                <w:sz w:val="24"/>
              </w:rPr>
            </w:pPr>
            <w:r>
              <w:rPr>
                <w:rFonts w:hint="eastAsia" w:ascii="Times New Roman" w:hAnsi="Times New Roman" w:eastAsia="宋体" w:cs="Times New Roman"/>
                <w:b/>
                <w:bCs/>
                <w:color w:val="000000"/>
                <w:sz w:val="24"/>
              </w:rPr>
              <w:t>③噪声影响评价结论</w:t>
            </w:r>
          </w:p>
          <w:p>
            <w:pPr>
              <w:spacing w:line="360" w:lineRule="auto"/>
              <w:ind w:firstLine="480"/>
              <w:rPr>
                <w:rFonts w:hint="eastAsia"/>
                <w:sz w:val="24"/>
              </w:rPr>
            </w:pPr>
            <w:r>
              <w:rPr>
                <w:rFonts w:hint="eastAsia"/>
                <w:color w:val="000000"/>
                <w:sz w:val="24"/>
              </w:rPr>
              <w:t>由上表可看出，项目运营期</w:t>
            </w:r>
            <w:r>
              <w:rPr>
                <w:rFonts w:hint="eastAsia"/>
                <w:color w:val="000000"/>
                <w:sz w:val="24"/>
                <w:lang w:eastAsia="zh-CN"/>
              </w:rPr>
              <w:t>院</w:t>
            </w:r>
            <w:r>
              <w:rPr>
                <w:rFonts w:hint="eastAsia"/>
                <w:color w:val="000000"/>
                <w:sz w:val="24"/>
              </w:rPr>
              <w:t>区四周昼间噪声满足《工业企业厂界环境噪声排放标准》（GB12348-2008）中2类标准。本项目为医院，是需要保持安静的场所，一般情况下不会出现吵闹声，因此，院方只要严格遵守医院的规章制度，保持安静，出现突情况及时制止，人流吵杂声不会对周围声环境和敏感点产生明显影响。</w:t>
            </w:r>
          </w:p>
          <w:p>
            <w:pPr>
              <w:autoSpaceDE w:val="0"/>
              <w:autoSpaceDN w:val="0"/>
              <w:spacing w:line="360" w:lineRule="auto"/>
              <w:ind w:firstLine="480" w:firstLineChars="200"/>
              <w:rPr>
                <w:rFonts w:hint="eastAsia"/>
                <w:color w:val="000000"/>
                <w:sz w:val="24"/>
              </w:rPr>
            </w:pPr>
            <w:r>
              <w:rPr>
                <w:rFonts w:hint="eastAsia"/>
                <w:color w:val="000000"/>
                <w:sz w:val="24"/>
              </w:rPr>
              <w:t>综上，项目拟采取的噪声防治措施能实现达标排放。</w:t>
            </w:r>
          </w:p>
          <w:p>
            <w:pPr>
              <w:autoSpaceDE w:val="0"/>
              <w:autoSpaceDN w:val="0"/>
              <w:spacing w:line="360" w:lineRule="auto"/>
              <w:ind w:firstLine="482" w:firstLineChars="200"/>
              <w:rPr>
                <w:rFonts w:hint="eastAsia"/>
                <w:b/>
                <w:color w:val="000000"/>
                <w:sz w:val="24"/>
              </w:rPr>
            </w:pPr>
            <w:r>
              <w:rPr>
                <w:rFonts w:hint="eastAsia"/>
                <w:b/>
                <w:color w:val="000000"/>
                <w:sz w:val="24"/>
              </w:rPr>
              <w:t>4、环境监测计划</w:t>
            </w:r>
          </w:p>
          <w:p>
            <w:pPr>
              <w:autoSpaceDE w:val="0"/>
              <w:autoSpaceDN w:val="0"/>
              <w:adjustRightInd w:val="0"/>
              <w:snapToGrid w:val="0"/>
              <w:spacing w:line="360" w:lineRule="auto"/>
              <w:ind w:firstLine="440" w:firstLineChars="200"/>
              <w:jc w:val="left"/>
              <w:rPr>
                <w:rFonts w:hint="eastAsia"/>
                <w:color w:val="000000"/>
                <w:kern w:val="0"/>
                <w:sz w:val="24"/>
              </w:rPr>
            </w:pPr>
            <w:r>
              <w:rPr>
                <w:rFonts w:hint="eastAsia" w:ascii="宋体" w:hAnsi="宋体" w:cs="宋体"/>
                <w:bCs/>
                <w:color w:val="000000"/>
                <w:spacing w:val="-10"/>
                <w:kern w:val="0"/>
                <w:sz w:val="24"/>
              </w:rPr>
              <w:t>本项目为精神病医院床位扩建项目，</w:t>
            </w:r>
            <w:r>
              <w:rPr>
                <w:rFonts w:hint="eastAsia"/>
                <w:color w:val="000000"/>
                <w:kern w:val="0"/>
                <w:sz w:val="24"/>
              </w:rPr>
              <w:t>根据《固定污染源排污许可分类管理名录》（2019版），本项目为简化管理。根据《排污单位自行监测技术指南 总则》（HJ819-2017），项目</w:t>
            </w:r>
            <w:r>
              <w:rPr>
                <w:rFonts w:hint="eastAsia"/>
                <w:color w:val="000000"/>
                <w:kern w:val="0"/>
                <w:sz w:val="24"/>
                <w:lang w:eastAsia="zh-CN"/>
              </w:rPr>
              <w:t>噪声</w:t>
            </w:r>
            <w:r>
              <w:rPr>
                <w:rFonts w:hint="eastAsia"/>
                <w:color w:val="000000"/>
                <w:kern w:val="0"/>
                <w:sz w:val="24"/>
              </w:rPr>
              <w:t>监测计划如下。</w:t>
            </w:r>
          </w:p>
          <w:p>
            <w:pPr>
              <w:tabs>
                <w:tab w:val="right" w:pos="8306"/>
              </w:tabs>
              <w:autoSpaceDE w:val="0"/>
              <w:autoSpaceDN w:val="0"/>
              <w:spacing w:line="240" w:lineRule="auto"/>
              <w:jc w:val="center"/>
              <w:rPr>
                <w:b/>
                <w:bCs/>
                <w:color w:val="000000"/>
                <w:szCs w:val="21"/>
              </w:rPr>
            </w:pPr>
            <w:r>
              <w:rPr>
                <w:b/>
                <w:bCs/>
                <w:color w:val="000000"/>
                <w:szCs w:val="21"/>
              </w:rPr>
              <w:t>表</w:t>
            </w:r>
            <w:r>
              <w:rPr>
                <w:rFonts w:hint="eastAsia"/>
                <w:b/>
                <w:bCs/>
                <w:color w:val="000000"/>
                <w:szCs w:val="21"/>
              </w:rPr>
              <w:t>4</w:t>
            </w:r>
            <w:r>
              <w:rPr>
                <w:b/>
                <w:bCs/>
                <w:color w:val="000000"/>
                <w:szCs w:val="21"/>
              </w:rPr>
              <w:t>-</w:t>
            </w:r>
            <w:r>
              <w:rPr>
                <w:rFonts w:hint="eastAsia"/>
                <w:b/>
                <w:bCs/>
                <w:color w:val="000000"/>
                <w:szCs w:val="21"/>
              </w:rPr>
              <w:t>1</w:t>
            </w:r>
            <w:r>
              <w:rPr>
                <w:rFonts w:hint="eastAsia"/>
                <w:b/>
                <w:bCs/>
                <w:color w:val="000000"/>
                <w:szCs w:val="21"/>
                <w:lang w:val="en-US" w:eastAsia="zh-CN"/>
              </w:rPr>
              <w:t>7</w:t>
            </w:r>
            <w:r>
              <w:rPr>
                <w:rFonts w:hint="eastAsia"/>
                <w:b/>
                <w:bCs/>
                <w:color w:val="000000"/>
                <w:szCs w:val="21"/>
              </w:rPr>
              <w:t xml:space="preserve"> </w:t>
            </w:r>
            <w:r>
              <w:rPr>
                <w:b/>
                <w:bCs/>
                <w:color w:val="000000"/>
                <w:szCs w:val="21"/>
              </w:rPr>
              <w:t>项目监测计划表</w:t>
            </w:r>
          </w:p>
          <w:tbl>
            <w:tblPr>
              <w:tblStyle w:val="41"/>
              <w:tblW w:w="8197" w:type="dxa"/>
              <w:jc w:val="center"/>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Layout w:type="fixed"/>
              <w:tblCellMar>
                <w:top w:w="0" w:type="dxa"/>
                <w:left w:w="108" w:type="dxa"/>
                <w:bottom w:w="0" w:type="dxa"/>
                <w:right w:w="108" w:type="dxa"/>
              </w:tblCellMar>
            </w:tblPr>
            <w:tblGrid>
              <w:gridCol w:w="1029"/>
              <w:gridCol w:w="921"/>
              <w:gridCol w:w="1299"/>
              <w:gridCol w:w="1417"/>
              <w:gridCol w:w="1272"/>
              <w:gridCol w:w="2259"/>
            </w:tblGrid>
            <w:tr>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108" w:type="dxa"/>
                  <w:bottom w:w="0" w:type="dxa"/>
                  <w:right w:w="108" w:type="dxa"/>
                </w:tblCellMar>
              </w:tblPrEx>
              <w:trPr>
                <w:trHeight w:val="551" w:hRule="atLeast"/>
                <w:jc w:val="center"/>
              </w:trPr>
              <w:tc>
                <w:tcPr>
                  <w:tcW w:w="627" w:type="pct"/>
                  <w:noWrap w:val="0"/>
                  <w:vAlign w:val="center"/>
                </w:tcPr>
                <w:p>
                  <w:pPr>
                    <w:autoSpaceDE w:val="0"/>
                    <w:autoSpaceDN w:val="0"/>
                    <w:adjustRightInd w:val="0"/>
                    <w:spacing w:line="240" w:lineRule="auto"/>
                    <w:jc w:val="center"/>
                    <w:rPr>
                      <w:rFonts w:ascii="Calibri" w:hAnsi="Calibri"/>
                      <w:b/>
                      <w:color w:val="000000"/>
                      <w:kern w:val="0"/>
                      <w:szCs w:val="21"/>
                    </w:rPr>
                  </w:pPr>
                  <w:r>
                    <w:rPr>
                      <w:rFonts w:ascii="Calibri" w:hAnsi="Calibri"/>
                      <w:b/>
                      <w:color w:val="000000"/>
                      <w:kern w:val="0"/>
                      <w:szCs w:val="21"/>
                    </w:rPr>
                    <w:t>监测时段</w:t>
                  </w:r>
                </w:p>
              </w:tc>
              <w:tc>
                <w:tcPr>
                  <w:tcW w:w="561" w:type="pct"/>
                  <w:noWrap w:val="0"/>
                  <w:vAlign w:val="center"/>
                </w:tcPr>
                <w:p>
                  <w:pPr>
                    <w:autoSpaceDE w:val="0"/>
                    <w:autoSpaceDN w:val="0"/>
                    <w:adjustRightInd w:val="0"/>
                    <w:spacing w:line="240" w:lineRule="auto"/>
                    <w:jc w:val="center"/>
                    <w:rPr>
                      <w:rFonts w:ascii="Calibri" w:hAnsi="Calibri"/>
                      <w:b/>
                      <w:color w:val="000000"/>
                      <w:kern w:val="0"/>
                      <w:szCs w:val="21"/>
                    </w:rPr>
                  </w:pPr>
                  <w:r>
                    <w:rPr>
                      <w:rFonts w:ascii="Calibri" w:hAnsi="Calibri"/>
                      <w:b/>
                      <w:color w:val="000000"/>
                      <w:kern w:val="0"/>
                      <w:szCs w:val="21"/>
                    </w:rPr>
                    <w:t>监测内容</w:t>
                  </w:r>
                </w:p>
              </w:tc>
              <w:tc>
                <w:tcPr>
                  <w:tcW w:w="792" w:type="pct"/>
                  <w:noWrap w:val="0"/>
                  <w:vAlign w:val="center"/>
                </w:tcPr>
                <w:p>
                  <w:pPr>
                    <w:autoSpaceDE w:val="0"/>
                    <w:autoSpaceDN w:val="0"/>
                    <w:adjustRightInd w:val="0"/>
                    <w:spacing w:line="240" w:lineRule="auto"/>
                    <w:jc w:val="center"/>
                    <w:rPr>
                      <w:rFonts w:hint="eastAsia" w:ascii="Calibri" w:hAnsi="Calibri"/>
                      <w:b/>
                      <w:color w:val="000000"/>
                      <w:kern w:val="0"/>
                      <w:szCs w:val="21"/>
                    </w:rPr>
                  </w:pPr>
                  <w:r>
                    <w:rPr>
                      <w:rFonts w:ascii="Calibri" w:hAnsi="Calibri"/>
                      <w:b/>
                      <w:color w:val="000000"/>
                      <w:kern w:val="0"/>
                      <w:szCs w:val="21"/>
                    </w:rPr>
                    <w:t>监测点</w:t>
                  </w:r>
                  <w:r>
                    <w:rPr>
                      <w:rFonts w:hint="eastAsia" w:ascii="Calibri" w:hAnsi="Calibri"/>
                      <w:b/>
                      <w:color w:val="000000"/>
                      <w:kern w:val="0"/>
                      <w:szCs w:val="21"/>
                    </w:rPr>
                    <w:t>位</w:t>
                  </w:r>
                </w:p>
              </w:tc>
              <w:tc>
                <w:tcPr>
                  <w:tcW w:w="864" w:type="pct"/>
                  <w:noWrap w:val="0"/>
                  <w:vAlign w:val="center"/>
                </w:tcPr>
                <w:p>
                  <w:pPr>
                    <w:autoSpaceDE w:val="0"/>
                    <w:autoSpaceDN w:val="0"/>
                    <w:adjustRightInd w:val="0"/>
                    <w:spacing w:line="240" w:lineRule="auto"/>
                    <w:jc w:val="center"/>
                    <w:rPr>
                      <w:rFonts w:ascii="Calibri" w:hAnsi="Calibri"/>
                      <w:b/>
                      <w:color w:val="000000"/>
                      <w:kern w:val="0"/>
                      <w:szCs w:val="21"/>
                    </w:rPr>
                  </w:pPr>
                  <w:r>
                    <w:rPr>
                      <w:rFonts w:ascii="Calibri" w:hAnsi="Calibri"/>
                      <w:b/>
                      <w:color w:val="000000"/>
                      <w:kern w:val="0"/>
                      <w:szCs w:val="21"/>
                    </w:rPr>
                    <w:t>监测项目</w:t>
                  </w:r>
                </w:p>
              </w:tc>
              <w:tc>
                <w:tcPr>
                  <w:tcW w:w="775" w:type="pct"/>
                  <w:noWrap w:val="0"/>
                  <w:vAlign w:val="center"/>
                </w:tcPr>
                <w:p>
                  <w:pPr>
                    <w:autoSpaceDE w:val="0"/>
                    <w:autoSpaceDN w:val="0"/>
                    <w:adjustRightInd w:val="0"/>
                    <w:spacing w:line="240" w:lineRule="auto"/>
                    <w:jc w:val="center"/>
                    <w:rPr>
                      <w:rFonts w:ascii="Calibri" w:hAnsi="Calibri"/>
                      <w:b/>
                      <w:color w:val="000000"/>
                      <w:kern w:val="0"/>
                      <w:szCs w:val="21"/>
                    </w:rPr>
                  </w:pPr>
                  <w:r>
                    <w:rPr>
                      <w:rFonts w:ascii="Calibri" w:hAnsi="Calibri"/>
                      <w:b/>
                      <w:color w:val="000000"/>
                      <w:kern w:val="0"/>
                      <w:szCs w:val="21"/>
                    </w:rPr>
                    <w:t>监测频率</w:t>
                  </w:r>
                </w:p>
              </w:tc>
              <w:tc>
                <w:tcPr>
                  <w:tcW w:w="1377" w:type="pct"/>
                  <w:noWrap w:val="0"/>
                  <w:vAlign w:val="center"/>
                </w:tcPr>
                <w:p>
                  <w:pPr>
                    <w:autoSpaceDE w:val="0"/>
                    <w:autoSpaceDN w:val="0"/>
                    <w:adjustRightInd w:val="0"/>
                    <w:spacing w:line="240" w:lineRule="auto"/>
                    <w:jc w:val="center"/>
                    <w:rPr>
                      <w:rFonts w:ascii="Calibri" w:hAnsi="Calibri"/>
                      <w:b/>
                      <w:color w:val="000000"/>
                      <w:kern w:val="0"/>
                      <w:szCs w:val="21"/>
                    </w:rPr>
                  </w:pPr>
                  <w:r>
                    <w:rPr>
                      <w:b/>
                      <w:bCs/>
                      <w:szCs w:val="21"/>
                    </w:rPr>
                    <w:t>执行标准</w:t>
                  </w:r>
                </w:p>
              </w:tc>
            </w:tr>
            <w:tr>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108" w:type="dxa"/>
                  <w:bottom w:w="0" w:type="dxa"/>
                  <w:right w:w="108" w:type="dxa"/>
                </w:tblCellMar>
              </w:tblPrEx>
              <w:trPr>
                <w:trHeight w:val="90" w:hRule="atLeast"/>
                <w:jc w:val="center"/>
              </w:trPr>
              <w:tc>
                <w:tcPr>
                  <w:tcW w:w="627" w:type="pct"/>
                  <w:noWrap w:val="0"/>
                  <w:vAlign w:val="center"/>
                </w:tcPr>
                <w:p>
                  <w:pPr>
                    <w:autoSpaceDE w:val="0"/>
                    <w:autoSpaceDN w:val="0"/>
                    <w:adjustRightInd w:val="0"/>
                    <w:spacing w:line="240" w:lineRule="auto"/>
                    <w:jc w:val="center"/>
                    <w:rPr>
                      <w:rFonts w:ascii="Calibri" w:hAnsi="Calibri"/>
                      <w:color w:val="000000"/>
                      <w:kern w:val="0"/>
                      <w:szCs w:val="21"/>
                    </w:rPr>
                  </w:pPr>
                  <w:r>
                    <w:rPr>
                      <w:rFonts w:ascii="Calibri" w:hAnsi="Calibri"/>
                      <w:color w:val="000000"/>
                      <w:kern w:val="0"/>
                      <w:szCs w:val="21"/>
                    </w:rPr>
                    <w:t>运营期</w:t>
                  </w:r>
                </w:p>
              </w:tc>
              <w:tc>
                <w:tcPr>
                  <w:tcW w:w="561" w:type="pct"/>
                  <w:noWrap w:val="0"/>
                  <w:vAlign w:val="center"/>
                </w:tcPr>
                <w:p>
                  <w:pPr>
                    <w:autoSpaceDE w:val="0"/>
                    <w:autoSpaceDN w:val="0"/>
                    <w:adjustRightInd w:val="0"/>
                    <w:spacing w:line="240" w:lineRule="auto"/>
                    <w:jc w:val="center"/>
                    <w:rPr>
                      <w:rFonts w:ascii="Calibri" w:hAnsi="Calibri"/>
                      <w:color w:val="000000"/>
                      <w:kern w:val="0"/>
                      <w:szCs w:val="21"/>
                    </w:rPr>
                  </w:pPr>
                  <w:r>
                    <w:rPr>
                      <w:rFonts w:ascii="Calibri" w:hAnsi="Calibri"/>
                      <w:color w:val="000000"/>
                      <w:kern w:val="0"/>
                      <w:szCs w:val="21"/>
                    </w:rPr>
                    <w:t>噪声</w:t>
                  </w:r>
                </w:p>
              </w:tc>
              <w:tc>
                <w:tcPr>
                  <w:tcW w:w="792" w:type="pct"/>
                  <w:noWrap w:val="0"/>
                  <w:vAlign w:val="center"/>
                </w:tcPr>
                <w:p>
                  <w:pPr>
                    <w:autoSpaceDE w:val="0"/>
                    <w:autoSpaceDN w:val="0"/>
                    <w:adjustRightInd w:val="0"/>
                    <w:spacing w:line="240" w:lineRule="auto"/>
                    <w:jc w:val="center"/>
                    <w:rPr>
                      <w:rFonts w:ascii="Calibri" w:hAnsi="Calibri"/>
                      <w:color w:val="000000"/>
                      <w:kern w:val="0"/>
                      <w:szCs w:val="21"/>
                    </w:rPr>
                  </w:pPr>
                  <w:r>
                    <w:rPr>
                      <w:rFonts w:ascii="Calibri" w:hAnsi="Calibri"/>
                      <w:color w:val="000000"/>
                      <w:kern w:val="0"/>
                      <w:szCs w:val="21"/>
                    </w:rPr>
                    <w:t>项目厂界四周</w:t>
                  </w:r>
                </w:p>
              </w:tc>
              <w:tc>
                <w:tcPr>
                  <w:tcW w:w="864" w:type="pct"/>
                  <w:noWrap w:val="0"/>
                  <w:vAlign w:val="center"/>
                </w:tcPr>
                <w:p>
                  <w:pPr>
                    <w:autoSpaceDE w:val="0"/>
                    <w:autoSpaceDN w:val="0"/>
                    <w:adjustRightInd w:val="0"/>
                    <w:spacing w:line="240" w:lineRule="auto"/>
                    <w:jc w:val="center"/>
                    <w:rPr>
                      <w:rFonts w:ascii="Calibri" w:hAnsi="Calibri"/>
                      <w:color w:val="000000"/>
                      <w:kern w:val="0"/>
                      <w:szCs w:val="21"/>
                    </w:rPr>
                  </w:pPr>
                  <w:r>
                    <w:rPr>
                      <w:rFonts w:ascii="Calibri" w:hAnsi="Calibri"/>
                      <w:color w:val="000000"/>
                      <w:kern w:val="0"/>
                      <w:szCs w:val="21"/>
                    </w:rPr>
                    <w:t>连续等效</w:t>
                  </w:r>
                  <w:r>
                    <w:rPr>
                      <w:rFonts w:ascii="Times New Roman" w:hAnsi="Times New Roman"/>
                      <w:color w:val="000000"/>
                      <w:kern w:val="0"/>
                      <w:szCs w:val="21"/>
                    </w:rPr>
                    <w:t>A</w:t>
                  </w:r>
                  <w:r>
                    <w:rPr>
                      <w:rFonts w:ascii="Calibri" w:hAnsi="Calibri"/>
                      <w:color w:val="000000"/>
                      <w:kern w:val="0"/>
                      <w:szCs w:val="21"/>
                    </w:rPr>
                    <w:t>声级</w:t>
                  </w:r>
                </w:p>
              </w:tc>
              <w:tc>
                <w:tcPr>
                  <w:tcW w:w="775" w:type="pct"/>
                  <w:noWrap w:val="0"/>
                  <w:vAlign w:val="center"/>
                </w:tcPr>
                <w:p>
                  <w:pPr>
                    <w:autoSpaceDE w:val="0"/>
                    <w:autoSpaceDN w:val="0"/>
                    <w:adjustRightInd w:val="0"/>
                    <w:spacing w:line="240" w:lineRule="auto"/>
                    <w:jc w:val="center"/>
                    <w:rPr>
                      <w:rFonts w:ascii="Calibri" w:hAnsi="Calibri"/>
                      <w:color w:val="000000"/>
                      <w:kern w:val="0"/>
                      <w:szCs w:val="21"/>
                    </w:rPr>
                  </w:pPr>
                  <w:r>
                    <w:rPr>
                      <w:rFonts w:hint="default" w:ascii="Times New Roman" w:hAnsi="Times New Roman"/>
                      <w:color w:val="000000"/>
                      <w:kern w:val="0"/>
                      <w:szCs w:val="21"/>
                    </w:rPr>
                    <w:t>1</w:t>
                  </w:r>
                  <w:r>
                    <w:rPr>
                      <w:rFonts w:hint="eastAsia" w:ascii="Calibri" w:hAnsi="Calibri"/>
                      <w:color w:val="000000"/>
                      <w:kern w:val="0"/>
                      <w:szCs w:val="21"/>
                    </w:rPr>
                    <w:t>次/季度</w:t>
                  </w:r>
                </w:p>
              </w:tc>
              <w:tc>
                <w:tcPr>
                  <w:tcW w:w="1377" w:type="pct"/>
                  <w:noWrap w:val="0"/>
                  <w:vAlign w:val="center"/>
                </w:tcPr>
                <w:p>
                  <w:pPr>
                    <w:spacing w:line="320" w:lineRule="atLeast"/>
                    <w:ind w:left="-96" w:leftChars="-40"/>
                    <w:jc w:val="center"/>
                    <w:rPr>
                      <w:kern w:val="2"/>
                      <w:sz w:val="21"/>
                      <w:szCs w:val="21"/>
                      <w:lang w:val="en-US" w:eastAsia="zh-CN" w:bidi="ar-SA"/>
                    </w:rPr>
                  </w:pPr>
                  <w:r>
                    <w:rPr>
                      <w:szCs w:val="21"/>
                    </w:rPr>
                    <w:t>《工业企业厂界环境噪声排放标准》（GB12348-2008）2类</w:t>
                  </w:r>
                </w:p>
              </w:tc>
            </w:tr>
          </w:tbl>
          <w:p>
            <w:pPr>
              <w:numPr>
                <w:ilvl w:val="0"/>
                <w:numId w:val="9"/>
              </w:numPr>
              <w:spacing w:line="360" w:lineRule="auto"/>
              <w:rPr>
                <w:rFonts w:hint="eastAsia"/>
                <w:b/>
                <w:sz w:val="24"/>
                <w:lang w:eastAsia="zh-CN"/>
              </w:rPr>
            </w:pPr>
            <w:r>
              <w:rPr>
                <w:rFonts w:hint="eastAsia"/>
                <w:b/>
                <w:sz w:val="24"/>
              </w:rPr>
              <w:t>固</w:t>
            </w:r>
            <w:r>
              <w:rPr>
                <w:rFonts w:hint="eastAsia"/>
                <w:b/>
                <w:sz w:val="24"/>
                <w:lang w:eastAsia="zh-CN"/>
              </w:rPr>
              <w:t>体废弃物</w:t>
            </w:r>
          </w:p>
          <w:p>
            <w:pPr>
              <w:autoSpaceDE w:val="0"/>
              <w:autoSpaceDN w:val="0"/>
              <w:adjustRightInd w:val="0"/>
              <w:spacing w:line="360" w:lineRule="auto"/>
              <w:ind w:firstLine="480" w:firstLineChars="200"/>
              <w:rPr>
                <w:rFonts w:hint="eastAsia"/>
                <w:sz w:val="24"/>
              </w:rPr>
            </w:pPr>
            <w:r>
              <w:rPr>
                <w:rFonts w:hint="eastAsia"/>
                <w:sz w:val="24"/>
              </w:rPr>
              <w:t>本项目运营期产生的固废主要包括一般固废和危险废物两类，其中一般固废为生活垃圾；危险废物主要包括医疗废物和污水处理站产生的污泥。</w:t>
            </w:r>
          </w:p>
          <w:p>
            <w:pPr>
              <w:autoSpaceDE w:val="0"/>
              <w:autoSpaceDN w:val="0"/>
              <w:adjustRightInd w:val="0"/>
              <w:spacing w:line="360" w:lineRule="auto"/>
              <w:ind w:firstLine="482" w:firstLineChars="200"/>
              <w:rPr>
                <w:rFonts w:hint="eastAsia" w:hAnsi="宋体"/>
                <w:b/>
                <w:kern w:val="0"/>
                <w:sz w:val="24"/>
              </w:rPr>
            </w:pPr>
            <w:r>
              <w:rPr>
                <w:rFonts w:hint="eastAsia" w:hAnsi="宋体"/>
                <w:b/>
                <w:kern w:val="0"/>
                <w:sz w:val="24"/>
              </w:rPr>
              <w:t>1、生活垃圾</w:t>
            </w:r>
          </w:p>
          <w:p>
            <w:pPr>
              <w:pStyle w:val="72"/>
              <w:ind w:firstLine="480"/>
              <w:rPr>
                <w:rFonts w:hint="eastAsia"/>
              </w:rPr>
            </w:pPr>
            <w:r>
              <w:rPr>
                <w:rFonts w:hint="eastAsia"/>
              </w:rPr>
              <w:t>项目运营期产生的一般固废为生活垃圾。项目</w:t>
            </w:r>
            <w:r>
              <w:rPr>
                <w:rFonts w:hint="eastAsia"/>
                <w:lang w:eastAsia="zh-CN"/>
              </w:rPr>
              <w:t>建成后</w:t>
            </w:r>
            <w:r>
              <w:rPr>
                <w:rFonts w:hint="eastAsia"/>
              </w:rPr>
              <w:t>运营期满负荷运行为2</w:t>
            </w:r>
            <w:r>
              <w:rPr>
                <w:rFonts w:hint="eastAsia"/>
                <w:lang w:val="en-US" w:eastAsia="zh-CN"/>
              </w:rPr>
              <w:t>62</w:t>
            </w:r>
            <w:r>
              <w:rPr>
                <w:rFonts w:hint="eastAsia"/>
              </w:rPr>
              <w:t>人，按1.0kg/人·d计，产生量约为</w:t>
            </w:r>
            <w:r>
              <w:rPr>
                <w:rFonts w:hint="eastAsia"/>
                <w:lang w:val="en-US" w:eastAsia="zh-CN"/>
              </w:rPr>
              <w:t>95.63</w:t>
            </w:r>
            <w:r>
              <w:rPr>
                <w:rFonts w:hint="eastAsia"/>
              </w:rPr>
              <w:t>t/a。生活垃圾经集中收集后，由环卫部门定时清运、处理。</w:t>
            </w:r>
          </w:p>
          <w:p>
            <w:pPr>
              <w:pStyle w:val="72"/>
              <w:ind w:firstLine="482"/>
              <w:rPr>
                <w:rFonts w:hint="eastAsia"/>
                <w:b/>
                <w:bCs/>
              </w:rPr>
            </w:pPr>
            <w:r>
              <w:rPr>
                <w:rFonts w:hint="eastAsia"/>
                <w:b/>
                <w:bCs/>
              </w:rPr>
              <w:t>2、污水处理站污泥</w:t>
            </w:r>
          </w:p>
          <w:p>
            <w:pPr>
              <w:pStyle w:val="72"/>
              <w:ind w:firstLine="480"/>
              <w:rPr>
                <w:rFonts w:hint="eastAsia"/>
              </w:rPr>
            </w:pPr>
            <w:r>
              <w:rPr>
                <w:rFonts w:hint="eastAsia"/>
              </w:rPr>
              <w:t>在医院污水处理过程中，大量悬浮在水中的有机、无机污染物和致病菌等沉淀分离出来形成污泥，主要来源于格栅渣及初沉池。根据《国家危险废物名录》（2021年版）属于“采用物理、化学、物理化学或生物方法处理或处置毒性或感染性危险废物过程中产生的废水处理污泥、残渣（液）”，危废类别为“HW49其他废物”，废物代码“772-006-49 ”。</w:t>
            </w:r>
          </w:p>
          <w:p>
            <w:pPr>
              <w:pStyle w:val="72"/>
              <w:ind w:firstLine="480"/>
              <w:rPr>
                <w:rFonts w:hint="eastAsia"/>
              </w:rPr>
            </w:pPr>
            <w:r>
              <w:rPr>
                <w:rFonts w:hint="eastAsia"/>
              </w:rPr>
              <w:t>项目污水处理站按最大处理规模核算污泥产生量。根据污水SS去除率计算，污水处理站污泥产生量约为1.5t/a，经定期清掏，并经预处理后妥善暂存于医疗废物暂存间，定期交由资质单位清运处置。</w:t>
            </w:r>
          </w:p>
          <w:p>
            <w:pPr>
              <w:pStyle w:val="72"/>
              <w:ind w:firstLine="482"/>
              <w:rPr>
                <w:rFonts w:hint="eastAsia"/>
                <w:b/>
                <w:bCs/>
              </w:rPr>
            </w:pPr>
            <w:r>
              <w:rPr>
                <w:rFonts w:hint="eastAsia"/>
                <w:b/>
                <w:bCs/>
              </w:rPr>
              <w:t>1） 污水处理站污泥预处理措施：</w:t>
            </w:r>
          </w:p>
          <w:p>
            <w:pPr>
              <w:pStyle w:val="72"/>
              <w:ind w:firstLine="480"/>
              <w:rPr>
                <w:rFonts w:hint="eastAsia"/>
              </w:rPr>
            </w:pPr>
            <w:r>
              <w:rPr>
                <w:rFonts w:hint="eastAsia"/>
              </w:rPr>
              <w:t>由于医院污水处理站所产生的的污泥成分较复杂，从环境保护的角度出发，必须对污泥加强管理，先应经过无害化处理再外运至有医疗固体废弃物处理经营许可证的单位进行处置。</w:t>
            </w:r>
          </w:p>
          <w:p>
            <w:pPr>
              <w:pStyle w:val="72"/>
              <w:ind w:firstLine="480"/>
              <w:rPr>
                <w:rFonts w:hint="eastAsia"/>
              </w:rPr>
            </w:pPr>
            <w:r>
              <w:rPr>
                <w:rFonts w:hint="eastAsia"/>
              </w:rPr>
              <w:t>无害化处理措施是将污泥加入漂白粉进行灭菌消毒，经无害化预处理后的污泥送往有医疗固体废弃物处理经营许可证的单位无害化处理。同时，污泥每次清掏前应进行监测，需达到《医疗机构水污染物排放标准》(GB18466－2005)表 4 标准要求（粪大肠菌群数≤100MPN/g，蛔虫卵死亡率＞95%）。</w:t>
            </w:r>
          </w:p>
          <w:p>
            <w:pPr>
              <w:pStyle w:val="72"/>
              <w:ind w:firstLine="482"/>
              <w:rPr>
                <w:b/>
                <w:bCs/>
              </w:rPr>
            </w:pPr>
            <w:r>
              <w:rPr>
                <w:rFonts w:hint="eastAsia"/>
                <w:b/>
                <w:bCs/>
              </w:rPr>
              <w:t>3、医疗废物</w:t>
            </w:r>
          </w:p>
          <w:p>
            <w:pPr>
              <w:pStyle w:val="72"/>
              <w:ind w:firstLine="480"/>
              <w:rPr>
                <w:rFonts w:hint="eastAsia"/>
              </w:rPr>
            </w:pPr>
            <w:r>
              <w:rPr>
                <w:rFonts w:hint="eastAsia"/>
              </w:rPr>
              <w:t>项目医疗废物包括病人产生的医疗垃圾。根据《国家危险废物名录》（2021年版），医疗废物属于危险废物，危废类别为“HW01医疗废物”，废物代码“841-001-01感染性废物 ”、“841-002-01损伤性废物”、“841-003-01病理性废物”、“841-004-01化学性废物”、“841-005-01 药物性废物”。</w:t>
            </w:r>
          </w:p>
          <w:p>
            <w:pPr>
              <w:pStyle w:val="72"/>
              <w:ind w:firstLine="480"/>
            </w:pPr>
            <w:r>
              <w:rPr>
                <w:rFonts w:hint="eastAsia"/>
              </w:rPr>
              <w:t>医疗废物按0.1kg/床▪d，床位按180张计算，则本项目产生的医疗废物共计约6.57t/a。医疗废物应采用专用容器，按照《医疗废物分类目录》分类收集，暂存于废物暂存间，定期交由资质单位清运处置，实行无害化处置。</w:t>
            </w:r>
          </w:p>
          <w:p>
            <w:pPr>
              <w:pStyle w:val="72"/>
              <w:ind w:firstLine="482"/>
              <w:rPr>
                <w:rFonts w:hint="eastAsia"/>
                <w:b/>
                <w:bCs/>
              </w:rPr>
            </w:pPr>
            <w:r>
              <w:rPr>
                <w:rFonts w:hint="eastAsia"/>
                <w:b/>
                <w:bCs/>
              </w:rPr>
              <w:t>1）医疗废物分类、收集、暂存、院内运输、转运等相关要求：</w:t>
            </w:r>
          </w:p>
          <w:p>
            <w:pPr>
              <w:pStyle w:val="72"/>
              <w:ind w:firstLine="480"/>
              <w:rPr>
                <w:rFonts w:hint="eastAsia"/>
              </w:rPr>
            </w:pPr>
            <w:r>
              <w:t>医疗废物在分类、收集、院内运输、暂存</w:t>
            </w:r>
            <w:r>
              <w:rPr>
                <w:rFonts w:hint="eastAsia"/>
              </w:rPr>
              <w:t>、转运</w:t>
            </w:r>
            <w:r>
              <w:t>过程中，应按照《医疗废物管理条例》</w:t>
            </w:r>
            <w:r>
              <w:rPr>
                <w:rFonts w:hint="eastAsia"/>
              </w:rPr>
              <w:t>、</w:t>
            </w:r>
            <w:r>
              <w:t>《医疗废物分类名录》</w:t>
            </w:r>
            <w:r>
              <w:rPr>
                <w:rFonts w:hint="eastAsia"/>
              </w:rPr>
              <w:t>、</w:t>
            </w:r>
            <w:r>
              <w:t>《医疗废物集中处置技术规范》</w:t>
            </w:r>
            <w:r>
              <w:rPr>
                <w:rFonts w:hint="eastAsia"/>
              </w:rPr>
              <w:t>、</w:t>
            </w:r>
            <w:r>
              <w:t>《医疗废物专用包装物、容器标准和警示标识规定》</w:t>
            </w:r>
            <w:r>
              <w:rPr>
                <w:rFonts w:hint="eastAsia"/>
              </w:rPr>
              <w:t>、</w:t>
            </w:r>
            <w:r>
              <w:t>《医疗废物转运车技术要求》等相关规范执行。</w:t>
            </w:r>
          </w:p>
          <w:p>
            <w:pPr>
              <w:pStyle w:val="72"/>
              <w:ind w:firstLine="480"/>
              <w:rPr>
                <w:rFonts w:hint="eastAsia"/>
              </w:rPr>
            </w:pPr>
            <w:r>
              <w:rPr>
                <w:rFonts w:hint="eastAsia"/>
              </w:rPr>
              <w:t>①</w:t>
            </w:r>
            <w:r>
              <w:t>分类</w:t>
            </w:r>
          </w:p>
          <w:p>
            <w:pPr>
              <w:pStyle w:val="72"/>
              <w:ind w:firstLine="480"/>
              <w:rPr>
                <w:rFonts w:hint="eastAsia"/>
              </w:rPr>
            </w:pPr>
            <w:r>
              <w:rPr>
                <w:rFonts w:hint="eastAsia"/>
              </w:rPr>
              <w:t>根据《医疗废物分类目录》的划分要求，本项目其划分类别见表4-1</w:t>
            </w:r>
            <w:r>
              <w:rPr>
                <w:rFonts w:hint="eastAsia"/>
                <w:lang w:val="en-US" w:eastAsia="zh-CN"/>
              </w:rPr>
              <w:t>8</w:t>
            </w:r>
            <w:r>
              <w:rPr>
                <w:rFonts w:hint="eastAsia"/>
              </w:rPr>
              <w:t>。</w:t>
            </w:r>
          </w:p>
          <w:p>
            <w:pPr>
              <w:pStyle w:val="72"/>
              <w:spacing w:line="240" w:lineRule="auto"/>
              <w:ind w:firstLine="422"/>
              <w:jc w:val="center"/>
              <w:rPr>
                <w:rFonts w:hint="eastAsia"/>
                <w:b/>
                <w:bCs/>
                <w:color w:val="000000"/>
                <w:kern w:val="2"/>
                <w:sz w:val="21"/>
                <w:szCs w:val="21"/>
              </w:rPr>
            </w:pPr>
            <w:r>
              <w:rPr>
                <w:rFonts w:hint="eastAsia"/>
                <w:b/>
                <w:bCs/>
                <w:color w:val="000000"/>
                <w:kern w:val="2"/>
                <w:sz w:val="21"/>
                <w:szCs w:val="21"/>
              </w:rPr>
              <w:t>表4-1</w:t>
            </w:r>
            <w:r>
              <w:rPr>
                <w:rFonts w:hint="eastAsia"/>
                <w:b/>
                <w:bCs/>
                <w:color w:val="000000"/>
                <w:kern w:val="2"/>
                <w:sz w:val="21"/>
                <w:szCs w:val="21"/>
                <w:lang w:val="en-US" w:eastAsia="zh-CN"/>
              </w:rPr>
              <w:t>8</w:t>
            </w:r>
            <w:r>
              <w:rPr>
                <w:rFonts w:hint="eastAsia"/>
                <w:b/>
                <w:bCs/>
                <w:color w:val="000000"/>
                <w:kern w:val="2"/>
                <w:sz w:val="21"/>
                <w:szCs w:val="21"/>
              </w:rPr>
              <w:t xml:space="preserve"> 本项目固体废物分类表</w:t>
            </w:r>
          </w:p>
          <w:tbl>
            <w:tblPr>
              <w:tblStyle w:val="41"/>
              <w:tblW w:w="8039"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3"/>
              <w:gridCol w:w="1052"/>
              <w:gridCol w:w="628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1755" w:type="dxa"/>
                  <w:gridSpan w:val="2"/>
                  <w:noWrap w:val="0"/>
                  <w:vAlign w:val="center"/>
                </w:tcPr>
                <w:p>
                  <w:pPr>
                    <w:pStyle w:val="165"/>
                    <w:bidi w:val="0"/>
                  </w:pPr>
                  <w:r>
                    <w:rPr>
                      <w:rFonts w:hint="eastAsia"/>
                    </w:rPr>
                    <w:t>类别</w:t>
                  </w:r>
                </w:p>
              </w:tc>
              <w:tc>
                <w:tcPr>
                  <w:tcW w:w="6284" w:type="dxa"/>
                  <w:noWrap w:val="0"/>
                  <w:vAlign w:val="center"/>
                </w:tcPr>
                <w:p>
                  <w:pPr>
                    <w:pStyle w:val="165"/>
                    <w:bidi w:val="0"/>
                  </w:pPr>
                  <w:r>
                    <w:t>名称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55" w:type="dxa"/>
                  <w:gridSpan w:val="2"/>
                  <w:noWrap w:val="0"/>
                  <w:vAlign w:val="center"/>
                </w:tcPr>
                <w:p>
                  <w:pPr>
                    <w:pStyle w:val="165"/>
                    <w:bidi w:val="0"/>
                  </w:pPr>
                  <w:r>
                    <w:rPr>
                      <w:rFonts w:hint="eastAsia"/>
                    </w:rPr>
                    <w:t>一般性</w:t>
                  </w:r>
                  <w:r>
                    <w:t>固体废物</w:t>
                  </w:r>
                </w:p>
              </w:tc>
              <w:tc>
                <w:tcPr>
                  <w:tcW w:w="6284" w:type="dxa"/>
                  <w:noWrap w:val="0"/>
                  <w:vAlign w:val="top"/>
                </w:tcPr>
                <w:p>
                  <w:pPr>
                    <w:pStyle w:val="165"/>
                    <w:bidi w:val="0"/>
                    <w:jc w:val="both"/>
                    <w:rPr>
                      <w:rFonts w:hint="eastAsia"/>
                    </w:rPr>
                  </w:pPr>
                  <w:r>
                    <w:rPr>
                      <w:rFonts w:hint="eastAsia"/>
                    </w:rPr>
                    <w:t>①普通生活垃圾、废纸、废塑料袋等</w:t>
                  </w:r>
                </w:p>
                <w:p>
                  <w:pPr>
                    <w:pStyle w:val="165"/>
                    <w:bidi w:val="0"/>
                    <w:jc w:val="both"/>
                  </w:pPr>
                  <w:r>
                    <w:rPr>
                      <w:rFonts w:hint="eastAsia"/>
                    </w:rPr>
                    <w:t>②无毒无害的医用包装材料，瓶、罐、盒类等遗弃物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3" w:type="dxa"/>
                  <w:vMerge w:val="restart"/>
                  <w:noWrap w:val="0"/>
                  <w:vAlign w:val="center"/>
                </w:tcPr>
                <w:p>
                  <w:pPr>
                    <w:pStyle w:val="165"/>
                    <w:bidi w:val="0"/>
                    <w:rPr>
                      <w:rFonts w:hint="eastAsia"/>
                    </w:rPr>
                  </w:pPr>
                  <w:r>
                    <w:rPr>
                      <w:rFonts w:hint="eastAsia"/>
                    </w:rPr>
                    <w:t>医疗</w:t>
                  </w:r>
                </w:p>
                <w:p>
                  <w:pPr>
                    <w:pStyle w:val="165"/>
                    <w:bidi w:val="0"/>
                    <w:rPr>
                      <w:rFonts w:hint="eastAsia"/>
                    </w:rPr>
                  </w:pPr>
                  <w:r>
                    <w:rPr>
                      <w:rFonts w:hint="eastAsia"/>
                    </w:rPr>
                    <w:t>废物</w:t>
                  </w:r>
                </w:p>
              </w:tc>
              <w:tc>
                <w:tcPr>
                  <w:tcW w:w="1052" w:type="dxa"/>
                  <w:noWrap w:val="0"/>
                  <w:vAlign w:val="center"/>
                </w:tcPr>
                <w:p>
                  <w:pPr>
                    <w:pStyle w:val="165"/>
                    <w:bidi w:val="0"/>
                  </w:pPr>
                  <w:r>
                    <w:t>药物</w:t>
                  </w:r>
                  <w:r>
                    <w:rPr>
                      <w:rFonts w:hint="eastAsia"/>
                    </w:rPr>
                    <w:t>性废</w:t>
                  </w:r>
                  <w:r>
                    <w:t>物</w:t>
                  </w:r>
                </w:p>
              </w:tc>
              <w:tc>
                <w:tcPr>
                  <w:tcW w:w="6284" w:type="dxa"/>
                  <w:noWrap w:val="0"/>
                  <w:vAlign w:val="top"/>
                </w:tcPr>
                <w:p>
                  <w:pPr>
                    <w:pStyle w:val="165"/>
                    <w:bidi w:val="0"/>
                    <w:jc w:val="both"/>
                  </w:pPr>
                  <w:r>
                    <w:rPr>
                      <w:rFonts w:hint="eastAsia"/>
                    </w:rPr>
                    <w:t>过期、</w:t>
                  </w:r>
                  <w:r>
                    <w:t>淘汰</w:t>
                  </w:r>
                  <w:r>
                    <w:rPr>
                      <w:rFonts w:hint="eastAsia"/>
                    </w:rPr>
                    <w:t>、</w:t>
                  </w:r>
                  <w:r>
                    <w:t>变质或者被污染的废弃的药品</w:t>
                  </w:r>
                </w:p>
                <w:p>
                  <w:pPr>
                    <w:pStyle w:val="165"/>
                    <w:bidi w:val="0"/>
                    <w:jc w:val="both"/>
                  </w:pPr>
                  <w:r>
                    <w:rPr>
                      <w:rFonts w:hint="eastAsia"/>
                    </w:rPr>
                    <w:t>①废弃的过氧乙酸、戊二醛等化学消毒剂</w:t>
                  </w:r>
                </w:p>
                <w:p>
                  <w:pPr>
                    <w:pStyle w:val="165"/>
                    <w:bidi w:val="0"/>
                    <w:jc w:val="both"/>
                    <w:rPr>
                      <w:rFonts w:hint="eastAsia"/>
                    </w:rPr>
                  </w:pPr>
                  <w:r>
                    <w:rPr>
                      <w:rFonts w:hint="eastAsia"/>
                    </w:rPr>
                    <w:t>②废弃的细胞毒性药物和遗传毒性药物</w:t>
                  </w:r>
                </w:p>
                <w:p>
                  <w:pPr>
                    <w:pStyle w:val="165"/>
                    <w:bidi w:val="0"/>
                    <w:jc w:val="both"/>
                  </w:pPr>
                  <w:r>
                    <w:rPr>
                      <w:rFonts w:hint="eastAsia"/>
                    </w:rPr>
                    <w:t>③废弃的疫苗、血夜制品等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703" w:type="dxa"/>
                  <w:vMerge w:val="continue"/>
                  <w:noWrap w:val="0"/>
                  <w:vAlign w:val="center"/>
                </w:tcPr>
                <w:p>
                  <w:pPr>
                    <w:pStyle w:val="165"/>
                    <w:bidi w:val="0"/>
                  </w:pPr>
                </w:p>
              </w:tc>
              <w:tc>
                <w:tcPr>
                  <w:tcW w:w="1052" w:type="dxa"/>
                  <w:noWrap w:val="0"/>
                  <w:vAlign w:val="center"/>
                </w:tcPr>
                <w:p>
                  <w:pPr>
                    <w:pStyle w:val="165"/>
                    <w:bidi w:val="0"/>
                  </w:pPr>
                  <w:r>
                    <w:t>化学性废物</w:t>
                  </w:r>
                </w:p>
              </w:tc>
              <w:tc>
                <w:tcPr>
                  <w:tcW w:w="6284" w:type="dxa"/>
                  <w:noWrap w:val="0"/>
                  <w:vAlign w:val="top"/>
                </w:tcPr>
                <w:p>
                  <w:pPr>
                    <w:pStyle w:val="165"/>
                    <w:bidi w:val="0"/>
                    <w:jc w:val="both"/>
                  </w:pPr>
                  <w:r>
                    <w:rPr>
                      <w:rFonts w:hint="eastAsia"/>
                    </w:rPr>
                    <w:t>具有毒性、腐蚀性、易燃易爆性的废弃的化学物品</w:t>
                  </w:r>
                </w:p>
                <w:p>
                  <w:pPr>
                    <w:pStyle w:val="165"/>
                    <w:bidi w:val="0"/>
                    <w:jc w:val="both"/>
                  </w:pPr>
                  <w:r>
                    <w:rPr>
                      <w:rFonts w:hint="eastAsia"/>
                    </w:rPr>
                    <w:t>①废弃的汞血压计、汞温度计</w:t>
                  </w:r>
                </w:p>
                <w:p>
                  <w:pPr>
                    <w:pStyle w:val="165"/>
                    <w:bidi w:val="0"/>
                    <w:jc w:val="both"/>
                  </w:pPr>
                  <w:r>
                    <w:rPr>
                      <w:rFonts w:hint="eastAsia"/>
                    </w:rPr>
                    <w:t>②废水处理站污泥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1484" w:hRule="atLeast"/>
                <w:jc w:val="center"/>
              </w:trPr>
              <w:tc>
                <w:tcPr>
                  <w:tcW w:w="703" w:type="dxa"/>
                  <w:vMerge w:val="continue"/>
                  <w:noWrap w:val="0"/>
                  <w:vAlign w:val="center"/>
                </w:tcPr>
                <w:p>
                  <w:pPr>
                    <w:pStyle w:val="165"/>
                    <w:bidi w:val="0"/>
                  </w:pPr>
                </w:p>
              </w:tc>
              <w:tc>
                <w:tcPr>
                  <w:tcW w:w="1052" w:type="dxa"/>
                  <w:noWrap w:val="0"/>
                  <w:vAlign w:val="center"/>
                </w:tcPr>
                <w:p>
                  <w:pPr>
                    <w:pStyle w:val="165"/>
                    <w:bidi w:val="0"/>
                    <w:rPr>
                      <w:rFonts w:hint="eastAsia"/>
                    </w:rPr>
                  </w:pPr>
                  <w:r>
                    <w:rPr>
                      <w:rFonts w:hint="eastAsia"/>
                    </w:rPr>
                    <w:t>感染性废物</w:t>
                  </w:r>
                </w:p>
              </w:tc>
              <w:tc>
                <w:tcPr>
                  <w:tcW w:w="6284" w:type="dxa"/>
                  <w:noWrap w:val="0"/>
                  <w:vAlign w:val="top"/>
                </w:tcPr>
                <w:p>
                  <w:pPr>
                    <w:pStyle w:val="165"/>
                    <w:bidi w:val="0"/>
                    <w:jc w:val="both"/>
                    <w:rPr>
                      <w:rFonts w:hint="eastAsia"/>
                    </w:rPr>
                  </w:pPr>
                  <w:r>
                    <w:rPr>
                      <w:rFonts w:hint="eastAsia"/>
                    </w:rPr>
                    <w:t>携带病原微生物，具有引发感染性疾病传播危险的医疗废物</w:t>
                  </w:r>
                </w:p>
                <w:p>
                  <w:pPr>
                    <w:pStyle w:val="165"/>
                    <w:bidi w:val="0"/>
                    <w:jc w:val="both"/>
                    <w:rPr>
                      <w:rFonts w:hint="eastAsia"/>
                    </w:rPr>
                  </w:pPr>
                  <w:r>
                    <w:rPr>
                      <w:rFonts w:hint="eastAsia"/>
                    </w:rPr>
                    <w:t>①被病人血夜、体液、排泄物污染的物品</w:t>
                  </w:r>
                </w:p>
                <w:p>
                  <w:pPr>
                    <w:pStyle w:val="165"/>
                    <w:bidi w:val="0"/>
                    <w:jc w:val="both"/>
                    <w:rPr>
                      <w:rFonts w:hint="eastAsia"/>
                    </w:rPr>
                  </w:pPr>
                  <w:r>
                    <w:rPr>
                      <w:rFonts w:hint="eastAsia"/>
                    </w:rPr>
                    <w:t>②传染病病人或疑似传染病病人产生的生活垃圾</w:t>
                  </w:r>
                </w:p>
                <w:p>
                  <w:pPr>
                    <w:pStyle w:val="165"/>
                    <w:bidi w:val="0"/>
                    <w:jc w:val="both"/>
                    <w:rPr>
                      <w:rFonts w:hint="eastAsia"/>
                    </w:rPr>
                  </w:pPr>
                  <w:r>
                    <w:rPr>
                      <w:rFonts w:hint="eastAsia"/>
                    </w:rPr>
                    <w:t>③病原体的培养基、标本和菌种、毒种保存液</w:t>
                  </w:r>
                </w:p>
                <w:p>
                  <w:pPr>
                    <w:pStyle w:val="165"/>
                    <w:bidi w:val="0"/>
                    <w:jc w:val="both"/>
                    <w:rPr>
                      <w:rFonts w:hint="eastAsia"/>
                    </w:rPr>
                  </w:pPr>
                  <w:r>
                    <w:rPr>
                      <w:rFonts w:hint="eastAsia"/>
                    </w:rPr>
                    <w:t>④各自废弃的医学标本</w:t>
                  </w:r>
                </w:p>
                <w:p>
                  <w:pPr>
                    <w:pStyle w:val="165"/>
                    <w:bidi w:val="0"/>
                    <w:jc w:val="both"/>
                    <w:rPr>
                      <w:rFonts w:hint="eastAsia"/>
                    </w:rPr>
                  </w:pPr>
                  <w:r>
                    <w:rPr>
                      <w:rFonts w:hint="eastAsia"/>
                    </w:rPr>
                    <w:t>⑤废弃的血清、血夜</w:t>
                  </w:r>
                </w:p>
                <w:p>
                  <w:pPr>
                    <w:pStyle w:val="165"/>
                    <w:bidi w:val="0"/>
                    <w:jc w:val="both"/>
                    <w:rPr>
                      <w:rFonts w:hint="eastAsia"/>
                    </w:rPr>
                  </w:pPr>
                  <w:r>
                    <w:rPr>
                      <w:rFonts w:hint="eastAsia"/>
                    </w:rPr>
                    <w:t>⑥使用过的一次性医疗用品及医疗器械视为感染性废物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703" w:type="dxa"/>
                  <w:vMerge w:val="continue"/>
                  <w:noWrap w:val="0"/>
                  <w:vAlign w:val="center"/>
                </w:tcPr>
                <w:p>
                  <w:pPr>
                    <w:pStyle w:val="165"/>
                    <w:bidi w:val="0"/>
                  </w:pPr>
                </w:p>
              </w:tc>
              <w:tc>
                <w:tcPr>
                  <w:tcW w:w="1052" w:type="dxa"/>
                  <w:noWrap w:val="0"/>
                  <w:vAlign w:val="center"/>
                </w:tcPr>
                <w:p>
                  <w:pPr>
                    <w:pStyle w:val="165"/>
                    <w:bidi w:val="0"/>
                    <w:rPr>
                      <w:rFonts w:hint="eastAsia"/>
                    </w:rPr>
                  </w:pPr>
                  <w:r>
                    <w:rPr>
                      <w:rFonts w:hint="eastAsia"/>
                    </w:rPr>
                    <w:t>病理性废物</w:t>
                  </w:r>
                </w:p>
              </w:tc>
              <w:tc>
                <w:tcPr>
                  <w:tcW w:w="6284" w:type="dxa"/>
                  <w:noWrap w:val="0"/>
                  <w:vAlign w:val="top"/>
                </w:tcPr>
                <w:p>
                  <w:pPr>
                    <w:pStyle w:val="165"/>
                    <w:bidi w:val="0"/>
                    <w:jc w:val="both"/>
                    <w:rPr>
                      <w:rFonts w:hint="eastAsia"/>
                    </w:rPr>
                  </w:pPr>
                  <w:r>
                    <w:rPr>
                      <w:rFonts w:hint="eastAsia"/>
                    </w:rPr>
                    <w:t>诊断过程中产生的人体废弃物和医学实验动物尸体等</w:t>
                  </w:r>
                </w:p>
                <w:p>
                  <w:pPr>
                    <w:pStyle w:val="165"/>
                    <w:bidi w:val="0"/>
                    <w:jc w:val="both"/>
                    <w:rPr>
                      <w:rFonts w:hint="eastAsia"/>
                    </w:rPr>
                  </w:pPr>
                  <w:r>
                    <w:rPr>
                      <w:rFonts w:hint="eastAsia"/>
                    </w:rPr>
                    <w:t>①手术及其他诊疗过程中产生的废弃人体组织、器官等</w:t>
                  </w:r>
                </w:p>
                <w:p>
                  <w:pPr>
                    <w:pStyle w:val="165"/>
                    <w:bidi w:val="0"/>
                    <w:jc w:val="both"/>
                    <w:rPr>
                      <w:rFonts w:hint="eastAsia"/>
                    </w:rPr>
                  </w:pPr>
                  <w:r>
                    <w:rPr>
                      <w:rFonts w:hint="eastAsia"/>
                    </w:rPr>
                    <w:t>②医学实验动物的尸体、组织</w:t>
                  </w:r>
                </w:p>
                <w:p>
                  <w:pPr>
                    <w:pStyle w:val="165"/>
                    <w:bidi w:val="0"/>
                    <w:jc w:val="both"/>
                    <w:rPr>
                      <w:rFonts w:hint="eastAsia"/>
                    </w:rPr>
                  </w:pPr>
                  <w:r>
                    <w:rPr>
                      <w:rFonts w:hint="eastAsia"/>
                    </w:rPr>
                    <w:t>③病理切片后废弃的人体组织、病理腊块等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5" w:hRule="atLeast"/>
                <w:jc w:val="center"/>
              </w:trPr>
              <w:tc>
                <w:tcPr>
                  <w:tcW w:w="703" w:type="dxa"/>
                  <w:vMerge w:val="continue"/>
                  <w:noWrap w:val="0"/>
                  <w:vAlign w:val="center"/>
                </w:tcPr>
                <w:p>
                  <w:pPr>
                    <w:pStyle w:val="165"/>
                    <w:bidi w:val="0"/>
                  </w:pPr>
                </w:p>
              </w:tc>
              <w:tc>
                <w:tcPr>
                  <w:tcW w:w="1052" w:type="dxa"/>
                  <w:noWrap w:val="0"/>
                  <w:vAlign w:val="center"/>
                </w:tcPr>
                <w:p>
                  <w:pPr>
                    <w:pStyle w:val="165"/>
                    <w:bidi w:val="0"/>
                    <w:rPr>
                      <w:rFonts w:hint="eastAsia"/>
                    </w:rPr>
                  </w:pPr>
                  <w:r>
                    <w:rPr>
                      <w:rFonts w:hint="eastAsia"/>
                    </w:rPr>
                    <w:t>损伤性废物</w:t>
                  </w:r>
                </w:p>
              </w:tc>
              <w:tc>
                <w:tcPr>
                  <w:tcW w:w="6284" w:type="dxa"/>
                  <w:noWrap w:val="0"/>
                  <w:vAlign w:val="top"/>
                </w:tcPr>
                <w:p>
                  <w:pPr>
                    <w:pStyle w:val="165"/>
                    <w:bidi w:val="0"/>
                    <w:jc w:val="both"/>
                    <w:rPr>
                      <w:rFonts w:hint="eastAsia"/>
                    </w:rPr>
                  </w:pPr>
                  <w:r>
                    <w:rPr>
                      <w:rFonts w:hint="eastAsia"/>
                    </w:rPr>
                    <w:t>能刺伤或割伤人体的废弃的医用锐器</w:t>
                  </w:r>
                </w:p>
                <w:p>
                  <w:pPr>
                    <w:pStyle w:val="165"/>
                    <w:bidi w:val="0"/>
                    <w:jc w:val="both"/>
                    <w:rPr>
                      <w:rFonts w:hint="eastAsia"/>
                    </w:rPr>
                  </w:pPr>
                  <w:r>
                    <w:rPr>
                      <w:rFonts w:hint="eastAsia"/>
                    </w:rPr>
                    <w:t>①医用针头、缝合针</w:t>
                  </w:r>
                </w:p>
                <w:p>
                  <w:pPr>
                    <w:pStyle w:val="165"/>
                    <w:bidi w:val="0"/>
                    <w:jc w:val="both"/>
                    <w:rPr>
                      <w:rFonts w:hint="eastAsia"/>
                    </w:rPr>
                  </w:pPr>
                  <w:r>
                    <w:rPr>
                      <w:rFonts w:hint="eastAsia"/>
                    </w:rPr>
                    <w:t>②各类医用锐器</w:t>
                  </w:r>
                </w:p>
                <w:p>
                  <w:pPr>
                    <w:pStyle w:val="165"/>
                    <w:bidi w:val="0"/>
                    <w:jc w:val="both"/>
                    <w:rPr>
                      <w:rFonts w:hint="eastAsia"/>
                    </w:rPr>
                  </w:pPr>
                  <w:r>
                    <w:rPr>
                      <w:rFonts w:hint="eastAsia"/>
                    </w:rPr>
                    <w:t>③载玻片、玻璃试管等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629" w:hRule="atLeast"/>
                <w:jc w:val="center"/>
              </w:trPr>
              <w:tc>
                <w:tcPr>
                  <w:tcW w:w="8039" w:type="dxa"/>
                  <w:gridSpan w:val="3"/>
                  <w:noWrap w:val="0"/>
                  <w:vAlign w:val="center"/>
                </w:tcPr>
                <w:p>
                  <w:pPr>
                    <w:rPr>
                      <w:b/>
                      <w:bCs/>
                      <w:sz w:val="18"/>
                      <w:szCs w:val="21"/>
                    </w:rPr>
                  </w:pPr>
                  <w:r>
                    <w:rPr>
                      <w:b/>
                      <w:bCs/>
                      <w:sz w:val="18"/>
                      <w:szCs w:val="21"/>
                    </w:rPr>
                    <w:t>注</w:t>
                  </w:r>
                  <w:r>
                    <w:rPr>
                      <w:rFonts w:hint="eastAsia"/>
                      <w:b/>
                      <w:bCs/>
                      <w:sz w:val="18"/>
                      <w:szCs w:val="21"/>
                    </w:rPr>
                    <w:t>：①一次性使用卫生用品是指使用一次后即丢弃的，与人体直接或间接接触的，并为达到人体生理卫生或者卫生保健目的而使用的各种日常生活用品。</w:t>
                  </w:r>
                </w:p>
                <w:p>
                  <w:pPr>
                    <w:ind w:firstLine="361" w:firstLineChars="200"/>
                  </w:pPr>
                  <w:r>
                    <w:rPr>
                      <w:rFonts w:hint="eastAsia"/>
                      <w:b/>
                      <w:bCs/>
                      <w:sz w:val="18"/>
                      <w:szCs w:val="21"/>
                    </w:rPr>
                    <w:t>②一次性医疗器械指《医疗器械管理条例》及相关配套文件所规定的用于人体的一次性仪器、设备、器具、材料等物品。</w:t>
                  </w:r>
                </w:p>
              </w:tc>
            </w:tr>
          </w:tbl>
          <w:p>
            <w:pPr>
              <w:pStyle w:val="72"/>
              <w:ind w:firstLine="480"/>
            </w:pPr>
            <w:r>
              <w:t>按照《医疗废物分类名录》，严格区分医疗废物和生活垃圾，生活垃圾进入城市环卫清运系统；医疗废物根据医疗废物的类别，将医疗废物分置于符合《医疗废物专用包装物、容器的标准和警示标识的规定》的包装物或者容器内，并做好以下几点：收集设置三种颜色的污物袋，黑色袋装生活垃圾，黄色袋装医疗废物，红色袋装放射垃圾。要求垃圾袋坚韧耐用，不漏水；并建立严格的污物人袋制度。患者用小型的污物袋；病房诊室、治疗室、化验室等用大型的污物袋。</w:t>
            </w:r>
          </w:p>
          <w:p>
            <w:pPr>
              <w:pStyle w:val="72"/>
              <w:ind w:firstLine="480"/>
            </w:pPr>
            <w:r>
              <w:t>a.在盛装医疗废物前，应当对医疗废物包装物或者容器进行认真检查，确保无破损、渗漏和其它缺陷；</w:t>
            </w:r>
          </w:p>
          <w:p>
            <w:pPr>
              <w:pStyle w:val="72"/>
              <w:ind w:firstLine="480"/>
            </w:pPr>
            <w:r>
              <w:t>b.感染性废物、损伤性废物、药物性废物及化学性废物不能混合收集。少量的药物性废物可以混入感染性废物，但应当在标签上注明；</w:t>
            </w:r>
          </w:p>
          <w:p>
            <w:pPr>
              <w:pStyle w:val="72"/>
              <w:ind w:firstLine="480"/>
            </w:pPr>
            <w:r>
              <w:t>c.废弃的麻醉、精神、放射性、毒性等药品及其相关的废物的管理，依照有关法律、行政法规和国家有关规定、标准执行；</w:t>
            </w:r>
          </w:p>
          <w:p>
            <w:pPr>
              <w:pStyle w:val="72"/>
              <w:ind w:firstLine="480"/>
            </w:pPr>
            <w:r>
              <w:t>d.化学性废物中批量的废化学试剂、废消毒剂应当交由专门机构处置；</w:t>
            </w:r>
          </w:p>
          <w:p>
            <w:pPr>
              <w:pStyle w:val="72"/>
              <w:ind w:firstLine="480"/>
            </w:pPr>
            <w:r>
              <w:t>e.医疗废物中病原体的培养基、标本和菌种、毒种保存液等高危险废物，应当首先在产生地点进行压力蒸汽灭菌或者化学消毒处理，然后按感染性废物收集处理；</w:t>
            </w:r>
          </w:p>
          <w:p>
            <w:pPr>
              <w:pStyle w:val="72"/>
              <w:ind w:firstLine="480"/>
            </w:pPr>
            <w:r>
              <w:t>f.放入包装物或者容器内的感染性废物、损伤性废物不得取出。</w:t>
            </w:r>
          </w:p>
          <w:p>
            <w:pPr>
              <w:pStyle w:val="72"/>
              <w:ind w:firstLine="480"/>
            </w:pPr>
            <w:r>
              <w:rPr>
                <w:rFonts w:hint="eastAsia"/>
              </w:rPr>
              <w:t>②</w:t>
            </w:r>
            <w:r>
              <w:t>收集</w:t>
            </w:r>
          </w:p>
          <w:p>
            <w:pPr>
              <w:pStyle w:val="72"/>
              <w:ind w:firstLine="480"/>
            </w:pPr>
            <w:r>
              <w:t>医院应对医疗废物分类后，按照相关规范对医疗废物进行收集：</w:t>
            </w:r>
          </w:p>
          <w:p>
            <w:pPr>
              <w:pStyle w:val="72"/>
              <w:ind w:firstLine="480"/>
            </w:pPr>
            <w:r>
              <w:t>a.医疗卫生机构内医疗废物产生地点应当有医疗废物分类收集方法的示意图或者文字说明。</w:t>
            </w:r>
          </w:p>
          <w:p>
            <w:pPr>
              <w:pStyle w:val="72"/>
              <w:ind w:firstLine="480"/>
            </w:pPr>
            <w:r>
              <w:t>b.盛装的医疗废物达到包装物或者容器的3/4时，应当使用有效的封口方式，使包装物或者容器的封口紧实、严密。</w:t>
            </w:r>
          </w:p>
          <w:p>
            <w:pPr>
              <w:pStyle w:val="72"/>
              <w:ind w:firstLine="480"/>
            </w:pPr>
            <w:r>
              <w:t>c.包装物或者容器的外表面被感染性废物污染时，应当对被污染处进行消毒处理或者增加一层包装。</w:t>
            </w:r>
          </w:p>
          <w:p>
            <w:pPr>
              <w:pStyle w:val="72"/>
              <w:ind w:firstLine="480"/>
            </w:pPr>
            <w:r>
              <w:t>d.盛装医疗废物的每个包装物、容器外表面应当有警示标识，在每个包装物、容器上应当系中文标签，中文标签的内容应当包括：医疗废物产生单位、产生日期、类别及需要的特别说明等。</w:t>
            </w:r>
          </w:p>
          <w:p>
            <w:pPr>
              <w:pStyle w:val="72"/>
              <w:ind w:firstLine="480"/>
            </w:pPr>
            <w:r>
              <w:rPr>
                <w:rFonts w:hint="eastAsia"/>
              </w:rPr>
              <w:t>③</w:t>
            </w:r>
            <w:r>
              <w:t>院内运输</w:t>
            </w:r>
          </w:p>
          <w:p>
            <w:pPr>
              <w:pStyle w:val="72"/>
              <w:ind w:firstLine="480"/>
            </w:pPr>
            <w:r>
              <w:t>医院应对医疗废物收集后，按照相关规范将医疗废物运送至暂存间，期间：</w:t>
            </w:r>
          </w:p>
          <w:p>
            <w:pPr>
              <w:pStyle w:val="72"/>
              <w:ind w:firstLine="480"/>
            </w:pPr>
            <w:r>
              <w:t>a.运送人员每天从医疗废物产生地点将分类包装的医疗废物按照规定的时间和路线运送至内部医疗废物暂存间。</w:t>
            </w:r>
          </w:p>
          <w:p>
            <w:pPr>
              <w:pStyle w:val="72"/>
              <w:ind w:firstLine="480"/>
            </w:pPr>
            <w:r>
              <w:t>b.运送人员在运送医疗废物前，应当检查包装物或者容器的标识、标签及封口是否符合要求，不得将不符合要求的医疗废物运送至暂存间。</w:t>
            </w:r>
          </w:p>
          <w:p>
            <w:pPr>
              <w:pStyle w:val="72"/>
              <w:ind w:firstLine="480"/>
            </w:pPr>
            <w:r>
              <w:t>c.运送人员在运送医疗废物时，应当防止造成包装物或容器破损和医疗废物的流失、泄漏和扩散，并防止医疗废物直接接触身体。</w:t>
            </w:r>
          </w:p>
          <w:p>
            <w:pPr>
              <w:pStyle w:val="72"/>
              <w:ind w:firstLine="480"/>
            </w:pPr>
            <w:r>
              <w:t>d.运送医疗废物应当使用防渗漏、防遗撒、无锐利边角、易于装卸和清洁的专用运送工具。每天运送工作结束后，应当对运送工具及时进行清洁和消毒。</w:t>
            </w:r>
          </w:p>
          <w:p>
            <w:pPr>
              <w:pStyle w:val="72"/>
              <w:ind w:firstLine="480"/>
            </w:pPr>
            <w:r>
              <w:rPr>
                <w:rFonts w:hint="eastAsia"/>
              </w:rPr>
              <w:t>④</w:t>
            </w:r>
            <w:r>
              <w:t>暂存</w:t>
            </w:r>
          </w:p>
          <w:p>
            <w:pPr>
              <w:pStyle w:val="72"/>
              <w:ind w:firstLine="482"/>
            </w:pPr>
            <w:r>
              <w:rPr>
                <w:b/>
                <w:bCs/>
              </w:rPr>
              <w:t>医院应建立专门的医疗废物暂</w:t>
            </w:r>
            <w:r>
              <w:rPr>
                <w:rFonts w:hint="eastAsia"/>
                <w:b/>
                <w:bCs/>
              </w:rPr>
              <w:t>存间</w:t>
            </w:r>
            <w:r>
              <w:rPr>
                <w:b/>
                <w:bCs/>
              </w:rPr>
              <w:t>，暂</w:t>
            </w:r>
            <w:r>
              <w:rPr>
                <w:rFonts w:hint="eastAsia"/>
                <w:b/>
                <w:bCs/>
              </w:rPr>
              <w:t>存间建设</w:t>
            </w:r>
            <w:r>
              <w:rPr>
                <w:b/>
                <w:bCs/>
              </w:rPr>
              <w:t>应满足如下要求：</w:t>
            </w:r>
          </w:p>
          <w:p>
            <w:pPr>
              <w:pStyle w:val="72"/>
              <w:ind w:firstLine="480"/>
            </w:pPr>
            <w:r>
              <w:t>必须与生活垃圾存放地分开，</w:t>
            </w:r>
            <w:r>
              <w:rPr>
                <w:rFonts w:hint="eastAsia"/>
              </w:rPr>
              <w:t>且必须采取</w:t>
            </w:r>
            <w:r>
              <w:rPr>
                <w:b/>
                <w:bCs/>
              </w:rPr>
              <w:t>防</w:t>
            </w:r>
            <w:r>
              <w:rPr>
                <w:rFonts w:hint="eastAsia"/>
                <w:b/>
                <w:bCs/>
              </w:rPr>
              <w:t>风、防雨、防晒、防渗漏“四防”</w:t>
            </w:r>
            <w:r>
              <w:t>，地基高度应确保设施内不受雨洪冲击或浸泡；</w:t>
            </w:r>
          </w:p>
          <w:p>
            <w:pPr>
              <w:pStyle w:val="72"/>
              <w:ind w:firstLine="480"/>
            </w:pPr>
            <w:r>
              <w:t>b.必须与医疗区和人员活动密集区隔开，方便医疗废物的装卸、装卸人员及运送车辆的出入；</w:t>
            </w:r>
          </w:p>
          <w:p>
            <w:pPr>
              <w:pStyle w:val="72"/>
              <w:ind w:firstLine="480"/>
            </w:pPr>
            <w:r>
              <w:t>c.应有严密的封闭措施，设专人管理，避免非工作人员进出，以及防鼠、防蚊蝇、防蟑螂、防盗以及预防儿童接触等安全措施；</w:t>
            </w:r>
          </w:p>
          <w:p>
            <w:pPr>
              <w:pStyle w:val="72"/>
              <w:ind w:firstLine="480"/>
              <w:rPr>
                <w:rFonts w:hint="eastAsia"/>
              </w:rPr>
            </w:pPr>
            <w:r>
              <w:t>d.</w:t>
            </w:r>
            <w:r>
              <w:rPr>
                <w:b/>
                <w:bCs/>
              </w:rPr>
              <w:t>地面和</w:t>
            </w:r>
            <w:r>
              <w:rPr>
                <w:rFonts w:hint="eastAsia"/>
                <w:b/>
                <w:bCs/>
              </w:rPr>
              <w:t>墙裙必</w:t>
            </w:r>
            <w:r>
              <w:rPr>
                <w:b/>
                <w:bCs/>
              </w:rPr>
              <w:t>须进行</w:t>
            </w:r>
            <w:r>
              <w:rPr>
                <w:rFonts w:hint="eastAsia"/>
                <w:b/>
                <w:bCs/>
              </w:rPr>
              <w:t>重点</w:t>
            </w:r>
            <w:r>
              <w:rPr>
                <w:b/>
                <w:bCs/>
              </w:rPr>
              <w:t>防渗处理</w:t>
            </w:r>
            <w:r>
              <w:t>，地面有良好的排水性能，易于清洁和消毒，产生的废水应采用管道直接排入医疗卫生机构内的医疗废水消毒、处理系统，禁止将产生的废水直接排入外环境</w:t>
            </w:r>
            <w:r>
              <w:rPr>
                <w:rFonts w:hint="eastAsia"/>
              </w:rPr>
              <w:t>；</w:t>
            </w:r>
          </w:p>
          <w:p>
            <w:pPr>
              <w:pStyle w:val="72"/>
              <w:ind w:firstLine="480"/>
              <w:rPr>
                <w:rFonts w:hint="eastAsia"/>
              </w:rPr>
            </w:pPr>
            <w:r>
              <w:t>e.暂存间外宜设有供水龙头，以供暂时贮存库房的清洗用；</w:t>
            </w:r>
          </w:p>
          <w:p>
            <w:pPr>
              <w:pStyle w:val="72"/>
              <w:ind w:firstLine="480"/>
            </w:pPr>
            <w:r>
              <w:rPr>
                <w:rFonts w:hint="eastAsia"/>
              </w:rPr>
              <w:t>f</w:t>
            </w:r>
            <w:r>
              <w:t>.应按GB15562.2和卫生、环保部门制定的</w:t>
            </w:r>
            <w:r>
              <w:rPr>
                <w:b/>
                <w:bCs/>
              </w:rPr>
              <w:t>专用医疗废物警示标识要求，在暂时间外的明显处同时设置危险废物和医疗废物的警示标识</w:t>
            </w:r>
            <w:r>
              <w:rPr>
                <w:rFonts w:hint="eastAsia"/>
                <w:b/>
                <w:bCs/>
              </w:rPr>
              <w:t>标牌</w:t>
            </w:r>
            <w:r>
              <w:t>；</w:t>
            </w:r>
          </w:p>
          <w:p>
            <w:pPr>
              <w:pStyle w:val="72"/>
              <w:ind w:firstLine="480"/>
            </w:pPr>
            <w:r>
              <w:rPr>
                <w:rFonts w:hint="eastAsia"/>
              </w:rPr>
              <w:t>g.</w:t>
            </w:r>
            <w:r>
              <w:t>日常管理中应做到消杀、灭菌，防止病源扩散或传染。做好垃圾暂存和运出处理的管理工作，严格医疗废物的“日产日清”制度，污物暂存间专人负责清扫消毒工作，每天清扫并用过氧乙酸消毒一次。</w:t>
            </w:r>
          </w:p>
          <w:p>
            <w:pPr>
              <w:pStyle w:val="72"/>
              <w:ind w:firstLine="480"/>
              <w:rPr>
                <w:rFonts w:hint="eastAsia"/>
              </w:rPr>
            </w:pPr>
            <w:r>
              <w:rPr>
                <w:rFonts w:hint="eastAsia"/>
              </w:rPr>
              <w:t>⑤转运</w:t>
            </w:r>
          </w:p>
          <w:p>
            <w:pPr>
              <w:pStyle w:val="72"/>
              <w:ind w:firstLine="482"/>
              <w:rPr>
                <w:rFonts w:hint="eastAsia"/>
                <w:b/>
                <w:bCs/>
              </w:rPr>
            </w:pPr>
            <w:r>
              <w:rPr>
                <w:b/>
                <w:bCs/>
              </w:rPr>
              <w:t>医疗废物暂存后应外委</w:t>
            </w:r>
            <w:r>
              <w:rPr>
                <w:rFonts w:hint="eastAsia"/>
                <w:b/>
                <w:bCs/>
              </w:rPr>
              <w:t>具有</w:t>
            </w:r>
            <w:r>
              <w:rPr>
                <w:b/>
                <w:bCs/>
              </w:rPr>
              <w:t>医疗废物处置资质单位进行处理，</w:t>
            </w:r>
            <w:r>
              <w:rPr>
                <w:rFonts w:hint="eastAsia"/>
                <w:b/>
                <w:bCs/>
              </w:rPr>
              <w:t>并</w:t>
            </w:r>
            <w:r>
              <w:rPr>
                <w:b/>
                <w:bCs/>
                <w:lang w:val="zh-CN"/>
              </w:rPr>
              <w:t>明确双方的责任和义务，确保医疗固体废物能及时得到</w:t>
            </w:r>
            <w:r>
              <w:rPr>
                <w:rFonts w:hint="eastAsia"/>
                <w:b/>
                <w:bCs/>
                <w:lang w:val="zh-CN"/>
              </w:rPr>
              <w:t>符合</w:t>
            </w:r>
            <w:r>
              <w:rPr>
                <w:b/>
                <w:bCs/>
                <w:lang w:val="zh-CN"/>
              </w:rPr>
              <w:t>规范要求的处</w:t>
            </w:r>
            <w:r>
              <w:rPr>
                <w:rFonts w:hint="eastAsia"/>
                <w:b/>
                <w:bCs/>
                <w:lang w:val="zh-CN"/>
              </w:rPr>
              <w:t>置</w:t>
            </w:r>
            <w:r>
              <w:rPr>
                <w:b/>
                <w:bCs/>
                <w:lang w:val="zh-CN"/>
              </w:rPr>
              <w:t>。</w:t>
            </w:r>
            <w:r>
              <w:rPr>
                <w:b/>
                <w:bCs/>
              </w:rPr>
              <w:t>同时项目应</w:t>
            </w:r>
            <w:r>
              <w:rPr>
                <w:rFonts w:hint="eastAsia"/>
                <w:b/>
                <w:bCs/>
              </w:rPr>
              <w:t>按照</w:t>
            </w:r>
            <w:r>
              <w:rPr>
                <w:b/>
                <w:bCs/>
              </w:rPr>
              <w:t>《</w:t>
            </w:r>
            <w:r>
              <w:rPr>
                <w:rFonts w:hint="eastAsia"/>
                <w:b/>
                <w:bCs/>
              </w:rPr>
              <w:t>危险</w:t>
            </w:r>
            <w:r>
              <w:rPr>
                <w:b/>
                <w:bCs/>
              </w:rPr>
              <w:t>废物</w:t>
            </w:r>
            <w:r>
              <w:rPr>
                <w:rFonts w:hint="eastAsia"/>
                <w:b/>
                <w:bCs/>
              </w:rPr>
              <w:t>转移</w:t>
            </w:r>
            <w:r>
              <w:rPr>
                <w:b/>
                <w:bCs/>
              </w:rPr>
              <w:t>联单管理办法》建立固体废物管理相关档案、登记台帐，落实固体废物管理计划、相关处置协议，严格执行固体废物申报登记制度，并于次年月底以前将上年的日常管理台帐、处置协议等附件资料会同排污申报表按分级管理的原则上报市、区（县）环保局。</w:t>
            </w:r>
          </w:p>
          <w:p>
            <w:pPr>
              <w:pStyle w:val="72"/>
              <w:ind w:firstLine="480"/>
              <w:rPr>
                <w:b/>
                <w:bCs/>
              </w:rPr>
            </w:pPr>
            <w:r>
              <w:t>运送人员在接收医疗废物时，应外观检查医疗卫生机构是否按规定进行包装、标识，并盛装于周转箱内，不得打开包装袋取出医疗废物。对包装破损、包装外表污染或未盛装于周转箱内的医疗废物，医疗废物运送人员应当要求医疗卫生机构重新包装、标识，并盛装于周转箱内。拒不按规定对医疗废物进行包装的，运送人员有权拒绝运送，并向当地环保部门报告。</w:t>
            </w:r>
            <w:r>
              <w:rPr>
                <w:b/>
                <w:bCs/>
              </w:rPr>
              <w:t>医疗废物运送过程中应按以下要求管理：</w:t>
            </w:r>
          </w:p>
          <w:p>
            <w:pPr>
              <w:pStyle w:val="72"/>
              <w:ind w:firstLine="480"/>
            </w:pPr>
            <w:r>
              <w:rPr>
                <w:rFonts w:hint="eastAsia"/>
              </w:rPr>
              <w:t>a.</w:t>
            </w:r>
            <w:r>
              <w:t>医疗废物运输路线尽量避开人口密集区域和交通拥堵道路。</w:t>
            </w:r>
          </w:p>
          <w:p>
            <w:pPr>
              <w:pStyle w:val="72"/>
              <w:ind w:firstLine="480"/>
            </w:pPr>
            <w:r>
              <w:rPr>
                <w:rFonts w:hint="eastAsia"/>
              </w:rPr>
              <w:t>b.</w:t>
            </w:r>
            <w:r>
              <w:t>经包装的医疗废物应盛放于可重复使用的专用周转箱（桶）或一次性专用包装容器内。专用周转箱（桶）或一次性专用包装容器应符合《医疗废物专用包装物、容器标准和警示标识规定》。</w:t>
            </w:r>
          </w:p>
          <w:p>
            <w:pPr>
              <w:pStyle w:val="72"/>
              <w:ind w:firstLine="480"/>
            </w:pPr>
            <w:r>
              <w:rPr>
                <w:rFonts w:hint="eastAsia"/>
              </w:rPr>
              <w:t>c.</w:t>
            </w:r>
            <w:r>
              <w:t>医疗废物装卸载尽可能采用机械作业，将周转箱整齐地装入车内，尽量减少人工操作；如需手工操作应做好人员防护。</w:t>
            </w:r>
          </w:p>
          <w:p>
            <w:pPr>
              <w:pStyle w:val="72"/>
              <w:ind w:firstLine="480"/>
            </w:pPr>
            <w:r>
              <w:rPr>
                <w:rFonts w:hint="eastAsia"/>
              </w:rPr>
              <w:t>d.</w:t>
            </w:r>
            <w:r>
              <w:t>医疗废物运送前，处置单位必须对每辆运送车的车况进行检查，确保车况良好后方可出车。运送车辆负责人应对每辆运送车是否配备。</w:t>
            </w:r>
          </w:p>
          <w:p>
            <w:pPr>
              <w:pStyle w:val="72"/>
              <w:ind w:firstLine="480"/>
            </w:pPr>
            <w:r>
              <w:rPr>
                <w:rFonts w:hint="eastAsia"/>
              </w:rPr>
              <w:t>e.</w:t>
            </w:r>
            <w:r>
              <w:t>医疗废物运送车辆不得搭乘其他无关人员，不得装载或混装其他货物和动植物。</w:t>
            </w:r>
          </w:p>
          <w:p>
            <w:pPr>
              <w:pStyle w:val="72"/>
              <w:ind w:firstLine="480"/>
            </w:pPr>
            <w:r>
              <w:rPr>
                <w:rFonts w:hint="eastAsia"/>
              </w:rPr>
              <w:t>f.</w:t>
            </w:r>
            <w:r>
              <w:t>车辆行驶时应锁闭车厢门，确保安全，不得丢失、遗撒和打开包装取出医疗废物。</w:t>
            </w:r>
          </w:p>
          <w:p>
            <w:pPr>
              <w:jc w:val="center"/>
              <w:rPr>
                <w:b/>
                <w:bCs/>
                <w:kern w:val="0"/>
                <w:szCs w:val="21"/>
              </w:rPr>
            </w:pPr>
            <w:r>
              <w:rPr>
                <w:b/>
                <w:bCs/>
                <w:kern w:val="0"/>
                <w:szCs w:val="21"/>
              </w:rPr>
              <w:t>表4-1</w:t>
            </w:r>
            <w:r>
              <w:rPr>
                <w:rFonts w:hint="eastAsia"/>
                <w:b/>
                <w:bCs/>
                <w:kern w:val="0"/>
                <w:szCs w:val="21"/>
                <w:lang w:val="en-US" w:eastAsia="zh-CN"/>
              </w:rPr>
              <w:t>9</w:t>
            </w:r>
            <w:r>
              <w:rPr>
                <w:b/>
                <w:bCs/>
                <w:kern w:val="0"/>
                <w:szCs w:val="21"/>
              </w:rPr>
              <w:t xml:space="preserve">  本项目</w:t>
            </w:r>
            <w:r>
              <w:rPr>
                <w:rFonts w:hint="eastAsia"/>
                <w:b/>
                <w:bCs/>
                <w:kern w:val="0"/>
                <w:szCs w:val="21"/>
              </w:rPr>
              <w:t>新增</w:t>
            </w:r>
            <w:r>
              <w:rPr>
                <w:b/>
                <w:bCs/>
                <w:kern w:val="0"/>
                <w:szCs w:val="21"/>
              </w:rPr>
              <w:t>固废产生及治理措施一览表</w:t>
            </w:r>
          </w:p>
          <w:tbl>
            <w:tblPr>
              <w:tblStyle w:val="41"/>
              <w:tblW w:w="809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87"/>
              <w:gridCol w:w="814"/>
              <w:gridCol w:w="1216"/>
              <w:gridCol w:w="814"/>
              <w:gridCol w:w="842"/>
              <w:gridCol w:w="947"/>
              <w:gridCol w:w="573"/>
              <w:gridCol w:w="933"/>
              <w:gridCol w:w="127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24" w:type="pct"/>
                  <w:tcBorders>
                    <w:top w:val="single" w:color="auto" w:sz="12" w:space="0"/>
                    <w:left w:val="single" w:color="auto" w:sz="12" w:space="0"/>
                    <w:bottom w:val="single" w:color="auto" w:sz="4" w:space="0"/>
                    <w:right w:val="single" w:color="auto" w:sz="6" w:space="0"/>
                    <w:tl2br w:val="nil"/>
                    <w:tr2bl w:val="nil"/>
                  </w:tcBorders>
                  <w:noWrap w:val="0"/>
                  <w:vAlign w:val="center"/>
                </w:tcPr>
                <w:p>
                  <w:pPr>
                    <w:adjustRightInd w:val="0"/>
                    <w:snapToGrid w:val="0"/>
                    <w:jc w:val="center"/>
                    <w:rPr>
                      <w:rFonts w:eastAsia="宋体"/>
                      <w:kern w:val="0"/>
                      <w:sz w:val="21"/>
                      <w:szCs w:val="21"/>
                    </w:rPr>
                  </w:pPr>
                  <w:r>
                    <w:rPr>
                      <w:rFonts w:eastAsia="宋体"/>
                      <w:kern w:val="0"/>
                      <w:sz w:val="21"/>
                      <w:szCs w:val="21"/>
                    </w:rPr>
                    <w:t>危险废物名称</w:t>
                  </w:r>
                </w:p>
              </w:tc>
              <w:tc>
                <w:tcPr>
                  <w:tcW w:w="502" w:type="pct"/>
                  <w:tcBorders>
                    <w:top w:val="single" w:color="auto" w:sz="12" w:space="0"/>
                    <w:bottom w:val="single" w:color="auto" w:sz="4" w:space="0"/>
                    <w:right w:val="single" w:color="auto" w:sz="6" w:space="0"/>
                    <w:tl2br w:val="nil"/>
                    <w:tr2bl w:val="nil"/>
                  </w:tcBorders>
                  <w:noWrap w:val="0"/>
                  <w:vAlign w:val="center"/>
                </w:tcPr>
                <w:p>
                  <w:pPr>
                    <w:adjustRightInd w:val="0"/>
                    <w:snapToGrid w:val="0"/>
                    <w:jc w:val="center"/>
                    <w:rPr>
                      <w:rFonts w:eastAsia="宋体"/>
                      <w:kern w:val="0"/>
                      <w:sz w:val="21"/>
                      <w:szCs w:val="21"/>
                    </w:rPr>
                  </w:pPr>
                  <w:r>
                    <w:rPr>
                      <w:rFonts w:eastAsia="宋体"/>
                      <w:kern w:val="0"/>
                      <w:sz w:val="21"/>
                      <w:szCs w:val="21"/>
                    </w:rPr>
                    <w:t>危险废物类别</w:t>
                  </w:r>
                </w:p>
              </w:tc>
              <w:tc>
                <w:tcPr>
                  <w:tcW w:w="750" w:type="pct"/>
                  <w:tcBorders>
                    <w:top w:val="single" w:color="auto" w:sz="12" w:space="0"/>
                    <w:bottom w:val="single" w:color="auto" w:sz="4" w:space="0"/>
                    <w:right w:val="single" w:color="auto" w:sz="6" w:space="0"/>
                    <w:tl2br w:val="nil"/>
                    <w:tr2bl w:val="nil"/>
                  </w:tcBorders>
                  <w:noWrap w:val="0"/>
                  <w:vAlign w:val="center"/>
                </w:tcPr>
                <w:p>
                  <w:pPr>
                    <w:adjustRightInd w:val="0"/>
                    <w:snapToGrid w:val="0"/>
                    <w:jc w:val="center"/>
                    <w:rPr>
                      <w:rFonts w:eastAsia="宋体"/>
                      <w:kern w:val="0"/>
                      <w:sz w:val="21"/>
                      <w:szCs w:val="21"/>
                    </w:rPr>
                  </w:pPr>
                  <w:r>
                    <w:rPr>
                      <w:rFonts w:eastAsia="宋体"/>
                      <w:kern w:val="0"/>
                      <w:sz w:val="21"/>
                      <w:szCs w:val="21"/>
                    </w:rPr>
                    <w:t>危险废物代码</w:t>
                  </w:r>
                </w:p>
              </w:tc>
              <w:tc>
                <w:tcPr>
                  <w:tcW w:w="502" w:type="pct"/>
                  <w:tcBorders>
                    <w:top w:val="single" w:color="auto" w:sz="12" w:space="0"/>
                    <w:bottom w:val="single" w:color="auto" w:sz="4" w:space="0"/>
                    <w:right w:val="single" w:color="auto" w:sz="6" w:space="0"/>
                    <w:tl2br w:val="nil"/>
                    <w:tr2bl w:val="nil"/>
                  </w:tcBorders>
                  <w:noWrap w:val="0"/>
                  <w:vAlign w:val="center"/>
                </w:tcPr>
                <w:p>
                  <w:pPr>
                    <w:adjustRightInd w:val="0"/>
                    <w:snapToGrid w:val="0"/>
                    <w:jc w:val="center"/>
                    <w:rPr>
                      <w:rFonts w:eastAsia="宋体"/>
                      <w:kern w:val="0"/>
                      <w:sz w:val="21"/>
                      <w:szCs w:val="21"/>
                    </w:rPr>
                  </w:pPr>
                  <w:r>
                    <w:rPr>
                      <w:rFonts w:eastAsia="宋体"/>
                      <w:kern w:val="0"/>
                      <w:sz w:val="21"/>
                      <w:szCs w:val="21"/>
                    </w:rPr>
                    <w:t>产生量（t/a）</w:t>
                  </w:r>
                </w:p>
              </w:tc>
              <w:tc>
                <w:tcPr>
                  <w:tcW w:w="519" w:type="pct"/>
                  <w:tcBorders>
                    <w:top w:val="single" w:color="auto" w:sz="12" w:space="0"/>
                    <w:bottom w:val="single" w:color="auto" w:sz="4" w:space="0"/>
                    <w:right w:val="single" w:color="auto" w:sz="6" w:space="0"/>
                    <w:tl2br w:val="nil"/>
                    <w:tr2bl w:val="nil"/>
                  </w:tcBorders>
                  <w:noWrap w:val="0"/>
                  <w:vAlign w:val="center"/>
                </w:tcPr>
                <w:p>
                  <w:pPr>
                    <w:adjustRightInd w:val="0"/>
                    <w:snapToGrid w:val="0"/>
                    <w:jc w:val="center"/>
                    <w:rPr>
                      <w:rFonts w:eastAsia="宋体"/>
                      <w:kern w:val="0"/>
                      <w:sz w:val="21"/>
                      <w:szCs w:val="21"/>
                    </w:rPr>
                  </w:pPr>
                  <w:r>
                    <w:rPr>
                      <w:rFonts w:eastAsia="宋体"/>
                      <w:kern w:val="0"/>
                      <w:sz w:val="21"/>
                      <w:szCs w:val="21"/>
                    </w:rPr>
                    <w:t>产生工序及装置</w:t>
                  </w:r>
                </w:p>
              </w:tc>
              <w:tc>
                <w:tcPr>
                  <w:tcW w:w="584" w:type="pct"/>
                  <w:tcBorders>
                    <w:top w:val="single" w:color="auto" w:sz="12" w:space="0"/>
                    <w:bottom w:val="single" w:color="auto" w:sz="4" w:space="0"/>
                    <w:right w:val="single" w:color="auto" w:sz="6" w:space="0"/>
                    <w:tl2br w:val="nil"/>
                    <w:tr2bl w:val="nil"/>
                  </w:tcBorders>
                  <w:noWrap w:val="0"/>
                  <w:vAlign w:val="center"/>
                </w:tcPr>
                <w:p>
                  <w:pPr>
                    <w:adjustRightInd w:val="0"/>
                    <w:snapToGrid w:val="0"/>
                    <w:jc w:val="center"/>
                    <w:rPr>
                      <w:rFonts w:eastAsia="宋体"/>
                      <w:kern w:val="0"/>
                      <w:sz w:val="21"/>
                      <w:szCs w:val="21"/>
                    </w:rPr>
                  </w:pPr>
                  <w:r>
                    <w:rPr>
                      <w:rFonts w:eastAsia="宋体"/>
                      <w:kern w:val="0"/>
                      <w:sz w:val="21"/>
                      <w:szCs w:val="21"/>
                    </w:rPr>
                    <w:t>形态</w:t>
                  </w:r>
                </w:p>
              </w:tc>
              <w:tc>
                <w:tcPr>
                  <w:tcW w:w="353" w:type="pct"/>
                  <w:tcBorders>
                    <w:top w:val="single" w:color="auto" w:sz="12" w:space="0"/>
                    <w:bottom w:val="single" w:color="auto" w:sz="4" w:space="0"/>
                    <w:right w:val="single" w:color="auto" w:sz="6" w:space="0"/>
                    <w:tl2br w:val="nil"/>
                    <w:tr2bl w:val="nil"/>
                  </w:tcBorders>
                  <w:noWrap w:val="0"/>
                  <w:vAlign w:val="center"/>
                </w:tcPr>
                <w:p>
                  <w:pPr>
                    <w:adjustRightInd w:val="0"/>
                    <w:snapToGrid w:val="0"/>
                    <w:jc w:val="center"/>
                    <w:rPr>
                      <w:rFonts w:eastAsia="宋体"/>
                      <w:kern w:val="0"/>
                      <w:sz w:val="21"/>
                      <w:szCs w:val="21"/>
                    </w:rPr>
                  </w:pPr>
                  <w:r>
                    <w:rPr>
                      <w:rFonts w:hint="eastAsia" w:eastAsia="宋体"/>
                      <w:kern w:val="0"/>
                      <w:sz w:val="21"/>
                      <w:szCs w:val="21"/>
                    </w:rPr>
                    <w:t>储存周期</w:t>
                  </w:r>
                </w:p>
              </w:tc>
              <w:tc>
                <w:tcPr>
                  <w:tcW w:w="576" w:type="pct"/>
                  <w:tcBorders>
                    <w:top w:val="single" w:color="auto" w:sz="12" w:space="0"/>
                    <w:bottom w:val="single" w:color="auto" w:sz="4" w:space="0"/>
                    <w:right w:val="single" w:color="auto" w:sz="6" w:space="0"/>
                    <w:tl2br w:val="nil"/>
                    <w:tr2bl w:val="nil"/>
                  </w:tcBorders>
                  <w:noWrap w:val="0"/>
                  <w:vAlign w:val="center"/>
                </w:tcPr>
                <w:p>
                  <w:pPr>
                    <w:adjustRightInd w:val="0"/>
                    <w:snapToGrid w:val="0"/>
                    <w:jc w:val="center"/>
                    <w:rPr>
                      <w:rFonts w:eastAsia="宋体"/>
                      <w:kern w:val="0"/>
                      <w:sz w:val="21"/>
                      <w:szCs w:val="21"/>
                    </w:rPr>
                  </w:pPr>
                  <w:r>
                    <w:rPr>
                      <w:rFonts w:eastAsia="宋体"/>
                      <w:kern w:val="0"/>
                      <w:sz w:val="21"/>
                      <w:szCs w:val="21"/>
                    </w:rPr>
                    <w:t>危险特性</w:t>
                  </w:r>
                </w:p>
              </w:tc>
              <w:tc>
                <w:tcPr>
                  <w:tcW w:w="785" w:type="pct"/>
                  <w:tcBorders>
                    <w:top w:val="single" w:color="auto" w:sz="12" w:space="0"/>
                    <w:bottom w:val="single" w:color="auto" w:sz="4" w:space="0"/>
                    <w:right w:val="single" w:color="auto" w:sz="12" w:space="0"/>
                    <w:tl2br w:val="nil"/>
                    <w:tr2bl w:val="nil"/>
                  </w:tcBorders>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r>
                    <w:rPr>
                      <w:rFonts w:ascii="Times New Roman" w:hAnsi="Times New Roman" w:eastAsia="宋体" w:cs="Times New Roman"/>
                      <w:color w:val="auto"/>
                      <w:kern w:val="0"/>
                      <w:sz w:val="21"/>
                      <w:szCs w:val="21"/>
                      <w:lang w:eastAsia="zh-CN"/>
                    </w:rPr>
                    <w:t>污染物防治措施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24" w:type="pct"/>
                  <w:vMerge w:val="restart"/>
                  <w:noWrap w:val="0"/>
                  <w:vAlign w:val="center"/>
                </w:tcPr>
                <w:p>
                  <w:pPr>
                    <w:adjustRightInd w:val="0"/>
                    <w:snapToGrid w:val="0"/>
                    <w:jc w:val="center"/>
                    <w:rPr>
                      <w:kern w:val="0"/>
                      <w:sz w:val="21"/>
                      <w:szCs w:val="21"/>
                    </w:rPr>
                  </w:pPr>
                  <w:r>
                    <w:rPr>
                      <w:kern w:val="0"/>
                      <w:sz w:val="21"/>
                      <w:szCs w:val="21"/>
                    </w:rPr>
                    <w:t>医疗</w:t>
                  </w:r>
                </w:p>
                <w:p>
                  <w:pPr>
                    <w:adjustRightInd w:val="0"/>
                    <w:snapToGrid w:val="0"/>
                    <w:jc w:val="center"/>
                    <w:rPr>
                      <w:kern w:val="0"/>
                      <w:sz w:val="21"/>
                      <w:szCs w:val="21"/>
                    </w:rPr>
                  </w:pPr>
                  <w:r>
                    <w:rPr>
                      <w:kern w:val="0"/>
                      <w:sz w:val="21"/>
                      <w:szCs w:val="21"/>
                    </w:rPr>
                    <w:t>废物</w:t>
                  </w:r>
                </w:p>
              </w:tc>
              <w:tc>
                <w:tcPr>
                  <w:tcW w:w="502" w:type="pct"/>
                  <w:vMerge w:val="restart"/>
                  <w:noWrap w:val="0"/>
                  <w:vAlign w:val="center"/>
                </w:tcPr>
                <w:p>
                  <w:pPr>
                    <w:adjustRightInd w:val="0"/>
                    <w:snapToGrid w:val="0"/>
                    <w:jc w:val="center"/>
                    <w:rPr>
                      <w:kern w:val="0"/>
                      <w:sz w:val="21"/>
                      <w:szCs w:val="21"/>
                    </w:rPr>
                  </w:pPr>
                  <w:r>
                    <w:rPr>
                      <w:kern w:val="0"/>
                      <w:sz w:val="21"/>
                      <w:szCs w:val="21"/>
                    </w:rPr>
                    <w:t>HW01</w:t>
                  </w:r>
                </w:p>
              </w:tc>
              <w:tc>
                <w:tcPr>
                  <w:tcW w:w="750" w:type="pct"/>
                  <w:noWrap w:val="0"/>
                  <w:vAlign w:val="center"/>
                </w:tcPr>
                <w:p>
                  <w:pPr>
                    <w:adjustRightInd w:val="0"/>
                    <w:snapToGrid w:val="0"/>
                    <w:jc w:val="center"/>
                    <w:rPr>
                      <w:kern w:val="0"/>
                      <w:sz w:val="21"/>
                      <w:szCs w:val="21"/>
                    </w:rPr>
                  </w:pPr>
                  <w:r>
                    <w:rPr>
                      <w:kern w:val="0"/>
                      <w:sz w:val="21"/>
                      <w:szCs w:val="21"/>
                    </w:rPr>
                    <w:t>841-001-01</w:t>
                  </w:r>
                </w:p>
              </w:tc>
              <w:tc>
                <w:tcPr>
                  <w:tcW w:w="502" w:type="pct"/>
                  <w:vMerge w:val="restart"/>
                  <w:noWrap w:val="0"/>
                  <w:vAlign w:val="center"/>
                </w:tcPr>
                <w:p>
                  <w:pPr>
                    <w:adjustRightInd w:val="0"/>
                    <w:snapToGrid w:val="0"/>
                    <w:jc w:val="center"/>
                    <w:rPr>
                      <w:rFonts w:hint="default" w:eastAsia="宋体"/>
                      <w:kern w:val="0"/>
                      <w:sz w:val="21"/>
                      <w:szCs w:val="21"/>
                      <w:lang w:val="en-US" w:eastAsia="zh-CN"/>
                    </w:rPr>
                  </w:pPr>
                  <w:r>
                    <w:rPr>
                      <w:rFonts w:hint="eastAsia"/>
                      <w:kern w:val="0"/>
                      <w:sz w:val="21"/>
                      <w:szCs w:val="21"/>
                      <w:lang w:val="en-US" w:eastAsia="zh-CN"/>
                    </w:rPr>
                    <w:t>5.37</w:t>
                  </w:r>
                </w:p>
              </w:tc>
              <w:tc>
                <w:tcPr>
                  <w:tcW w:w="519" w:type="pct"/>
                  <w:vMerge w:val="restart"/>
                  <w:noWrap w:val="0"/>
                  <w:vAlign w:val="center"/>
                </w:tcPr>
                <w:p>
                  <w:pPr>
                    <w:adjustRightInd w:val="0"/>
                    <w:snapToGrid w:val="0"/>
                    <w:jc w:val="center"/>
                    <w:rPr>
                      <w:kern w:val="0"/>
                      <w:sz w:val="21"/>
                      <w:szCs w:val="21"/>
                    </w:rPr>
                  </w:pPr>
                  <w:r>
                    <w:rPr>
                      <w:rFonts w:hint="eastAsia"/>
                      <w:sz w:val="21"/>
                      <w:szCs w:val="21"/>
                    </w:rPr>
                    <w:t>病人治疗</w:t>
                  </w:r>
                </w:p>
              </w:tc>
              <w:tc>
                <w:tcPr>
                  <w:tcW w:w="584" w:type="pct"/>
                  <w:vMerge w:val="restart"/>
                  <w:noWrap w:val="0"/>
                  <w:vAlign w:val="center"/>
                </w:tcPr>
                <w:p>
                  <w:pPr>
                    <w:jc w:val="center"/>
                    <w:rPr>
                      <w:rFonts w:ascii="Times New Roman" w:hAnsi="Times New Roman" w:eastAsia="宋体" w:cs="Times New Roman"/>
                      <w:color w:val="auto"/>
                      <w:kern w:val="0"/>
                      <w:sz w:val="21"/>
                      <w:szCs w:val="21"/>
                      <w:lang w:eastAsia="zh-CN"/>
                    </w:rPr>
                  </w:pPr>
                  <w:r>
                    <w:rPr>
                      <w:rFonts w:hint="eastAsia"/>
                      <w:sz w:val="21"/>
                      <w:szCs w:val="21"/>
                    </w:rPr>
                    <w:t>液态、固态、半液态等</w:t>
                  </w:r>
                </w:p>
              </w:tc>
              <w:tc>
                <w:tcPr>
                  <w:tcW w:w="353" w:type="pct"/>
                  <w:vMerge w:val="restart"/>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2"/>
                      <w:sz w:val="21"/>
                      <w:szCs w:val="21"/>
                      <w:lang w:val="en-US" w:eastAsia="zh-CN" w:bidi="ar-SA"/>
                    </w:rPr>
                    <w:t>1</w:t>
                  </w:r>
                  <w:r>
                    <w:rPr>
                      <w:rFonts w:hint="eastAsia"/>
                      <w:sz w:val="21"/>
                      <w:szCs w:val="21"/>
                    </w:rPr>
                    <w:t>个月</w:t>
                  </w:r>
                </w:p>
              </w:tc>
              <w:tc>
                <w:tcPr>
                  <w:tcW w:w="576" w:type="pct"/>
                  <w:noWrap w:val="0"/>
                  <w:vAlign w:val="center"/>
                </w:tcPr>
                <w:p>
                  <w:pPr>
                    <w:jc w:val="center"/>
                    <w:rPr>
                      <w:rFonts w:hint="eastAsia"/>
                      <w:kern w:val="2"/>
                      <w:sz w:val="21"/>
                      <w:szCs w:val="21"/>
                      <w:lang w:val="en-US" w:eastAsia="zh-CN" w:bidi="ar-SA"/>
                    </w:rPr>
                  </w:pPr>
                  <w:r>
                    <w:rPr>
                      <w:rFonts w:hint="eastAsia"/>
                      <w:sz w:val="21"/>
                      <w:szCs w:val="21"/>
                    </w:rPr>
                    <w:t xml:space="preserve">In </w:t>
                  </w:r>
                </w:p>
              </w:tc>
              <w:tc>
                <w:tcPr>
                  <w:tcW w:w="785" w:type="pct"/>
                  <w:vMerge w:val="restart"/>
                  <w:noWrap w:val="0"/>
                  <w:vAlign w:val="center"/>
                </w:tcPr>
                <w:p>
                  <w:pPr>
                    <w:pStyle w:val="77"/>
                    <w:topLinePunct/>
                    <w:jc w:val="center"/>
                    <w:rPr>
                      <w:rFonts w:ascii="Times New Roman" w:hAnsi="Times New Roman" w:eastAsia="宋体" w:cs="Times New Roman"/>
                      <w:color w:val="auto"/>
                      <w:kern w:val="0"/>
                      <w:sz w:val="21"/>
                      <w:szCs w:val="21"/>
                      <w:lang w:eastAsia="zh-CN"/>
                    </w:rPr>
                  </w:pPr>
                  <w:r>
                    <w:rPr>
                      <w:rFonts w:ascii="Times New Roman" w:hAnsi="Times New Roman" w:eastAsia="宋体" w:cs="Times New Roman"/>
                      <w:color w:val="auto"/>
                      <w:kern w:val="0"/>
                      <w:sz w:val="21"/>
                      <w:szCs w:val="21"/>
                      <w:lang w:eastAsia="zh-CN"/>
                    </w:rPr>
                    <w:t>依托现有处理方式</w:t>
                  </w:r>
                  <w:r>
                    <w:rPr>
                      <w:rFonts w:hint="eastAsia" w:ascii="Times New Roman" w:hAnsi="Times New Roman" w:eastAsia="宋体" w:cs="Times New Roman"/>
                      <w:color w:val="auto"/>
                      <w:kern w:val="0"/>
                      <w:sz w:val="21"/>
                      <w:szCs w:val="21"/>
                      <w:lang w:eastAsia="zh-CN"/>
                    </w:rPr>
                    <w:t>，</w:t>
                  </w:r>
                  <w:r>
                    <w:rPr>
                      <w:rFonts w:ascii="Times New Roman" w:hAnsi="Times New Roman" w:eastAsia="宋体" w:cs="Times New Roman"/>
                      <w:color w:val="auto"/>
                      <w:kern w:val="0"/>
                      <w:sz w:val="21"/>
                      <w:szCs w:val="21"/>
                      <w:lang w:eastAsia="zh-CN"/>
                    </w:rPr>
                    <w:t>分类暂存已建于</w:t>
                  </w:r>
                  <w:r>
                    <w:rPr>
                      <w:rFonts w:hint="eastAsia" w:ascii="Times New Roman" w:hAnsi="Times New Roman" w:eastAsia="宋体" w:cs="Times New Roman"/>
                      <w:color w:val="auto"/>
                      <w:kern w:val="0"/>
                      <w:sz w:val="21"/>
                      <w:szCs w:val="21"/>
                      <w:lang w:eastAsia="zh-CN"/>
                    </w:rPr>
                    <w:t>医废暂存间</w:t>
                  </w:r>
                  <w:r>
                    <w:rPr>
                      <w:rFonts w:ascii="Times New Roman" w:hAnsi="Times New Roman" w:eastAsia="宋体" w:cs="Times New Roman"/>
                      <w:color w:val="auto"/>
                      <w:kern w:val="0"/>
                      <w:sz w:val="21"/>
                      <w:szCs w:val="21"/>
                      <w:lang w:eastAsia="zh-CN"/>
                    </w:rPr>
                    <w:t>，定期交由资质单位处理，禁止在医院内长期贮存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24" w:type="pct"/>
                  <w:vMerge w:val="continue"/>
                  <w:noWrap w:val="0"/>
                  <w:vAlign w:val="center"/>
                </w:tcPr>
                <w:p>
                  <w:pPr>
                    <w:adjustRightInd w:val="0"/>
                    <w:snapToGrid w:val="0"/>
                    <w:jc w:val="center"/>
                    <w:rPr>
                      <w:kern w:val="0"/>
                      <w:sz w:val="21"/>
                      <w:szCs w:val="21"/>
                    </w:rPr>
                  </w:pPr>
                </w:p>
              </w:tc>
              <w:tc>
                <w:tcPr>
                  <w:tcW w:w="502" w:type="pct"/>
                  <w:vMerge w:val="continue"/>
                  <w:noWrap w:val="0"/>
                  <w:vAlign w:val="center"/>
                </w:tcPr>
                <w:p>
                  <w:pPr>
                    <w:adjustRightInd w:val="0"/>
                    <w:snapToGrid w:val="0"/>
                    <w:jc w:val="center"/>
                    <w:rPr>
                      <w:kern w:val="0"/>
                      <w:sz w:val="21"/>
                      <w:szCs w:val="21"/>
                    </w:rPr>
                  </w:pPr>
                </w:p>
              </w:tc>
              <w:tc>
                <w:tcPr>
                  <w:tcW w:w="750" w:type="pct"/>
                  <w:noWrap w:val="0"/>
                  <w:vAlign w:val="center"/>
                </w:tcPr>
                <w:p>
                  <w:pPr>
                    <w:adjustRightInd w:val="0"/>
                    <w:snapToGrid w:val="0"/>
                    <w:jc w:val="center"/>
                    <w:rPr>
                      <w:kern w:val="0"/>
                      <w:sz w:val="21"/>
                      <w:szCs w:val="21"/>
                    </w:rPr>
                  </w:pPr>
                  <w:r>
                    <w:rPr>
                      <w:kern w:val="0"/>
                      <w:sz w:val="21"/>
                      <w:szCs w:val="21"/>
                    </w:rPr>
                    <w:t>841-002-01</w:t>
                  </w:r>
                </w:p>
              </w:tc>
              <w:tc>
                <w:tcPr>
                  <w:tcW w:w="502" w:type="pct"/>
                  <w:vMerge w:val="continue"/>
                  <w:noWrap w:val="0"/>
                  <w:vAlign w:val="center"/>
                </w:tcPr>
                <w:p>
                  <w:pPr>
                    <w:adjustRightInd w:val="0"/>
                    <w:snapToGrid w:val="0"/>
                    <w:jc w:val="center"/>
                    <w:rPr>
                      <w:kern w:val="0"/>
                      <w:sz w:val="21"/>
                      <w:szCs w:val="21"/>
                    </w:rPr>
                  </w:pPr>
                </w:p>
              </w:tc>
              <w:tc>
                <w:tcPr>
                  <w:tcW w:w="519" w:type="pct"/>
                  <w:vMerge w:val="continue"/>
                  <w:noWrap w:val="0"/>
                  <w:vAlign w:val="center"/>
                </w:tcPr>
                <w:p>
                  <w:pPr>
                    <w:adjustRightInd w:val="0"/>
                    <w:snapToGrid w:val="0"/>
                    <w:jc w:val="center"/>
                    <w:rPr>
                      <w:kern w:val="0"/>
                      <w:sz w:val="21"/>
                      <w:szCs w:val="21"/>
                    </w:rPr>
                  </w:pPr>
                </w:p>
              </w:tc>
              <w:tc>
                <w:tcPr>
                  <w:tcW w:w="584" w:type="pct"/>
                  <w:vMerge w:val="continue"/>
                  <w:noWrap w:val="0"/>
                  <w:vAlign w:val="center"/>
                </w:tcPr>
                <w:p>
                  <w:pPr>
                    <w:adjustRightInd w:val="0"/>
                    <w:snapToGrid w:val="0"/>
                    <w:jc w:val="center"/>
                    <w:rPr>
                      <w:kern w:val="0"/>
                      <w:sz w:val="21"/>
                      <w:szCs w:val="21"/>
                    </w:rPr>
                  </w:pPr>
                </w:p>
              </w:tc>
              <w:tc>
                <w:tcPr>
                  <w:tcW w:w="353" w:type="pct"/>
                  <w:vMerge w:val="continue"/>
                  <w:noWrap w:val="0"/>
                  <w:vAlign w:val="center"/>
                </w:tcPr>
                <w:p>
                  <w:pPr>
                    <w:adjustRightInd w:val="0"/>
                    <w:snapToGrid w:val="0"/>
                    <w:jc w:val="center"/>
                    <w:rPr>
                      <w:kern w:val="0"/>
                      <w:sz w:val="21"/>
                      <w:szCs w:val="21"/>
                    </w:rPr>
                  </w:pPr>
                </w:p>
              </w:tc>
              <w:tc>
                <w:tcPr>
                  <w:tcW w:w="576" w:type="pct"/>
                  <w:noWrap w:val="0"/>
                  <w:vAlign w:val="center"/>
                </w:tcPr>
                <w:p>
                  <w:pPr>
                    <w:jc w:val="center"/>
                    <w:rPr>
                      <w:rFonts w:hint="eastAsia"/>
                      <w:kern w:val="2"/>
                      <w:sz w:val="21"/>
                      <w:szCs w:val="21"/>
                      <w:lang w:val="en-US" w:eastAsia="zh-CN" w:bidi="ar-SA"/>
                    </w:rPr>
                  </w:pPr>
                  <w:r>
                    <w:rPr>
                      <w:rFonts w:hint="eastAsia"/>
                      <w:sz w:val="21"/>
                      <w:szCs w:val="21"/>
                    </w:rPr>
                    <w:t xml:space="preserve">In </w:t>
                  </w:r>
                </w:p>
              </w:tc>
              <w:tc>
                <w:tcPr>
                  <w:tcW w:w="785" w:type="pct"/>
                  <w:vMerge w:val="continue"/>
                  <w:noWrap w:val="0"/>
                  <w:vAlign w:val="center"/>
                </w:tcPr>
                <w:p>
                  <w:pPr>
                    <w:pStyle w:val="77"/>
                    <w:topLinePunct/>
                    <w:jc w:val="center"/>
                    <w:rPr>
                      <w:rFonts w:ascii="Times New Roman" w:hAnsi="Times New Roman" w:eastAsia="宋体" w:cs="Times New Roman"/>
                      <w:color w:val="auto"/>
                      <w:kern w:val="0"/>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24" w:type="pct"/>
                  <w:vMerge w:val="continue"/>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p>
              </w:tc>
              <w:tc>
                <w:tcPr>
                  <w:tcW w:w="502" w:type="pct"/>
                  <w:vMerge w:val="continue"/>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p>
              </w:tc>
              <w:tc>
                <w:tcPr>
                  <w:tcW w:w="750" w:type="pct"/>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r>
                    <w:rPr>
                      <w:rFonts w:ascii="Times New Roman" w:hAnsi="Times New Roman" w:eastAsia="宋体" w:cs="Times New Roman"/>
                      <w:color w:val="auto"/>
                      <w:kern w:val="0"/>
                      <w:sz w:val="21"/>
                      <w:szCs w:val="21"/>
                      <w:lang w:eastAsia="zh-CN"/>
                    </w:rPr>
                    <w:t>841-003-01</w:t>
                  </w:r>
                </w:p>
              </w:tc>
              <w:tc>
                <w:tcPr>
                  <w:tcW w:w="502" w:type="pct"/>
                  <w:vMerge w:val="continue"/>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p>
              </w:tc>
              <w:tc>
                <w:tcPr>
                  <w:tcW w:w="519" w:type="pct"/>
                  <w:vMerge w:val="continue"/>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p>
              </w:tc>
              <w:tc>
                <w:tcPr>
                  <w:tcW w:w="584" w:type="pct"/>
                  <w:vMerge w:val="continue"/>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p>
              </w:tc>
              <w:tc>
                <w:tcPr>
                  <w:tcW w:w="353" w:type="pct"/>
                  <w:vMerge w:val="continue"/>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p>
              </w:tc>
              <w:tc>
                <w:tcPr>
                  <w:tcW w:w="576" w:type="pct"/>
                  <w:noWrap w:val="0"/>
                  <w:vAlign w:val="center"/>
                </w:tcPr>
                <w:p>
                  <w:pPr>
                    <w:jc w:val="center"/>
                    <w:rPr>
                      <w:rFonts w:hint="eastAsia"/>
                      <w:kern w:val="2"/>
                      <w:sz w:val="21"/>
                      <w:szCs w:val="21"/>
                      <w:lang w:val="en-US" w:eastAsia="zh-CN" w:bidi="ar-SA"/>
                    </w:rPr>
                  </w:pPr>
                  <w:r>
                    <w:rPr>
                      <w:rFonts w:hint="eastAsia"/>
                      <w:sz w:val="21"/>
                      <w:szCs w:val="21"/>
                    </w:rPr>
                    <w:t xml:space="preserve">In </w:t>
                  </w:r>
                </w:p>
              </w:tc>
              <w:tc>
                <w:tcPr>
                  <w:tcW w:w="785" w:type="pct"/>
                  <w:vMerge w:val="continue"/>
                  <w:noWrap w:val="0"/>
                  <w:vAlign w:val="center"/>
                </w:tcPr>
                <w:p>
                  <w:pPr>
                    <w:pStyle w:val="77"/>
                    <w:topLinePunct/>
                    <w:jc w:val="center"/>
                    <w:rPr>
                      <w:rFonts w:ascii="Times New Roman" w:hAnsi="Times New Roman" w:eastAsia="宋体" w:cs="Times New Roman"/>
                      <w:color w:val="auto"/>
                      <w:kern w:val="0"/>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24" w:type="pct"/>
                  <w:vMerge w:val="continue"/>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p>
              </w:tc>
              <w:tc>
                <w:tcPr>
                  <w:tcW w:w="502" w:type="pct"/>
                  <w:vMerge w:val="continue"/>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p>
              </w:tc>
              <w:tc>
                <w:tcPr>
                  <w:tcW w:w="750" w:type="pct"/>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r>
                    <w:rPr>
                      <w:rFonts w:ascii="Times New Roman" w:hAnsi="Times New Roman" w:eastAsia="宋体" w:cs="Times New Roman"/>
                      <w:color w:val="auto"/>
                      <w:kern w:val="0"/>
                      <w:sz w:val="21"/>
                      <w:szCs w:val="21"/>
                      <w:lang w:eastAsia="zh-CN"/>
                    </w:rPr>
                    <w:t>841-004-01</w:t>
                  </w:r>
                </w:p>
              </w:tc>
              <w:tc>
                <w:tcPr>
                  <w:tcW w:w="502" w:type="pct"/>
                  <w:vMerge w:val="continue"/>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p>
              </w:tc>
              <w:tc>
                <w:tcPr>
                  <w:tcW w:w="519" w:type="pct"/>
                  <w:vMerge w:val="continue"/>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p>
              </w:tc>
              <w:tc>
                <w:tcPr>
                  <w:tcW w:w="584" w:type="pct"/>
                  <w:vMerge w:val="continue"/>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p>
              </w:tc>
              <w:tc>
                <w:tcPr>
                  <w:tcW w:w="353" w:type="pct"/>
                  <w:vMerge w:val="continue"/>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p>
              </w:tc>
              <w:tc>
                <w:tcPr>
                  <w:tcW w:w="576" w:type="pct"/>
                  <w:noWrap w:val="0"/>
                  <w:vAlign w:val="center"/>
                </w:tcPr>
                <w:p>
                  <w:pPr>
                    <w:jc w:val="center"/>
                    <w:rPr>
                      <w:rFonts w:hint="eastAsia"/>
                      <w:kern w:val="2"/>
                      <w:sz w:val="21"/>
                      <w:szCs w:val="21"/>
                      <w:lang w:val="en-US" w:eastAsia="zh-CN" w:bidi="ar-SA"/>
                    </w:rPr>
                  </w:pPr>
                  <w:r>
                    <w:rPr>
                      <w:rFonts w:hint="eastAsia"/>
                      <w:sz w:val="21"/>
                      <w:szCs w:val="21"/>
                    </w:rPr>
                    <w:t xml:space="preserve">T/C/I/R </w:t>
                  </w:r>
                </w:p>
              </w:tc>
              <w:tc>
                <w:tcPr>
                  <w:tcW w:w="785" w:type="pct"/>
                  <w:vMerge w:val="continue"/>
                  <w:noWrap w:val="0"/>
                  <w:vAlign w:val="center"/>
                </w:tcPr>
                <w:p>
                  <w:pPr>
                    <w:pStyle w:val="77"/>
                    <w:topLinePunct/>
                    <w:jc w:val="center"/>
                    <w:rPr>
                      <w:rFonts w:ascii="Times New Roman" w:hAnsi="Times New Roman" w:eastAsia="宋体" w:cs="Times New Roman"/>
                      <w:color w:val="auto"/>
                      <w:kern w:val="0"/>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24" w:type="pct"/>
                  <w:vMerge w:val="continue"/>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p>
              </w:tc>
              <w:tc>
                <w:tcPr>
                  <w:tcW w:w="502" w:type="pct"/>
                  <w:vMerge w:val="continue"/>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p>
              </w:tc>
              <w:tc>
                <w:tcPr>
                  <w:tcW w:w="750" w:type="pct"/>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r>
                    <w:rPr>
                      <w:rFonts w:ascii="Times New Roman" w:hAnsi="Times New Roman" w:eastAsia="宋体" w:cs="Times New Roman"/>
                      <w:color w:val="auto"/>
                      <w:kern w:val="0"/>
                      <w:sz w:val="21"/>
                      <w:szCs w:val="21"/>
                      <w:lang w:eastAsia="zh-CN"/>
                    </w:rPr>
                    <w:t>841-005-01</w:t>
                  </w:r>
                </w:p>
              </w:tc>
              <w:tc>
                <w:tcPr>
                  <w:tcW w:w="502" w:type="pct"/>
                  <w:vMerge w:val="continue"/>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p>
              </w:tc>
              <w:tc>
                <w:tcPr>
                  <w:tcW w:w="519" w:type="pct"/>
                  <w:vMerge w:val="continue"/>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p>
              </w:tc>
              <w:tc>
                <w:tcPr>
                  <w:tcW w:w="584" w:type="pct"/>
                  <w:vMerge w:val="continue"/>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p>
              </w:tc>
              <w:tc>
                <w:tcPr>
                  <w:tcW w:w="353" w:type="pct"/>
                  <w:vMerge w:val="continue"/>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p>
              </w:tc>
              <w:tc>
                <w:tcPr>
                  <w:tcW w:w="576" w:type="pct"/>
                  <w:noWrap w:val="0"/>
                  <w:vAlign w:val="center"/>
                </w:tcPr>
                <w:p>
                  <w:pPr>
                    <w:jc w:val="center"/>
                    <w:rPr>
                      <w:rFonts w:hint="eastAsia"/>
                      <w:kern w:val="2"/>
                      <w:sz w:val="21"/>
                      <w:szCs w:val="21"/>
                      <w:lang w:val="en-US" w:eastAsia="zh-CN" w:bidi="ar-SA"/>
                    </w:rPr>
                  </w:pPr>
                  <w:r>
                    <w:rPr>
                      <w:rFonts w:hint="eastAsia"/>
                      <w:sz w:val="21"/>
                      <w:szCs w:val="21"/>
                    </w:rPr>
                    <w:t>T</w:t>
                  </w:r>
                </w:p>
              </w:tc>
              <w:tc>
                <w:tcPr>
                  <w:tcW w:w="785" w:type="pct"/>
                  <w:vMerge w:val="continue"/>
                  <w:noWrap w:val="0"/>
                  <w:vAlign w:val="center"/>
                </w:tcPr>
                <w:p>
                  <w:pPr>
                    <w:pStyle w:val="77"/>
                    <w:topLinePunct/>
                    <w:jc w:val="center"/>
                    <w:rPr>
                      <w:rFonts w:ascii="Times New Roman" w:hAnsi="Times New Roman" w:eastAsia="宋体" w:cs="Times New Roman"/>
                      <w:color w:val="auto"/>
                      <w:kern w:val="0"/>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424" w:type="pct"/>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eastAsia="zh-CN"/>
                    </w:rPr>
                    <w:t>污水处理站</w:t>
                  </w:r>
                  <w:r>
                    <w:rPr>
                      <w:rFonts w:ascii="Times New Roman" w:hAnsi="Times New Roman" w:eastAsia="宋体" w:cs="Times New Roman"/>
                      <w:color w:val="auto"/>
                      <w:kern w:val="0"/>
                      <w:sz w:val="21"/>
                      <w:szCs w:val="21"/>
                      <w:lang w:eastAsia="zh-CN"/>
                    </w:rPr>
                    <w:t>污泥</w:t>
                  </w:r>
                </w:p>
              </w:tc>
              <w:tc>
                <w:tcPr>
                  <w:tcW w:w="502" w:type="pct"/>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r>
                    <w:rPr>
                      <w:rFonts w:ascii="Times New Roman" w:hAnsi="Times New Roman" w:eastAsia="宋体" w:cs="Times New Roman"/>
                      <w:color w:val="auto"/>
                      <w:kern w:val="0"/>
                      <w:sz w:val="21"/>
                      <w:szCs w:val="21"/>
                      <w:lang w:eastAsia="zh-CN"/>
                    </w:rPr>
                    <w:t>HW01</w:t>
                  </w:r>
                </w:p>
              </w:tc>
              <w:tc>
                <w:tcPr>
                  <w:tcW w:w="750" w:type="pct"/>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r>
                    <w:rPr>
                      <w:rFonts w:ascii="Times New Roman" w:hAnsi="Times New Roman" w:eastAsia="宋体" w:cs="Times New Roman"/>
                      <w:color w:val="auto"/>
                      <w:kern w:val="0"/>
                      <w:sz w:val="21"/>
                      <w:szCs w:val="21"/>
                      <w:lang w:eastAsia="zh-CN"/>
                    </w:rPr>
                    <w:t>841-001-01</w:t>
                  </w:r>
                </w:p>
              </w:tc>
              <w:tc>
                <w:tcPr>
                  <w:tcW w:w="502" w:type="pct"/>
                  <w:noWrap w:val="0"/>
                  <w:vAlign w:val="center"/>
                </w:tcPr>
                <w:p>
                  <w:pPr>
                    <w:pStyle w:val="77"/>
                    <w:topLinePunct/>
                    <w:autoSpaceDE/>
                    <w:autoSpaceDN/>
                    <w:adjustRightInd/>
                    <w:snapToGrid/>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0.54</w:t>
                  </w:r>
                </w:p>
              </w:tc>
              <w:tc>
                <w:tcPr>
                  <w:tcW w:w="519" w:type="pct"/>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eastAsia="zh-CN"/>
                    </w:rPr>
                    <w:t>污水处理站运行</w:t>
                  </w:r>
                </w:p>
              </w:tc>
              <w:tc>
                <w:tcPr>
                  <w:tcW w:w="584" w:type="pct"/>
                  <w:noWrap w:val="0"/>
                  <w:vAlign w:val="center"/>
                </w:tcPr>
                <w:p>
                  <w:pPr>
                    <w:jc w:val="center"/>
                    <w:rPr>
                      <w:rFonts w:ascii="Times New Roman" w:hAnsi="Times New Roman" w:eastAsia="宋体" w:cs="Times New Roman"/>
                      <w:color w:val="auto"/>
                      <w:kern w:val="0"/>
                      <w:sz w:val="21"/>
                      <w:szCs w:val="21"/>
                      <w:lang w:eastAsia="zh-CN"/>
                    </w:rPr>
                  </w:pPr>
                  <w:r>
                    <w:rPr>
                      <w:rFonts w:hint="eastAsia"/>
                      <w:sz w:val="21"/>
                      <w:szCs w:val="21"/>
                      <w:lang w:val="en"/>
                    </w:rPr>
                    <w:t>半液态</w:t>
                  </w:r>
                </w:p>
              </w:tc>
              <w:tc>
                <w:tcPr>
                  <w:tcW w:w="353" w:type="pct"/>
                  <w:noWrap w:val="0"/>
                  <w:vAlign w:val="center"/>
                </w:tcPr>
                <w:p>
                  <w:pPr>
                    <w:jc w:val="center"/>
                    <w:rPr>
                      <w:rFonts w:ascii="Times New Roman" w:hAnsi="Times New Roman" w:eastAsia="宋体" w:cs="Times New Roman"/>
                      <w:color w:val="auto"/>
                      <w:kern w:val="0"/>
                      <w:sz w:val="21"/>
                      <w:szCs w:val="21"/>
                      <w:lang w:eastAsia="zh-CN"/>
                    </w:rPr>
                  </w:pPr>
                  <w:r>
                    <w:rPr>
                      <w:rFonts w:hint="eastAsia"/>
                      <w:sz w:val="21"/>
                      <w:szCs w:val="21"/>
                      <w:lang w:val="en-US" w:eastAsia="zh-CN"/>
                    </w:rPr>
                    <w:t>3</w:t>
                  </w:r>
                  <w:r>
                    <w:rPr>
                      <w:rFonts w:hint="eastAsia"/>
                      <w:sz w:val="21"/>
                      <w:szCs w:val="21"/>
                    </w:rPr>
                    <w:t>个月</w:t>
                  </w:r>
                </w:p>
              </w:tc>
              <w:tc>
                <w:tcPr>
                  <w:tcW w:w="576" w:type="pct"/>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eastAsia="zh-CN"/>
                    </w:rPr>
                    <w:t>T/In</w:t>
                  </w:r>
                </w:p>
              </w:tc>
              <w:tc>
                <w:tcPr>
                  <w:tcW w:w="785" w:type="pct"/>
                  <w:vMerge w:val="continue"/>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10" w:hRule="atLeast"/>
                <w:jc w:val="center"/>
              </w:trPr>
              <w:tc>
                <w:tcPr>
                  <w:tcW w:w="424" w:type="pct"/>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r>
                    <w:rPr>
                      <w:rFonts w:ascii="Times New Roman" w:hAnsi="Times New Roman" w:eastAsia="宋体" w:cs="Times New Roman"/>
                      <w:color w:val="auto"/>
                      <w:kern w:val="0"/>
                      <w:sz w:val="21"/>
                      <w:szCs w:val="21"/>
                      <w:lang w:eastAsia="zh-CN"/>
                    </w:rPr>
                    <w:t>生活垃圾</w:t>
                  </w:r>
                </w:p>
              </w:tc>
              <w:tc>
                <w:tcPr>
                  <w:tcW w:w="502" w:type="pct"/>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r>
                    <w:rPr>
                      <w:rFonts w:ascii="Times New Roman" w:hAnsi="Times New Roman" w:eastAsia="宋体" w:cs="Times New Roman"/>
                      <w:color w:val="auto"/>
                      <w:kern w:val="0"/>
                      <w:sz w:val="21"/>
                      <w:szCs w:val="21"/>
                      <w:lang w:eastAsia="zh-CN"/>
                    </w:rPr>
                    <w:t>/</w:t>
                  </w:r>
                </w:p>
              </w:tc>
              <w:tc>
                <w:tcPr>
                  <w:tcW w:w="750" w:type="pct"/>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r>
                    <w:rPr>
                      <w:rFonts w:ascii="Times New Roman" w:hAnsi="Times New Roman" w:eastAsia="宋体" w:cs="Times New Roman"/>
                      <w:color w:val="auto"/>
                      <w:kern w:val="0"/>
                      <w:sz w:val="21"/>
                      <w:szCs w:val="21"/>
                      <w:lang w:eastAsia="zh-CN"/>
                    </w:rPr>
                    <w:t>/</w:t>
                  </w:r>
                </w:p>
              </w:tc>
              <w:tc>
                <w:tcPr>
                  <w:tcW w:w="502" w:type="pct"/>
                  <w:noWrap w:val="0"/>
                  <w:vAlign w:val="center"/>
                </w:tcPr>
                <w:p>
                  <w:pPr>
                    <w:pStyle w:val="77"/>
                    <w:topLinePunct/>
                    <w:autoSpaceDE/>
                    <w:autoSpaceDN/>
                    <w:adjustRightInd/>
                    <w:snapToGrid/>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40.83</w:t>
                  </w:r>
                </w:p>
              </w:tc>
              <w:tc>
                <w:tcPr>
                  <w:tcW w:w="519" w:type="pct"/>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eastAsia="zh-CN"/>
                    </w:rPr>
                    <w:t>人员生活</w:t>
                  </w:r>
                </w:p>
              </w:tc>
              <w:tc>
                <w:tcPr>
                  <w:tcW w:w="584" w:type="pct"/>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r>
                    <w:rPr>
                      <w:rFonts w:ascii="Times New Roman" w:hAnsi="Times New Roman" w:eastAsia="宋体" w:cs="Times New Roman"/>
                      <w:color w:val="auto"/>
                      <w:kern w:val="0"/>
                      <w:sz w:val="21"/>
                      <w:szCs w:val="21"/>
                      <w:lang w:eastAsia="zh-CN"/>
                    </w:rPr>
                    <w:t>固态</w:t>
                  </w:r>
                </w:p>
              </w:tc>
              <w:tc>
                <w:tcPr>
                  <w:tcW w:w="353" w:type="pct"/>
                  <w:noWrap w:val="0"/>
                  <w:vAlign w:val="center"/>
                </w:tcPr>
                <w:p>
                  <w:pPr>
                    <w:jc w:val="center"/>
                    <w:rPr>
                      <w:kern w:val="2"/>
                      <w:sz w:val="21"/>
                      <w:szCs w:val="21"/>
                      <w:lang w:val="en-US" w:eastAsia="zh-CN" w:bidi="ar-SA"/>
                    </w:rPr>
                  </w:pPr>
                  <w:r>
                    <w:rPr>
                      <w:rFonts w:hint="eastAsia"/>
                      <w:sz w:val="21"/>
                      <w:szCs w:val="21"/>
                    </w:rPr>
                    <w:t>1d</w:t>
                  </w:r>
                </w:p>
              </w:tc>
              <w:tc>
                <w:tcPr>
                  <w:tcW w:w="576" w:type="pct"/>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r>
                    <w:rPr>
                      <w:rFonts w:ascii="Times New Roman" w:hAnsi="Times New Roman" w:eastAsia="宋体" w:cs="Times New Roman"/>
                      <w:color w:val="auto"/>
                      <w:kern w:val="0"/>
                      <w:sz w:val="21"/>
                      <w:szCs w:val="21"/>
                      <w:lang w:eastAsia="zh-CN"/>
                    </w:rPr>
                    <w:t>/</w:t>
                  </w:r>
                </w:p>
              </w:tc>
              <w:tc>
                <w:tcPr>
                  <w:tcW w:w="785" w:type="pct"/>
                  <w:noWrap w:val="0"/>
                  <w:vAlign w:val="center"/>
                </w:tcPr>
                <w:p>
                  <w:pPr>
                    <w:pStyle w:val="77"/>
                    <w:topLinePunct/>
                    <w:autoSpaceDE/>
                    <w:autoSpaceDN/>
                    <w:adjustRightInd/>
                    <w:snapToGrid/>
                    <w:jc w:val="center"/>
                    <w:rPr>
                      <w:rFonts w:ascii="Times New Roman" w:hAnsi="Times New Roman" w:eastAsia="宋体" w:cs="Times New Roman"/>
                      <w:color w:val="auto"/>
                      <w:kern w:val="0"/>
                      <w:sz w:val="21"/>
                      <w:szCs w:val="21"/>
                      <w:lang w:eastAsia="zh-CN"/>
                    </w:rPr>
                  </w:pPr>
                  <w:r>
                    <w:rPr>
                      <w:rFonts w:ascii="Times New Roman" w:hAnsi="Times New Roman" w:eastAsia="宋体" w:cs="Times New Roman"/>
                      <w:color w:val="auto"/>
                      <w:kern w:val="0"/>
                      <w:sz w:val="21"/>
                      <w:szCs w:val="21"/>
                      <w:lang w:eastAsia="zh-CN"/>
                    </w:rPr>
                    <w:t>依托现有处理方式</w:t>
                  </w:r>
                  <w:r>
                    <w:rPr>
                      <w:rFonts w:hint="eastAsia" w:ascii="Times New Roman" w:hAnsi="Times New Roman" w:eastAsia="宋体" w:cs="Times New Roman"/>
                      <w:color w:val="auto"/>
                      <w:kern w:val="0"/>
                      <w:sz w:val="21"/>
                      <w:szCs w:val="21"/>
                      <w:lang w:eastAsia="zh-CN"/>
                    </w:rPr>
                    <w:t>，交由当地环卫部门清运、处置</w:t>
                  </w:r>
                </w:p>
              </w:tc>
            </w:tr>
          </w:tbl>
          <w:p>
            <w:pPr>
              <w:spacing w:line="360" w:lineRule="auto"/>
              <w:ind w:firstLine="480" w:firstLineChars="200"/>
              <w:rPr>
                <w:rFonts w:hint="eastAsia"/>
                <w:b/>
                <w:bCs/>
                <w:color w:val="000000"/>
                <w:szCs w:val="21"/>
              </w:rPr>
            </w:pPr>
            <w:r>
              <w:rPr>
                <w:kern w:val="0"/>
                <w:sz w:val="24"/>
              </w:rPr>
              <w:t>本次扩建后全院固体废物情况如下：</w:t>
            </w:r>
          </w:p>
          <w:p>
            <w:pPr>
              <w:jc w:val="center"/>
              <w:rPr>
                <w:rFonts w:hint="eastAsia"/>
                <w:b/>
                <w:bCs/>
                <w:color w:val="000000"/>
                <w:szCs w:val="21"/>
              </w:rPr>
            </w:pPr>
            <w:r>
              <w:rPr>
                <w:rFonts w:hint="eastAsia"/>
                <w:b/>
                <w:bCs/>
                <w:color w:val="000000"/>
                <w:szCs w:val="21"/>
              </w:rPr>
              <w:t>表4</w:t>
            </w:r>
            <w:r>
              <w:rPr>
                <w:rFonts w:hint="eastAsia"/>
                <w:b/>
                <w:bCs/>
                <w:color w:val="000000"/>
                <w:szCs w:val="21"/>
                <w:lang w:val="en-US" w:eastAsia="zh-CN"/>
              </w:rPr>
              <w:t xml:space="preserve">-20 </w:t>
            </w:r>
            <w:r>
              <w:rPr>
                <w:rFonts w:hint="eastAsia"/>
                <w:b/>
                <w:bCs/>
                <w:color w:val="000000"/>
                <w:szCs w:val="21"/>
              </w:rPr>
              <w:t xml:space="preserve"> </w:t>
            </w:r>
            <w:r>
              <w:rPr>
                <w:b/>
                <w:bCs/>
                <w:kern w:val="0"/>
                <w:szCs w:val="21"/>
              </w:rPr>
              <w:t>扩建后全院项目固体废物产生及处置情况表</w:t>
            </w:r>
          </w:p>
          <w:tbl>
            <w:tblPr>
              <w:tblStyle w:val="41"/>
              <w:tblW w:w="823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66"/>
              <w:gridCol w:w="818"/>
              <w:gridCol w:w="347"/>
              <w:gridCol w:w="642"/>
              <w:gridCol w:w="585"/>
              <w:gridCol w:w="630"/>
              <w:gridCol w:w="870"/>
              <w:gridCol w:w="347"/>
              <w:gridCol w:w="504"/>
              <w:gridCol w:w="349"/>
              <w:gridCol w:w="435"/>
              <w:gridCol w:w="510"/>
              <w:gridCol w:w="534"/>
              <w:gridCol w:w="801"/>
              <w:gridCol w:w="49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222" w:type="pct"/>
                  <w:noWrap w:val="0"/>
                  <w:vAlign w:val="center"/>
                </w:tcPr>
                <w:p>
                  <w:pPr>
                    <w:jc w:val="center"/>
                    <w:rPr>
                      <w:sz w:val="18"/>
                      <w:szCs w:val="18"/>
                    </w:rPr>
                  </w:pPr>
                  <w:r>
                    <w:rPr>
                      <w:rFonts w:hint="eastAsia"/>
                      <w:sz w:val="18"/>
                      <w:szCs w:val="18"/>
                    </w:rPr>
                    <w:t>序号</w:t>
                  </w:r>
                </w:p>
              </w:tc>
              <w:tc>
                <w:tcPr>
                  <w:tcW w:w="496" w:type="pct"/>
                  <w:noWrap w:val="0"/>
                  <w:vAlign w:val="center"/>
                </w:tcPr>
                <w:p>
                  <w:pPr>
                    <w:jc w:val="center"/>
                    <w:rPr>
                      <w:sz w:val="18"/>
                      <w:szCs w:val="18"/>
                    </w:rPr>
                  </w:pPr>
                  <w:r>
                    <w:rPr>
                      <w:rFonts w:hint="eastAsia"/>
                      <w:sz w:val="18"/>
                      <w:szCs w:val="18"/>
                    </w:rPr>
                    <w:t>固废名称</w:t>
                  </w:r>
                </w:p>
              </w:tc>
              <w:tc>
                <w:tcPr>
                  <w:tcW w:w="210" w:type="pct"/>
                  <w:noWrap w:val="0"/>
                  <w:vAlign w:val="center"/>
                </w:tcPr>
                <w:p>
                  <w:pPr>
                    <w:jc w:val="center"/>
                    <w:rPr>
                      <w:sz w:val="18"/>
                      <w:szCs w:val="18"/>
                    </w:rPr>
                  </w:pPr>
                  <w:r>
                    <w:rPr>
                      <w:rFonts w:hint="eastAsia"/>
                      <w:sz w:val="18"/>
                      <w:szCs w:val="18"/>
                    </w:rPr>
                    <w:t>危废类别</w:t>
                  </w:r>
                </w:p>
              </w:tc>
              <w:tc>
                <w:tcPr>
                  <w:tcW w:w="389" w:type="pct"/>
                  <w:noWrap w:val="0"/>
                  <w:vAlign w:val="center"/>
                </w:tcPr>
                <w:p>
                  <w:pPr>
                    <w:jc w:val="center"/>
                    <w:rPr>
                      <w:sz w:val="18"/>
                      <w:szCs w:val="18"/>
                    </w:rPr>
                  </w:pPr>
                  <w:r>
                    <w:rPr>
                      <w:rFonts w:hint="eastAsia"/>
                      <w:sz w:val="18"/>
                      <w:szCs w:val="18"/>
                    </w:rPr>
                    <w:t>危废代码</w:t>
                  </w:r>
                </w:p>
              </w:tc>
              <w:tc>
                <w:tcPr>
                  <w:tcW w:w="355" w:type="pct"/>
                  <w:noWrap w:val="0"/>
                  <w:vAlign w:val="center"/>
                </w:tcPr>
                <w:p>
                  <w:pPr>
                    <w:jc w:val="center"/>
                    <w:rPr>
                      <w:sz w:val="18"/>
                      <w:szCs w:val="18"/>
                    </w:rPr>
                  </w:pPr>
                  <w:r>
                    <w:rPr>
                      <w:rFonts w:hint="eastAsia"/>
                      <w:sz w:val="18"/>
                      <w:szCs w:val="18"/>
                    </w:rPr>
                    <w:t>产生工序</w:t>
                  </w:r>
                </w:p>
              </w:tc>
              <w:tc>
                <w:tcPr>
                  <w:tcW w:w="382" w:type="pct"/>
                  <w:noWrap w:val="0"/>
                  <w:vAlign w:val="center"/>
                </w:tcPr>
                <w:p>
                  <w:pPr>
                    <w:jc w:val="center"/>
                    <w:rPr>
                      <w:sz w:val="18"/>
                      <w:szCs w:val="18"/>
                    </w:rPr>
                  </w:pPr>
                  <w:r>
                    <w:rPr>
                      <w:rFonts w:hint="eastAsia"/>
                      <w:sz w:val="18"/>
                      <w:szCs w:val="18"/>
                    </w:rPr>
                    <w:t>产生量t/a</w:t>
                  </w:r>
                </w:p>
              </w:tc>
              <w:tc>
                <w:tcPr>
                  <w:tcW w:w="528" w:type="pct"/>
                  <w:noWrap w:val="0"/>
                  <w:vAlign w:val="center"/>
                </w:tcPr>
                <w:p>
                  <w:pPr>
                    <w:jc w:val="center"/>
                    <w:rPr>
                      <w:sz w:val="18"/>
                      <w:szCs w:val="18"/>
                    </w:rPr>
                  </w:pPr>
                  <w:r>
                    <w:rPr>
                      <w:rFonts w:hint="eastAsia"/>
                      <w:sz w:val="18"/>
                      <w:szCs w:val="18"/>
                    </w:rPr>
                    <w:t>主要有害成分</w:t>
                  </w:r>
                </w:p>
              </w:tc>
              <w:tc>
                <w:tcPr>
                  <w:tcW w:w="210" w:type="pct"/>
                  <w:noWrap w:val="0"/>
                  <w:vAlign w:val="center"/>
                </w:tcPr>
                <w:p>
                  <w:pPr>
                    <w:jc w:val="center"/>
                    <w:rPr>
                      <w:sz w:val="18"/>
                      <w:szCs w:val="18"/>
                    </w:rPr>
                  </w:pPr>
                  <w:r>
                    <w:rPr>
                      <w:rFonts w:hint="eastAsia"/>
                      <w:sz w:val="18"/>
                      <w:szCs w:val="18"/>
                    </w:rPr>
                    <w:t>形态</w:t>
                  </w:r>
                </w:p>
              </w:tc>
              <w:tc>
                <w:tcPr>
                  <w:tcW w:w="306" w:type="pct"/>
                  <w:noWrap w:val="0"/>
                  <w:vAlign w:val="center"/>
                </w:tcPr>
                <w:p>
                  <w:pPr>
                    <w:jc w:val="center"/>
                    <w:rPr>
                      <w:sz w:val="18"/>
                      <w:szCs w:val="18"/>
                    </w:rPr>
                  </w:pPr>
                  <w:r>
                    <w:rPr>
                      <w:rFonts w:hint="eastAsia"/>
                      <w:sz w:val="18"/>
                      <w:szCs w:val="18"/>
                    </w:rPr>
                    <w:t>危废特性</w:t>
                  </w:r>
                </w:p>
              </w:tc>
              <w:tc>
                <w:tcPr>
                  <w:tcW w:w="212" w:type="pct"/>
                  <w:noWrap w:val="0"/>
                  <w:vAlign w:val="center"/>
                </w:tcPr>
                <w:p>
                  <w:pPr>
                    <w:jc w:val="center"/>
                    <w:rPr>
                      <w:sz w:val="18"/>
                      <w:szCs w:val="18"/>
                    </w:rPr>
                  </w:pPr>
                  <w:r>
                    <w:rPr>
                      <w:rFonts w:hint="eastAsia"/>
                      <w:sz w:val="18"/>
                      <w:szCs w:val="18"/>
                    </w:rPr>
                    <w:t>储存场所</w:t>
                  </w:r>
                </w:p>
              </w:tc>
              <w:tc>
                <w:tcPr>
                  <w:tcW w:w="264" w:type="pct"/>
                  <w:noWrap w:val="0"/>
                  <w:vAlign w:val="center"/>
                </w:tcPr>
                <w:p>
                  <w:pPr>
                    <w:jc w:val="center"/>
                    <w:rPr>
                      <w:sz w:val="18"/>
                      <w:szCs w:val="18"/>
                    </w:rPr>
                  </w:pPr>
                  <w:r>
                    <w:rPr>
                      <w:rFonts w:hint="eastAsia"/>
                      <w:sz w:val="18"/>
                      <w:szCs w:val="18"/>
                    </w:rPr>
                    <w:t>储存方式</w:t>
                  </w:r>
                </w:p>
              </w:tc>
              <w:tc>
                <w:tcPr>
                  <w:tcW w:w="309" w:type="pct"/>
                  <w:noWrap w:val="0"/>
                  <w:vAlign w:val="center"/>
                </w:tcPr>
                <w:p>
                  <w:pPr>
                    <w:jc w:val="center"/>
                    <w:rPr>
                      <w:sz w:val="18"/>
                      <w:szCs w:val="18"/>
                    </w:rPr>
                  </w:pPr>
                  <w:r>
                    <w:rPr>
                      <w:rFonts w:hint="eastAsia"/>
                      <w:sz w:val="18"/>
                      <w:szCs w:val="18"/>
                    </w:rPr>
                    <w:t>储存周期</w:t>
                  </w:r>
                </w:p>
              </w:tc>
              <w:tc>
                <w:tcPr>
                  <w:tcW w:w="324" w:type="pct"/>
                  <w:noWrap w:val="0"/>
                  <w:vAlign w:val="center"/>
                </w:tcPr>
                <w:p>
                  <w:pPr>
                    <w:jc w:val="center"/>
                    <w:rPr>
                      <w:rFonts w:hint="eastAsia"/>
                      <w:sz w:val="18"/>
                      <w:szCs w:val="18"/>
                    </w:rPr>
                  </w:pPr>
                  <w:r>
                    <w:rPr>
                      <w:rFonts w:hint="eastAsia"/>
                      <w:sz w:val="18"/>
                      <w:szCs w:val="18"/>
                    </w:rPr>
                    <w:t>最大储存量</w:t>
                  </w:r>
                </w:p>
              </w:tc>
              <w:tc>
                <w:tcPr>
                  <w:tcW w:w="486" w:type="pct"/>
                  <w:noWrap w:val="0"/>
                  <w:vAlign w:val="center"/>
                </w:tcPr>
                <w:p>
                  <w:pPr>
                    <w:jc w:val="center"/>
                    <w:rPr>
                      <w:sz w:val="18"/>
                      <w:szCs w:val="18"/>
                    </w:rPr>
                  </w:pPr>
                  <w:r>
                    <w:rPr>
                      <w:rFonts w:hint="eastAsia"/>
                      <w:sz w:val="18"/>
                      <w:szCs w:val="18"/>
                    </w:rPr>
                    <w:t>处置方式</w:t>
                  </w:r>
                </w:p>
              </w:tc>
              <w:tc>
                <w:tcPr>
                  <w:tcW w:w="299" w:type="pct"/>
                  <w:noWrap w:val="0"/>
                  <w:vAlign w:val="center"/>
                </w:tcPr>
                <w:p>
                  <w:pPr>
                    <w:jc w:val="center"/>
                    <w:rPr>
                      <w:sz w:val="18"/>
                      <w:szCs w:val="18"/>
                    </w:rPr>
                  </w:pPr>
                  <w:r>
                    <w:rPr>
                      <w:rFonts w:hint="eastAsia"/>
                      <w:sz w:val="18"/>
                      <w:szCs w:val="18"/>
                    </w:rPr>
                    <w:t>处理量t/a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0" w:hRule="atLeast"/>
                <w:jc w:val="center"/>
              </w:trPr>
              <w:tc>
                <w:tcPr>
                  <w:tcW w:w="222" w:type="pct"/>
                  <w:noWrap w:val="0"/>
                  <w:vAlign w:val="center"/>
                </w:tcPr>
                <w:p>
                  <w:pPr>
                    <w:jc w:val="center"/>
                    <w:rPr>
                      <w:sz w:val="18"/>
                      <w:szCs w:val="18"/>
                    </w:rPr>
                  </w:pPr>
                  <w:r>
                    <w:rPr>
                      <w:rFonts w:hint="eastAsia"/>
                      <w:sz w:val="18"/>
                      <w:szCs w:val="18"/>
                    </w:rPr>
                    <w:t>1</w:t>
                  </w:r>
                </w:p>
              </w:tc>
              <w:tc>
                <w:tcPr>
                  <w:tcW w:w="496" w:type="pct"/>
                  <w:noWrap w:val="0"/>
                  <w:vAlign w:val="center"/>
                </w:tcPr>
                <w:p>
                  <w:pPr>
                    <w:jc w:val="center"/>
                    <w:rPr>
                      <w:sz w:val="18"/>
                      <w:szCs w:val="18"/>
                    </w:rPr>
                  </w:pPr>
                  <w:r>
                    <w:rPr>
                      <w:rFonts w:hint="eastAsia"/>
                      <w:sz w:val="18"/>
                      <w:szCs w:val="18"/>
                    </w:rPr>
                    <w:t>生活垃圾</w:t>
                  </w:r>
                </w:p>
              </w:tc>
              <w:tc>
                <w:tcPr>
                  <w:tcW w:w="210" w:type="pct"/>
                  <w:noWrap w:val="0"/>
                  <w:vAlign w:val="center"/>
                </w:tcPr>
                <w:p>
                  <w:pPr>
                    <w:jc w:val="center"/>
                    <w:rPr>
                      <w:sz w:val="18"/>
                      <w:szCs w:val="18"/>
                    </w:rPr>
                  </w:pPr>
                  <w:r>
                    <w:rPr>
                      <w:rFonts w:hint="eastAsia"/>
                      <w:sz w:val="18"/>
                      <w:szCs w:val="18"/>
                    </w:rPr>
                    <w:t>/</w:t>
                  </w:r>
                </w:p>
              </w:tc>
              <w:tc>
                <w:tcPr>
                  <w:tcW w:w="389" w:type="pct"/>
                  <w:noWrap w:val="0"/>
                  <w:vAlign w:val="center"/>
                </w:tcPr>
                <w:p>
                  <w:pPr>
                    <w:jc w:val="center"/>
                    <w:rPr>
                      <w:sz w:val="18"/>
                      <w:szCs w:val="18"/>
                    </w:rPr>
                  </w:pPr>
                  <w:r>
                    <w:rPr>
                      <w:rFonts w:hint="eastAsia"/>
                      <w:sz w:val="18"/>
                      <w:szCs w:val="18"/>
                    </w:rPr>
                    <w:t>/</w:t>
                  </w:r>
                </w:p>
              </w:tc>
              <w:tc>
                <w:tcPr>
                  <w:tcW w:w="355" w:type="pct"/>
                  <w:noWrap w:val="0"/>
                  <w:vAlign w:val="center"/>
                </w:tcPr>
                <w:p>
                  <w:pPr>
                    <w:jc w:val="center"/>
                    <w:rPr>
                      <w:rFonts w:hint="eastAsia"/>
                      <w:sz w:val="18"/>
                      <w:szCs w:val="18"/>
                    </w:rPr>
                  </w:pPr>
                  <w:r>
                    <w:rPr>
                      <w:rFonts w:hint="eastAsia"/>
                      <w:sz w:val="18"/>
                      <w:szCs w:val="18"/>
                    </w:rPr>
                    <w:t>人员</w:t>
                  </w:r>
                </w:p>
                <w:p>
                  <w:pPr>
                    <w:jc w:val="center"/>
                    <w:rPr>
                      <w:sz w:val="18"/>
                      <w:szCs w:val="18"/>
                    </w:rPr>
                  </w:pPr>
                  <w:r>
                    <w:rPr>
                      <w:rFonts w:hint="eastAsia"/>
                      <w:sz w:val="18"/>
                      <w:szCs w:val="18"/>
                    </w:rPr>
                    <w:t>生活</w:t>
                  </w:r>
                </w:p>
              </w:tc>
              <w:tc>
                <w:tcPr>
                  <w:tcW w:w="382" w:type="pct"/>
                  <w:noWrap w:val="0"/>
                  <w:vAlign w:val="center"/>
                </w:tcPr>
                <w:p>
                  <w:pPr>
                    <w:jc w:val="center"/>
                    <w:rPr>
                      <w:rFonts w:hint="default" w:eastAsia="宋体"/>
                      <w:sz w:val="18"/>
                      <w:szCs w:val="18"/>
                      <w:lang w:val="en-US" w:eastAsia="zh-CN"/>
                    </w:rPr>
                  </w:pPr>
                  <w:r>
                    <w:rPr>
                      <w:rFonts w:hint="eastAsia"/>
                      <w:sz w:val="18"/>
                      <w:szCs w:val="18"/>
                      <w:lang w:val="en-US" w:eastAsia="zh-CN"/>
                    </w:rPr>
                    <w:t>95.63</w:t>
                  </w:r>
                </w:p>
              </w:tc>
              <w:tc>
                <w:tcPr>
                  <w:tcW w:w="528" w:type="pct"/>
                  <w:noWrap w:val="0"/>
                  <w:vAlign w:val="center"/>
                </w:tcPr>
                <w:p>
                  <w:pPr>
                    <w:jc w:val="center"/>
                    <w:rPr>
                      <w:sz w:val="18"/>
                      <w:szCs w:val="18"/>
                    </w:rPr>
                  </w:pPr>
                  <w:r>
                    <w:rPr>
                      <w:rFonts w:hint="eastAsia"/>
                      <w:sz w:val="18"/>
                      <w:szCs w:val="18"/>
                    </w:rPr>
                    <w:t>生活垃圾</w:t>
                  </w:r>
                </w:p>
              </w:tc>
              <w:tc>
                <w:tcPr>
                  <w:tcW w:w="210" w:type="pct"/>
                  <w:noWrap w:val="0"/>
                  <w:vAlign w:val="center"/>
                </w:tcPr>
                <w:p>
                  <w:pPr>
                    <w:jc w:val="center"/>
                    <w:rPr>
                      <w:rFonts w:hint="eastAsia"/>
                      <w:sz w:val="18"/>
                      <w:szCs w:val="18"/>
                    </w:rPr>
                  </w:pPr>
                  <w:r>
                    <w:rPr>
                      <w:rFonts w:hint="eastAsia"/>
                      <w:sz w:val="18"/>
                      <w:szCs w:val="18"/>
                    </w:rPr>
                    <w:t>固态</w:t>
                  </w:r>
                </w:p>
              </w:tc>
              <w:tc>
                <w:tcPr>
                  <w:tcW w:w="306" w:type="pct"/>
                  <w:noWrap w:val="0"/>
                  <w:vAlign w:val="center"/>
                </w:tcPr>
                <w:p>
                  <w:pPr>
                    <w:jc w:val="center"/>
                    <w:rPr>
                      <w:sz w:val="18"/>
                      <w:szCs w:val="18"/>
                    </w:rPr>
                  </w:pPr>
                  <w:r>
                    <w:rPr>
                      <w:rFonts w:hint="eastAsia"/>
                      <w:sz w:val="18"/>
                      <w:szCs w:val="18"/>
                    </w:rPr>
                    <w:t>/</w:t>
                  </w:r>
                </w:p>
              </w:tc>
              <w:tc>
                <w:tcPr>
                  <w:tcW w:w="212" w:type="pct"/>
                  <w:noWrap w:val="0"/>
                  <w:vAlign w:val="center"/>
                </w:tcPr>
                <w:p>
                  <w:pPr>
                    <w:jc w:val="center"/>
                    <w:rPr>
                      <w:sz w:val="18"/>
                      <w:szCs w:val="18"/>
                    </w:rPr>
                  </w:pPr>
                  <w:r>
                    <w:rPr>
                      <w:rFonts w:hint="eastAsia"/>
                      <w:sz w:val="18"/>
                      <w:szCs w:val="18"/>
                    </w:rPr>
                    <w:t>垃圾桶</w:t>
                  </w:r>
                </w:p>
              </w:tc>
              <w:tc>
                <w:tcPr>
                  <w:tcW w:w="264" w:type="pct"/>
                  <w:noWrap w:val="0"/>
                  <w:vAlign w:val="center"/>
                </w:tcPr>
                <w:p>
                  <w:pPr>
                    <w:jc w:val="center"/>
                    <w:rPr>
                      <w:sz w:val="18"/>
                      <w:szCs w:val="18"/>
                    </w:rPr>
                  </w:pPr>
                  <w:r>
                    <w:rPr>
                      <w:rFonts w:hint="eastAsia"/>
                      <w:sz w:val="18"/>
                      <w:szCs w:val="18"/>
                    </w:rPr>
                    <w:t>垃圾桶收集</w:t>
                  </w:r>
                </w:p>
              </w:tc>
              <w:tc>
                <w:tcPr>
                  <w:tcW w:w="309" w:type="pct"/>
                  <w:noWrap w:val="0"/>
                  <w:vAlign w:val="center"/>
                </w:tcPr>
                <w:p>
                  <w:pPr>
                    <w:jc w:val="center"/>
                    <w:rPr>
                      <w:sz w:val="18"/>
                      <w:szCs w:val="18"/>
                    </w:rPr>
                  </w:pPr>
                  <w:r>
                    <w:rPr>
                      <w:rFonts w:hint="eastAsia"/>
                      <w:sz w:val="18"/>
                      <w:szCs w:val="18"/>
                    </w:rPr>
                    <w:t>1d</w:t>
                  </w:r>
                </w:p>
              </w:tc>
              <w:tc>
                <w:tcPr>
                  <w:tcW w:w="324" w:type="pct"/>
                  <w:noWrap w:val="0"/>
                  <w:vAlign w:val="center"/>
                </w:tcPr>
                <w:p>
                  <w:pPr>
                    <w:jc w:val="center"/>
                    <w:rPr>
                      <w:rFonts w:hint="default"/>
                      <w:sz w:val="18"/>
                      <w:szCs w:val="18"/>
                      <w:lang w:val="en-US"/>
                    </w:rPr>
                  </w:pPr>
                  <w:r>
                    <w:rPr>
                      <w:rFonts w:hint="eastAsia"/>
                      <w:sz w:val="18"/>
                      <w:szCs w:val="18"/>
                      <w:lang w:val="en-US" w:eastAsia="zh-CN"/>
                    </w:rPr>
                    <w:t>0.262t</w:t>
                  </w:r>
                </w:p>
              </w:tc>
              <w:tc>
                <w:tcPr>
                  <w:tcW w:w="486" w:type="pct"/>
                  <w:noWrap w:val="0"/>
                  <w:vAlign w:val="center"/>
                </w:tcPr>
                <w:p>
                  <w:pPr>
                    <w:jc w:val="center"/>
                    <w:rPr>
                      <w:sz w:val="18"/>
                      <w:szCs w:val="18"/>
                    </w:rPr>
                  </w:pPr>
                  <w:r>
                    <w:rPr>
                      <w:rFonts w:hint="eastAsia"/>
                      <w:sz w:val="18"/>
                      <w:szCs w:val="18"/>
                    </w:rPr>
                    <w:t>交由当地环卫部门清运、处置</w:t>
                  </w:r>
                </w:p>
              </w:tc>
              <w:tc>
                <w:tcPr>
                  <w:tcW w:w="299" w:type="pct"/>
                  <w:noWrap w:val="0"/>
                  <w:vAlign w:val="center"/>
                </w:tcPr>
                <w:p>
                  <w:pPr>
                    <w:jc w:val="center"/>
                    <w:rPr>
                      <w:rFonts w:hint="default" w:eastAsia="宋体"/>
                      <w:sz w:val="18"/>
                      <w:szCs w:val="18"/>
                      <w:lang w:val="en-US" w:eastAsia="zh-CN"/>
                    </w:rPr>
                  </w:pPr>
                  <w:r>
                    <w:rPr>
                      <w:rFonts w:hint="eastAsia"/>
                      <w:sz w:val="18"/>
                      <w:szCs w:val="18"/>
                      <w:lang w:val="en-US" w:eastAsia="zh-CN"/>
                    </w:rPr>
                    <w:t>95.63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222" w:type="pct"/>
                  <w:vMerge w:val="restart"/>
                  <w:noWrap w:val="0"/>
                  <w:vAlign w:val="center"/>
                </w:tcPr>
                <w:p>
                  <w:pPr>
                    <w:jc w:val="center"/>
                    <w:rPr>
                      <w:sz w:val="18"/>
                      <w:szCs w:val="18"/>
                    </w:rPr>
                  </w:pPr>
                  <w:r>
                    <w:rPr>
                      <w:rFonts w:hint="eastAsia"/>
                      <w:sz w:val="18"/>
                      <w:szCs w:val="18"/>
                    </w:rPr>
                    <w:t>2</w:t>
                  </w:r>
                </w:p>
              </w:tc>
              <w:tc>
                <w:tcPr>
                  <w:tcW w:w="496" w:type="pct"/>
                  <w:vMerge w:val="restart"/>
                  <w:noWrap w:val="0"/>
                  <w:vAlign w:val="center"/>
                </w:tcPr>
                <w:p>
                  <w:pPr>
                    <w:jc w:val="center"/>
                    <w:rPr>
                      <w:rFonts w:hint="eastAsia"/>
                      <w:sz w:val="18"/>
                      <w:szCs w:val="18"/>
                    </w:rPr>
                  </w:pPr>
                  <w:r>
                    <w:rPr>
                      <w:rFonts w:hint="eastAsia"/>
                      <w:sz w:val="18"/>
                      <w:szCs w:val="18"/>
                    </w:rPr>
                    <w:t>医疗废物</w:t>
                  </w:r>
                </w:p>
              </w:tc>
              <w:tc>
                <w:tcPr>
                  <w:tcW w:w="210" w:type="pct"/>
                  <w:vMerge w:val="restart"/>
                  <w:noWrap w:val="0"/>
                  <w:vAlign w:val="center"/>
                </w:tcPr>
                <w:p>
                  <w:pPr>
                    <w:jc w:val="center"/>
                    <w:rPr>
                      <w:sz w:val="18"/>
                      <w:szCs w:val="18"/>
                    </w:rPr>
                  </w:pPr>
                  <w:r>
                    <w:rPr>
                      <w:rFonts w:hint="eastAsia"/>
                      <w:sz w:val="18"/>
                      <w:szCs w:val="18"/>
                    </w:rPr>
                    <w:t>HW01</w:t>
                  </w:r>
                </w:p>
              </w:tc>
              <w:tc>
                <w:tcPr>
                  <w:tcW w:w="389" w:type="pct"/>
                  <w:tcBorders>
                    <w:bottom w:val="single" w:color="000000" w:sz="4" w:space="0"/>
                  </w:tcBorders>
                  <w:noWrap w:val="0"/>
                  <w:vAlign w:val="center"/>
                </w:tcPr>
                <w:p>
                  <w:pPr>
                    <w:jc w:val="center"/>
                    <w:rPr>
                      <w:rFonts w:hint="eastAsia"/>
                      <w:sz w:val="18"/>
                      <w:szCs w:val="18"/>
                    </w:rPr>
                  </w:pPr>
                  <w:r>
                    <w:rPr>
                      <w:rFonts w:hint="eastAsia"/>
                      <w:sz w:val="18"/>
                      <w:szCs w:val="18"/>
                    </w:rPr>
                    <w:t>841-001-01</w:t>
                  </w:r>
                </w:p>
              </w:tc>
              <w:tc>
                <w:tcPr>
                  <w:tcW w:w="355" w:type="pct"/>
                  <w:vMerge w:val="restart"/>
                  <w:noWrap w:val="0"/>
                  <w:vAlign w:val="center"/>
                </w:tcPr>
                <w:p>
                  <w:pPr>
                    <w:jc w:val="center"/>
                    <w:rPr>
                      <w:rFonts w:hint="eastAsia"/>
                    </w:rPr>
                  </w:pPr>
                  <w:r>
                    <w:rPr>
                      <w:rFonts w:hint="eastAsia"/>
                    </w:rPr>
                    <w:t>病人治疗</w:t>
                  </w:r>
                </w:p>
              </w:tc>
              <w:tc>
                <w:tcPr>
                  <w:tcW w:w="382" w:type="pct"/>
                  <w:vMerge w:val="restart"/>
                  <w:noWrap w:val="0"/>
                  <w:vAlign w:val="center"/>
                </w:tcPr>
                <w:p>
                  <w:pPr>
                    <w:jc w:val="center"/>
                    <w:rPr>
                      <w:sz w:val="18"/>
                      <w:szCs w:val="18"/>
                    </w:rPr>
                  </w:pPr>
                  <w:r>
                    <w:rPr>
                      <w:rFonts w:hint="eastAsia"/>
                      <w:sz w:val="18"/>
                      <w:szCs w:val="18"/>
                    </w:rPr>
                    <w:t>6.57</w:t>
                  </w:r>
                </w:p>
              </w:tc>
              <w:tc>
                <w:tcPr>
                  <w:tcW w:w="528" w:type="pct"/>
                  <w:tcBorders>
                    <w:bottom w:val="single" w:color="000000" w:sz="4" w:space="0"/>
                  </w:tcBorders>
                  <w:noWrap w:val="0"/>
                  <w:vAlign w:val="center"/>
                </w:tcPr>
                <w:p>
                  <w:pPr>
                    <w:jc w:val="center"/>
                    <w:rPr>
                      <w:sz w:val="18"/>
                      <w:szCs w:val="18"/>
                    </w:rPr>
                  </w:pPr>
                  <w:r>
                    <w:rPr>
                      <w:rFonts w:hint="eastAsia"/>
                      <w:sz w:val="18"/>
                      <w:szCs w:val="18"/>
                    </w:rPr>
                    <w:t>感染性废物</w:t>
                  </w:r>
                </w:p>
              </w:tc>
              <w:tc>
                <w:tcPr>
                  <w:tcW w:w="210" w:type="pct"/>
                  <w:vMerge w:val="restart"/>
                  <w:noWrap w:val="0"/>
                  <w:vAlign w:val="center"/>
                </w:tcPr>
                <w:p>
                  <w:pPr>
                    <w:rPr>
                      <w:rFonts w:hint="eastAsia"/>
                      <w:sz w:val="18"/>
                      <w:szCs w:val="18"/>
                    </w:rPr>
                  </w:pPr>
                  <w:r>
                    <w:rPr>
                      <w:rFonts w:hint="eastAsia"/>
                      <w:sz w:val="18"/>
                      <w:szCs w:val="18"/>
                    </w:rPr>
                    <w:t>液态、固态、半液态等</w:t>
                  </w:r>
                </w:p>
              </w:tc>
              <w:tc>
                <w:tcPr>
                  <w:tcW w:w="306" w:type="pct"/>
                  <w:tcBorders>
                    <w:bottom w:val="single" w:color="000000" w:sz="4" w:space="0"/>
                  </w:tcBorders>
                  <w:noWrap w:val="0"/>
                  <w:vAlign w:val="center"/>
                </w:tcPr>
                <w:p>
                  <w:pPr>
                    <w:jc w:val="center"/>
                    <w:rPr>
                      <w:rFonts w:hint="eastAsia"/>
                      <w:sz w:val="18"/>
                      <w:szCs w:val="18"/>
                    </w:rPr>
                  </w:pPr>
                  <w:r>
                    <w:rPr>
                      <w:rFonts w:hint="eastAsia"/>
                      <w:sz w:val="18"/>
                      <w:szCs w:val="18"/>
                    </w:rPr>
                    <w:t xml:space="preserve">In </w:t>
                  </w:r>
                </w:p>
              </w:tc>
              <w:tc>
                <w:tcPr>
                  <w:tcW w:w="212" w:type="pct"/>
                  <w:vMerge w:val="restart"/>
                  <w:noWrap w:val="0"/>
                  <w:vAlign w:val="center"/>
                </w:tcPr>
                <w:p>
                  <w:pPr>
                    <w:jc w:val="center"/>
                    <w:rPr>
                      <w:sz w:val="18"/>
                      <w:szCs w:val="18"/>
                    </w:rPr>
                  </w:pPr>
                  <w:r>
                    <w:rPr>
                      <w:rFonts w:hint="eastAsia"/>
                      <w:sz w:val="18"/>
                      <w:szCs w:val="18"/>
                    </w:rPr>
                    <w:t>医疗废物暂存间</w:t>
                  </w:r>
                </w:p>
              </w:tc>
              <w:tc>
                <w:tcPr>
                  <w:tcW w:w="264" w:type="pct"/>
                  <w:vMerge w:val="restart"/>
                  <w:noWrap w:val="0"/>
                  <w:vAlign w:val="center"/>
                </w:tcPr>
                <w:p>
                  <w:pPr>
                    <w:jc w:val="center"/>
                    <w:rPr>
                      <w:rFonts w:hint="eastAsia"/>
                      <w:sz w:val="18"/>
                      <w:szCs w:val="18"/>
                    </w:rPr>
                  </w:pPr>
                  <w:r>
                    <w:rPr>
                      <w:rFonts w:hint="eastAsia"/>
                      <w:sz w:val="18"/>
                      <w:szCs w:val="18"/>
                    </w:rPr>
                    <w:t>专用容器</w:t>
                  </w:r>
                </w:p>
              </w:tc>
              <w:tc>
                <w:tcPr>
                  <w:tcW w:w="309" w:type="pct"/>
                  <w:vMerge w:val="restart"/>
                  <w:noWrap w:val="0"/>
                  <w:vAlign w:val="center"/>
                </w:tcPr>
                <w:p>
                  <w:pPr>
                    <w:jc w:val="center"/>
                    <w:rPr>
                      <w:rFonts w:hint="eastAsia"/>
                      <w:sz w:val="18"/>
                      <w:szCs w:val="18"/>
                    </w:rPr>
                  </w:pPr>
                  <w:r>
                    <w:rPr>
                      <w:rFonts w:hint="eastAsia"/>
                      <w:sz w:val="18"/>
                      <w:szCs w:val="18"/>
                    </w:rPr>
                    <w:t>1个月</w:t>
                  </w:r>
                </w:p>
              </w:tc>
              <w:tc>
                <w:tcPr>
                  <w:tcW w:w="324" w:type="pct"/>
                  <w:vMerge w:val="restart"/>
                  <w:noWrap w:val="0"/>
                  <w:vAlign w:val="center"/>
                </w:tcPr>
                <w:p>
                  <w:pPr>
                    <w:jc w:val="center"/>
                    <w:rPr>
                      <w:sz w:val="18"/>
                      <w:szCs w:val="18"/>
                    </w:rPr>
                  </w:pPr>
                  <w:r>
                    <w:rPr>
                      <w:rFonts w:hint="eastAsia"/>
                      <w:sz w:val="18"/>
                      <w:szCs w:val="18"/>
                    </w:rPr>
                    <w:t>0.55t</w:t>
                  </w:r>
                </w:p>
              </w:tc>
              <w:tc>
                <w:tcPr>
                  <w:tcW w:w="486" w:type="pct"/>
                  <w:vMerge w:val="restart"/>
                  <w:noWrap w:val="0"/>
                  <w:vAlign w:val="center"/>
                </w:tcPr>
                <w:p>
                  <w:pPr>
                    <w:jc w:val="center"/>
                    <w:rPr>
                      <w:sz w:val="18"/>
                      <w:szCs w:val="18"/>
                    </w:rPr>
                  </w:pPr>
                  <w:r>
                    <w:rPr>
                      <w:rFonts w:hint="eastAsia"/>
                      <w:sz w:val="18"/>
                      <w:szCs w:val="18"/>
                    </w:rPr>
                    <w:t>签订协议，交由资质单位清运处置</w:t>
                  </w:r>
                </w:p>
              </w:tc>
              <w:tc>
                <w:tcPr>
                  <w:tcW w:w="299" w:type="pct"/>
                  <w:vMerge w:val="restart"/>
                  <w:noWrap w:val="0"/>
                  <w:vAlign w:val="center"/>
                </w:tcPr>
                <w:p>
                  <w:pPr>
                    <w:jc w:val="center"/>
                    <w:rPr>
                      <w:sz w:val="18"/>
                      <w:szCs w:val="18"/>
                    </w:rPr>
                  </w:pPr>
                  <w:r>
                    <w:rPr>
                      <w:rFonts w:hint="eastAsia"/>
                      <w:sz w:val="18"/>
                      <w:szCs w:val="18"/>
                    </w:rPr>
                    <w:t>6.57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222" w:type="pct"/>
                  <w:vMerge w:val="continue"/>
                  <w:noWrap w:val="0"/>
                  <w:vAlign w:val="center"/>
                </w:tcPr>
                <w:p>
                  <w:pPr>
                    <w:jc w:val="center"/>
                    <w:rPr>
                      <w:rFonts w:hint="eastAsia"/>
                      <w:sz w:val="18"/>
                      <w:szCs w:val="18"/>
                    </w:rPr>
                  </w:pPr>
                </w:p>
              </w:tc>
              <w:tc>
                <w:tcPr>
                  <w:tcW w:w="496" w:type="pct"/>
                  <w:vMerge w:val="continue"/>
                  <w:noWrap w:val="0"/>
                  <w:vAlign w:val="center"/>
                </w:tcPr>
                <w:p>
                  <w:pPr>
                    <w:jc w:val="center"/>
                    <w:rPr>
                      <w:rFonts w:hint="eastAsia"/>
                      <w:sz w:val="18"/>
                      <w:szCs w:val="18"/>
                    </w:rPr>
                  </w:pPr>
                </w:p>
              </w:tc>
              <w:tc>
                <w:tcPr>
                  <w:tcW w:w="210" w:type="pct"/>
                  <w:vMerge w:val="continue"/>
                  <w:noWrap w:val="0"/>
                  <w:vAlign w:val="center"/>
                </w:tcPr>
                <w:p>
                  <w:pPr>
                    <w:jc w:val="center"/>
                    <w:rPr>
                      <w:rFonts w:hint="eastAsia"/>
                      <w:sz w:val="18"/>
                      <w:szCs w:val="18"/>
                    </w:rPr>
                  </w:pPr>
                </w:p>
              </w:tc>
              <w:tc>
                <w:tcPr>
                  <w:tcW w:w="389" w:type="pct"/>
                  <w:tcBorders>
                    <w:top w:val="single" w:color="000000" w:sz="4" w:space="0"/>
                    <w:bottom w:val="single" w:color="000000" w:sz="4" w:space="0"/>
                  </w:tcBorders>
                  <w:noWrap w:val="0"/>
                  <w:vAlign w:val="center"/>
                </w:tcPr>
                <w:p>
                  <w:pPr>
                    <w:jc w:val="center"/>
                    <w:rPr>
                      <w:rFonts w:hint="eastAsia"/>
                      <w:sz w:val="18"/>
                      <w:szCs w:val="18"/>
                    </w:rPr>
                  </w:pPr>
                  <w:r>
                    <w:rPr>
                      <w:rFonts w:hint="eastAsia"/>
                      <w:sz w:val="18"/>
                      <w:szCs w:val="18"/>
                    </w:rPr>
                    <w:t>841-002-01</w:t>
                  </w:r>
                </w:p>
              </w:tc>
              <w:tc>
                <w:tcPr>
                  <w:tcW w:w="355" w:type="pct"/>
                  <w:vMerge w:val="continue"/>
                  <w:noWrap w:val="0"/>
                  <w:vAlign w:val="center"/>
                </w:tcPr>
                <w:p>
                  <w:pPr>
                    <w:jc w:val="center"/>
                    <w:rPr>
                      <w:rFonts w:hint="eastAsia"/>
                      <w:sz w:val="18"/>
                      <w:szCs w:val="18"/>
                    </w:rPr>
                  </w:pPr>
                </w:p>
              </w:tc>
              <w:tc>
                <w:tcPr>
                  <w:tcW w:w="382" w:type="pct"/>
                  <w:vMerge w:val="continue"/>
                  <w:noWrap w:val="0"/>
                  <w:vAlign w:val="center"/>
                </w:tcPr>
                <w:p>
                  <w:pPr>
                    <w:jc w:val="center"/>
                    <w:rPr>
                      <w:rFonts w:hint="eastAsia"/>
                      <w:sz w:val="18"/>
                      <w:szCs w:val="18"/>
                    </w:rPr>
                  </w:pPr>
                </w:p>
              </w:tc>
              <w:tc>
                <w:tcPr>
                  <w:tcW w:w="528" w:type="pct"/>
                  <w:tcBorders>
                    <w:top w:val="single" w:color="000000" w:sz="4" w:space="0"/>
                    <w:bottom w:val="single" w:color="000000" w:sz="4" w:space="0"/>
                  </w:tcBorders>
                  <w:noWrap w:val="0"/>
                  <w:vAlign w:val="center"/>
                </w:tcPr>
                <w:p>
                  <w:pPr>
                    <w:jc w:val="center"/>
                    <w:rPr>
                      <w:rFonts w:hint="eastAsia"/>
                      <w:sz w:val="18"/>
                      <w:szCs w:val="18"/>
                    </w:rPr>
                  </w:pPr>
                  <w:r>
                    <w:rPr>
                      <w:rFonts w:hint="eastAsia"/>
                      <w:sz w:val="18"/>
                      <w:szCs w:val="18"/>
                    </w:rPr>
                    <w:t>损伤性废物</w:t>
                  </w:r>
                </w:p>
              </w:tc>
              <w:tc>
                <w:tcPr>
                  <w:tcW w:w="210" w:type="pct"/>
                  <w:vMerge w:val="continue"/>
                  <w:noWrap w:val="0"/>
                  <w:vAlign w:val="center"/>
                </w:tcPr>
                <w:p>
                  <w:pPr>
                    <w:jc w:val="center"/>
                    <w:rPr>
                      <w:rFonts w:hint="eastAsia"/>
                      <w:sz w:val="18"/>
                      <w:szCs w:val="18"/>
                    </w:rPr>
                  </w:pPr>
                </w:p>
              </w:tc>
              <w:tc>
                <w:tcPr>
                  <w:tcW w:w="306" w:type="pct"/>
                  <w:tcBorders>
                    <w:top w:val="single" w:color="000000" w:sz="4" w:space="0"/>
                    <w:bottom w:val="single" w:color="000000" w:sz="4" w:space="0"/>
                  </w:tcBorders>
                  <w:noWrap w:val="0"/>
                  <w:vAlign w:val="center"/>
                </w:tcPr>
                <w:p>
                  <w:pPr>
                    <w:jc w:val="center"/>
                    <w:rPr>
                      <w:rFonts w:hint="eastAsia"/>
                      <w:sz w:val="18"/>
                      <w:szCs w:val="18"/>
                    </w:rPr>
                  </w:pPr>
                  <w:r>
                    <w:rPr>
                      <w:rFonts w:hint="eastAsia"/>
                      <w:sz w:val="18"/>
                      <w:szCs w:val="18"/>
                    </w:rPr>
                    <w:t xml:space="preserve">In </w:t>
                  </w:r>
                </w:p>
              </w:tc>
              <w:tc>
                <w:tcPr>
                  <w:tcW w:w="212" w:type="pct"/>
                  <w:vMerge w:val="continue"/>
                  <w:noWrap w:val="0"/>
                  <w:vAlign w:val="center"/>
                </w:tcPr>
                <w:p>
                  <w:pPr>
                    <w:jc w:val="center"/>
                    <w:rPr>
                      <w:rFonts w:hint="eastAsia"/>
                      <w:sz w:val="18"/>
                      <w:szCs w:val="18"/>
                    </w:rPr>
                  </w:pPr>
                </w:p>
              </w:tc>
              <w:tc>
                <w:tcPr>
                  <w:tcW w:w="264" w:type="pct"/>
                  <w:vMerge w:val="continue"/>
                  <w:noWrap w:val="0"/>
                  <w:vAlign w:val="center"/>
                </w:tcPr>
                <w:p>
                  <w:pPr>
                    <w:jc w:val="center"/>
                    <w:rPr>
                      <w:rFonts w:hint="eastAsia"/>
                      <w:sz w:val="18"/>
                      <w:szCs w:val="18"/>
                    </w:rPr>
                  </w:pPr>
                </w:p>
              </w:tc>
              <w:tc>
                <w:tcPr>
                  <w:tcW w:w="309" w:type="pct"/>
                  <w:vMerge w:val="continue"/>
                  <w:noWrap w:val="0"/>
                  <w:vAlign w:val="center"/>
                </w:tcPr>
                <w:p>
                  <w:pPr>
                    <w:jc w:val="center"/>
                    <w:rPr>
                      <w:rFonts w:hint="eastAsia"/>
                      <w:sz w:val="18"/>
                      <w:szCs w:val="18"/>
                    </w:rPr>
                  </w:pPr>
                </w:p>
              </w:tc>
              <w:tc>
                <w:tcPr>
                  <w:tcW w:w="324" w:type="pct"/>
                  <w:vMerge w:val="continue"/>
                  <w:noWrap w:val="0"/>
                  <w:vAlign w:val="center"/>
                </w:tcPr>
                <w:p>
                  <w:pPr>
                    <w:jc w:val="center"/>
                    <w:rPr>
                      <w:rFonts w:hint="eastAsia"/>
                      <w:sz w:val="18"/>
                      <w:szCs w:val="18"/>
                    </w:rPr>
                  </w:pPr>
                </w:p>
              </w:tc>
              <w:tc>
                <w:tcPr>
                  <w:tcW w:w="486" w:type="pct"/>
                  <w:vMerge w:val="continue"/>
                  <w:noWrap w:val="0"/>
                  <w:vAlign w:val="center"/>
                </w:tcPr>
                <w:p>
                  <w:pPr>
                    <w:jc w:val="center"/>
                    <w:rPr>
                      <w:rFonts w:hint="eastAsia"/>
                      <w:sz w:val="18"/>
                      <w:szCs w:val="18"/>
                    </w:rPr>
                  </w:pPr>
                </w:p>
              </w:tc>
              <w:tc>
                <w:tcPr>
                  <w:tcW w:w="299" w:type="pct"/>
                  <w:vMerge w:val="continue"/>
                  <w:noWrap w:val="0"/>
                  <w:vAlign w:val="center"/>
                </w:tcPr>
                <w:p>
                  <w:pPr>
                    <w:jc w:val="center"/>
                    <w:rPr>
                      <w:rFonts w:hint="eastAsia"/>
                      <w:sz w:val="18"/>
                      <w:szCs w:val="18"/>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222" w:type="pct"/>
                  <w:vMerge w:val="continue"/>
                  <w:noWrap w:val="0"/>
                  <w:vAlign w:val="center"/>
                </w:tcPr>
                <w:p>
                  <w:pPr>
                    <w:jc w:val="center"/>
                    <w:rPr>
                      <w:rFonts w:hint="eastAsia"/>
                      <w:sz w:val="18"/>
                      <w:szCs w:val="18"/>
                    </w:rPr>
                  </w:pPr>
                </w:p>
              </w:tc>
              <w:tc>
                <w:tcPr>
                  <w:tcW w:w="496" w:type="pct"/>
                  <w:vMerge w:val="continue"/>
                  <w:noWrap w:val="0"/>
                  <w:vAlign w:val="center"/>
                </w:tcPr>
                <w:p>
                  <w:pPr>
                    <w:jc w:val="center"/>
                    <w:rPr>
                      <w:rFonts w:hint="eastAsia"/>
                      <w:sz w:val="18"/>
                      <w:szCs w:val="18"/>
                    </w:rPr>
                  </w:pPr>
                </w:p>
              </w:tc>
              <w:tc>
                <w:tcPr>
                  <w:tcW w:w="210" w:type="pct"/>
                  <w:vMerge w:val="continue"/>
                  <w:noWrap w:val="0"/>
                  <w:vAlign w:val="center"/>
                </w:tcPr>
                <w:p>
                  <w:pPr>
                    <w:jc w:val="center"/>
                    <w:rPr>
                      <w:rFonts w:hint="eastAsia"/>
                      <w:sz w:val="18"/>
                      <w:szCs w:val="18"/>
                    </w:rPr>
                  </w:pPr>
                </w:p>
              </w:tc>
              <w:tc>
                <w:tcPr>
                  <w:tcW w:w="389" w:type="pct"/>
                  <w:tcBorders>
                    <w:top w:val="single" w:color="000000" w:sz="4" w:space="0"/>
                    <w:bottom w:val="single" w:color="000000" w:sz="4" w:space="0"/>
                  </w:tcBorders>
                  <w:noWrap w:val="0"/>
                  <w:vAlign w:val="center"/>
                </w:tcPr>
                <w:p>
                  <w:pPr>
                    <w:jc w:val="center"/>
                    <w:rPr>
                      <w:rFonts w:hint="eastAsia"/>
                      <w:sz w:val="18"/>
                      <w:szCs w:val="18"/>
                    </w:rPr>
                  </w:pPr>
                  <w:r>
                    <w:rPr>
                      <w:rFonts w:hint="eastAsia"/>
                      <w:sz w:val="18"/>
                      <w:szCs w:val="18"/>
                    </w:rPr>
                    <w:t>841-003-01</w:t>
                  </w:r>
                </w:p>
              </w:tc>
              <w:tc>
                <w:tcPr>
                  <w:tcW w:w="355" w:type="pct"/>
                  <w:vMerge w:val="continue"/>
                  <w:noWrap w:val="0"/>
                  <w:vAlign w:val="center"/>
                </w:tcPr>
                <w:p>
                  <w:pPr>
                    <w:jc w:val="center"/>
                    <w:rPr>
                      <w:sz w:val="18"/>
                      <w:szCs w:val="18"/>
                    </w:rPr>
                  </w:pPr>
                </w:p>
              </w:tc>
              <w:tc>
                <w:tcPr>
                  <w:tcW w:w="382" w:type="pct"/>
                  <w:vMerge w:val="continue"/>
                  <w:noWrap w:val="0"/>
                  <w:vAlign w:val="center"/>
                </w:tcPr>
                <w:p>
                  <w:pPr>
                    <w:jc w:val="center"/>
                    <w:rPr>
                      <w:rFonts w:hint="eastAsia"/>
                      <w:sz w:val="18"/>
                      <w:szCs w:val="18"/>
                    </w:rPr>
                  </w:pPr>
                </w:p>
              </w:tc>
              <w:tc>
                <w:tcPr>
                  <w:tcW w:w="528" w:type="pct"/>
                  <w:tcBorders>
                    <w:top w:val="single" w:color="000000" w:sz="4" w:space="0"/>
                    <w:bottom w:val="single" w:color="000000" w:sz="4" w:space="0"/>
                  </w:tcBorders>
                  <w:noWrap w:val="0"/>
                  <w:vAlign w:val="center"/>
                </w:tcPr>
                <w:p>
                  <w:pPr>
                    <w:jc w:val="center"/>
                    <w:rPr>
                      <w:rFonts w:hint="eastAsia"/>
                      <w:sz w:val="18"/>
                      <w:szCs w:val="18"/>
                    </w:rPr>
                  </w:pPr>
                  <w:r>
                    <w:rPr>
                      <w:rFonts w:hint="eastAsia"/>
                      <w:sz w:val="18"/>
                      <w:szCs w:val="18"/>
                    </w:rPr>
                    <w:t>病理性废物</w:t>
                  </w:r>
                </w:p>
              </w:tc>
              <w:tc>
                <w:tcPr>
                  <w:tcW w:w="210" w:type="pct"/>
                  <w:vMerge w:val="continue"/>
                  <w:noWrap w:val="0"/>
                  <w:vAlign w:val="center"/>
                </w:tcPr>
                <w:p>
                  <w:pPr>
                    <w:jc w:val="center"/>
                    <w:rPr>
                      <w:rFonts w:hint="eastAsia"/>
                      <w:sz w:val="18"/>
                      <w:szCs w:val="18"/>
                    </w:rPr>
                  </w:pPr>
                </w:p>
              </w:tc>
              <w:tc>
                <w:tcPr>
                  <w:tcW w:w="306" w:type="pct"/>
                  <w:tcBorders>
                    <w:top w:val="single" w:color="000000" w:sz="4" w:space="0"/>
                    <w:bottom w:val="single" w:color="000000" w:sz="4" w:space="0"/>
                  </w:tcBorders>
                  <w:noWrap w:val="0"/>
                  <w:vAlign w:val="center"/>
                </w:tcPr>
                <w:p>
                  <w:pPr>
                    <w:jc w:val="center"/>
                    <w:rPr>
                      <w:rFonts w:hint="eastAsia"/>
                      <w:sz w:val="18"/>
                      <w:szCs w:val="18"/>
                    </w:rPr>
                  </w:pPr>
                  <w:r>
                    <w:rPr>
                      <w:rFonts w:hint="eastAsia"/>
                      <w:sz w:val="18"/>
                      <w:szCs w:val="18"/>
                    </w:rPr>
                    <w:t xml:space="preserve">In </w:t>
                  </w:r>
                </w:p>
              </w:tc>
              <w:tc>
                <w:tcPr>
                  <w:tcW w:w="212" w:type="pct"/>
                  <w:vMerge w:val="continue"/>
                  <w:noWrap w:val="0"/>
                  <w:vAlign w:val="center"/>
                </w:tcPr>
                <w:p>
                  <w:pPr>
                    <w:jc w:val="center"/>
                    <w:rPr>
                      <w:rFonts w:hint="eastAsia"/>
                      <w:sz w:val="18"/>
                      <w:szCs w:val="18"/>
                    </w:rPr>
                  </w:pPr>
                </w:p>
              </w:tc>
              <w:tc>
                <w:tcPr>
                  <w:tcW w:w="264" w:type="pct"/>
                  <w:vMerge w:val="continue"/>
                  <w:noWrap w:val="0"/>
                  <w:vAlign w:val="center"/>
                </w:tcPr>
                <w:p>
                  <w:pPr>
                    <w:jc w:val="center"/>
                    <w:rPr>
                      <w:rFonts w:hint="eastAsia"/>
                      <w:sz w:val="18"/>
                      <w:szCs w:val="18"/>
                    </w:rPr>
                  </w:pPr>
                </w:p>
              </w:tc>
              <w:tc>
                <w:tcPr>
                  <w:tcW w:w="309" w:type="pct"/>
                  <w:vMerge w:val="continue"/>
                  <w:noWrap w:val="0"/>
                  <w:vAlign w:val="center"/>
                </w:tcPr>
                <w:p>
                  <w:pPr>
                    <w:jc w:val="center"/>
                    <w:rPr>
                      <w:rFonts w:hint="eastAsia"/>
                      <w:sz w:val="18"/>
                      <w:szCs w:val="18"/>
                    </w:rPr>
                  </w:pPr>
                </w:p>
              </w:tc>
              <w:tc>
                <w:tcPr>
                  <w:tcW w:w="324" w:type="pct"/>
                  <w:vMerge w:val="continue"/>
                  <w:noWrap w:val="0"/>
                  <w:vAlign w:val="center"/>
                </w:tcPr>
                <w:p>
                  <w:pPr>
                    <w:jc w:val="center"/>
                    <w:rPr>
                      <w:rFonts w:hint="eastAsia"/>
                      <w:sz w:val="18"/>
                      <w:szCs w:val="18"/>
                    </w:rPr>
                  </w:pPr>
                </w:p>
              </w:tc>
              <w:tc>
                <w:tcPr>
                  <w:tcW w:w="486" w:type="pct"/>
                  <w:vMerge w:val="continue"/>
                  <w:noWrap w:val="0"/>
                  <w:vAlign w:val="center"/>
                </w:tcPr>
                <w:p>
                  <w:pPr>
                    <w:jc w:val="center"/>
                    <w:rPr>
                      <w:rFonts w:hint="eastAsia"/>
                      <w:sz w:val="18"/>
                      <w:szCs w:val="18"/>
                    </w:rPr>
                  </w:pPr>
                </w:p>
              </w:tc>
              <w:tc>
                <w:tcPr>
                  <w:tcW w:w="299" w:type="pct"/>
                  <w:vMerge w:val="continue"/>
                  <w:noWrap w:val="0"/>
                  <w:vAlign w:val="center"/>
                </w:tcPr>
                <w:p>
                  <w:pPr>
                    <w:jc w:val="center"/>
                    <w:rPr>
                      <w:rFonts w:hint="eastAsia"/>
                      <w:sz w:val="18"/>
                      <w:szCs w:val="18"/>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2" w:type="pct"/>
                  <w:vMerge w:val="continue"/>
                  <w:noWrap w:val="0"/>
                  <w:vAlign w:val="center"/>
                </w:tcPr>
                <w:p>
                  <w:pPr>
                    <w:jc w:val="center"/>
                    <w:rPr>
                      <w:rFonts w:hint="eastAsia"/>
                      <w:sz w:val="18"/>
                      <w:szCs w:val="18"/>
                    </w:rPr>
                  </w:pPr>
                </w:p>
              </w:tc>
              <w:tc>
                <w:tcPr>
                  <w:tcW w:w="496" w:type="pct"/>
                  <w:vMerge w:val="continue"/>
                  <w:noWrap w:val="0"/>
                  <w:vAlign w:val="center"/>
                </w:tcPr>
                <w:p>
                  <w:pPr>
                    <w:jc w:val="center"/>
                    <w:rPr>
                      <w:rFonts w:hint="eastAsia"/>
                      <w:sz w:val="18"/>
                      <w:szCs w:val="18"/>
                    </w:rPr>
                  </w:pPr>
                </w:p>
              </w:tc>
              <w:tc>
                <w:tcPr>
                  <w:tcW w:w="210" w:type="pct"/>
                  <w:vMerge w:val="continue"/>
                  <w:noWrap w:val="0"/>
                  <w:vAlign w:val="center"/>
                </w:tcPr>
                <w:p>
                  <w:pPr>
                    <w:jc w:val="center"/>
                    <w:rPr>
                      <w:rFonts w:hint="eastAsia"/>
                      <w:sz w:val="18"/>
                      <w:szCs w:val="18"/>
                    </w:rPr>
                  </w:pPr>
                </w:p>
              </w:tc>
              <w:tc>
                <w:tcPr>
                  <w:tcW w:w="389" w:type="pct"/>
                  <w:tcBorders>
                    <w:top w:val="single" w:color="000000" w:sz="4" w:space="0"/>
                    <w:bottom w:val="single" w:color="000000" w:sz="4" w:space="0"/>
                  </w:tcBorders>
                  <w:noWrap w:val="0"/>
                  <w:vAlign w:val="center"/>
                </w:tcPr>
                <w:p>
                  <w:pPr>
                    <w:jc w:val="center"/>
                    <w:rPr>
                      <w:rFonts w:hint="eastAsia"/>
                      <w:sz w:val="18"/>
                      <w:szCs w:val="18"/>
                    </w:rPr>
                  </w:pPr>
                  <w:r>
                    <w:rPr>
                      <w:rFonts w:hint="eastAsia"/>
                      <w:sz w:val="18"/>
                      <w:szCs w:val="18"/>
                    </w:rPr>
                    <w:t>841-004-01</w:t>
                  </w:r>
                </w:p>
              </w:tc>
              <w:tc>
                <w:tcPr>
                  <w:tcW w:w="355" w:type="pct"/>
                  <w:vMerge w:val="continue"/>
                  <w:noWrap w:val="0"/>
                  <w:vAlign w:val="center"/>
                </w:tcPr>
                <w:p>
                  <w:pPr>
                    <w:jc w:val="center"/>
                    <w:rPr>
                      <w:rFonts w:hint="eastAsia"/>
                      <w:sz w:val="18"/>
                      <w:szCs w:val="18"/>
                    </w:rPr>
                  </w:pPr>
                </w:p>
              </w:tc>
              <w:tc>
                <w:tcPr>
                  <w:tcW w:w="382" w:type="pct"/>
                  <w:vMerge w:val="continue"/>
                  <w:noWrap w:val="0"/>
                  <w:vAlign w:val="center"/>
                </w:tcPr>
                <w:p>
                  <w:pPr>
                    <w:jc w:val="center"/>
                    <w:rPr>
                      <w:rFonts w:hint="eastAsia"/>
                      <w:sz w:val="18"/>
                      <w:szCs w:val="18"/>
                    </w:rPr>
                  </w:pPr>
                </w:p>
              </w:tc>
              <w:tc>
                <w:tcPr>
                  <w:tcW w:w="528" w:type="pct"/>
                  <w:tcBorders>
                    <w:top w:val="single" w:color="000000" w:sz="4" w:space="0"/>
                    <w:bottom w:val="single" w:color="000000" w:sz="4" w:space="0"/>
                  </w:tcBorders>
                  <w:noWrap w:val="0"/>
                  <w:vAlign w:val="center"/>
                </w:tcPr>
                <w:p>
                  <w:pPr>
                    <w:jc w:val="center"/>
                    <w:rPr>
                      <w:rFonts w:hint="eastAsia"/>
                      <w:sz w:val="18"/>
                      <w:szCs w:val="18"/>
                    </w:rPr>
                  </w:pPr>
                  <w:r>
                    <w:rPr>
                      <w:rFonts w:hint="eastAsia"/>
                      <w:sz w:val="18"/>
                      <w:szCs w:val="18"/>
                    </w:rPr>
                    <w:t>化学性废物</w:t>
                  </w:r>
                </w:p>
              </w:tc>
              <w:tc>
                <w:tcPr>
                  <w:tcW w:w="210" w:type="pct"/>
                  <w:vMerge w:val="continue"/>
                  <w:noWrap w:val="0"/>
                  <w:vAlign w:val="center"/>
                </w:tcPr>
                <w:p>
                  <w:pPr>
                    <w:jc w:val="center"/>
                    <w:rPr>
                      <w:rFonts w:hint="eastAsia"/>
                      <w:sz w:val="18"/>
                      <w:szCs w:val="18"/>
                    </w:rPr>
                  </w:pPr>
                </w:p>
              </w:tc>
              <w:tc>
                <w:tcPr>
                  <w:tcW w:w="306" w:type="pct"/>
                  <w:tcBorders>
                    <w:top w:val="single" w:color="000000" w:sz="4" w:space="0"/>
                    <w:bottom w:val="single" w:color="000000" w:sz="4" w:space="0"/>
                  </w:tcBorders>
                  <w:noWrap w:val="0"/>
                  <w:vAlign w:val="center"/>
                </w:tcPr>
                <w:p>
                  <w:pPr>
                    <w:jc w:val="center"/>
                    <w:rPr>
                      <w:rFonts w:hint="eastAsia"/>
                      <w:sz w:val="18"/>
                      <w:szCs w:val="18"/>
                    </w:rPr>
                  </w:pPr>
                  <w:r>
                    <w:rPr>
                      <w:rFonts w:hint="eastAsia"/>
                      <w:sz w:val="18"/>
                      <w:szCs w:val="18"/>
                    </w:rPr>
                    <w:t xml:space="preserve">T/C/I/R </w:t>
                  </w:r>
                </w:p>
              </w:tc>
              <w:tc>
                <w:tcPr>
                  <w:tcW w:w="212" w:type="pct"/>
                  <w:vMerge w:val="continue"/>
                  <w:noWrap w:val="0"/>
                  <w:vAlign w:val="center"/>
                </w:tcPr>
                <w:p>
                  <w:pPr>
                    <w:jc w:val="center"/>
                    <w:rPr>
                      <w:rFonts w:hint="eastAsia"/>
                      <w:sz w:val="18"/>
                      <w:szCs w:val="18"/>
                    </w:rPr>
                  </w:pPr>
                </w:p>
              </w:tc>
              <w:tc>
                <w:tcPr>
                  <w:tcW w:w="264" w:type="pct"/>
                  <w:vMerge w:val="continue"/>
                  <w:noWrap w:val="0"/>
                  <w:vAlign w:val="center"/>
                </w:tcPr>
                <w:p>
                  <w:pPr>
                    <w:jc w:val="center"/>
                    <w:rPr>
                      <w:rFonts w:hint="eastAsia"/>
                      <w:sz w:val="18"/>
                      <w:szCs w:val="18"/>
                    </w:rPr>
                  </w:pPr>
                </w:p>
              </w:tc>
              <w:tc>
                <w:tcPr>
                  <w:tcW w:w="309" w:type="pct"/>
                  <w:vMerge w:val="continue"/>
                  <w:noWrap w:val="0"/>
                  <w:vAlign w:val="center"/>
                </w:tcPr>
                <w:p>
                  <w:pPr>
                    <w:jc w:val="center"/>
                    <w:rPr>
                      <w:rFonts w:hint="eastAsia"/>
                      <w:sz w:val="18"/>
                      <w:szCs w:val="18"/>
                    </w:rPr>
                  </w:pPr>
                </w:p>
              </w:tc>
              <w:tc>
                <w:tcPr>
                  <w:tcW w:w="324" w:type="pct"/>
                  <w:vMerge w:val="continue"/>
                  <w:noWrap w:val="0"/>
                  <w:vAlign w:val="center"/>
                </w:tcPr>
                <w:p>
                  <w:pPr>
                    <w:jc w:val="center"/>
                    <w:rPr>
                      <w:rFonts w:hint="eastAsia"/>
                      <w:sz w:val="18"/>
                      <w:szCs w:val="18"/>
                    </w:rPr>
                  </w:pPr>
                </w:p>
              </w:tc>
              <w:tc>
                <w:tcPr>
                  <w:tcW w:w="486" w:type="pct"/>
                  <w:vMerge w:val="continue"/>
                  <w:noWrap w:val="0"/>
                  <w:vAlign w:val="center"/>
                </w:tcPr>
                <w:p>
                  <w:pPr>
                    <w:jc w:val="center"/>
                    <w:rPr>
                      <w:rFonts w:hint="eastAsia"/>
                      <w:sz w:val="18"/>
                      <w:szCs w:val="18"/>
                    </w:rPr>
                  </w:pPr>
                </w:p>
              </w:tc>
              <w:tc>
                <w:tcPr>
                  <w:tcW w:w="299" w:type="pct"/>
                  <w:vMerge w:val="continue"/>
                  <w:noWrap w:val="0"/>
                  <w:vAlign w:val="center"/>
                </w:tcPr>
                <w:p>
                  <w:pPr>
                    <w:jc w:val="center"/>
                    <w:rPr>
                      <w:rFonts w:hint="eastAsia"/>
                      <w:sz w:val="18"/>
                      <w:szCs w:val="18"/>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2" w:type="pct"/>
                  <w:vMerge w:val="continue"/>
                  <w:tcBorders>
                    <w:bottom w:val="single" w:color="000000" w:sz="4" w:space="0"/>
                  </w:tcBorders>
                  <w:noWrap w:val="0"/>
                  <w:vAlign w:val="center"/>
                </w:tcPr>
                <w:p>
                  <w:pPr>
                    <w:jc w:val="center"/>
                    <w:rPr>
                      <w:rFonts w:hint="eastAsia"/>
                      <w:sz w:val="18"/>
                      <w:szCs w:val="18"/>
                    </w:rPr>
                  </w:pPr>
                </w:p>
              </w:tc>
              <w:tc>
                <w:tcPr>
                  <w:tcW w:w="496" w:type="pct"/>
                  <w:vMerge w:val="continue"/>
                  <w:tcBorders>
                    <w:bottom w:val="single" w:color="000000" w:sz="4" w:space="0"/>
                  </w:tcBorders>
                  <w:noWrap w:val="0"/>
                  <w:vAlign w:val="center"/>
                </w:tcPr>
                <w:p>
                  <w:pPr>
                    <w:jc w:val="center"/>
                    <w:rPr>
                      <w:rFonts w:hint="eastAsia"/>
                      <w:sz w:val="18"/>
                      <w:szCs w:val="18"/>
                    </w:rPr>
                  </w:pPr>
                </w:p>
              </w:tc>
              <w:tc>
                <w:tcPr>
                  <w:tcW w:w="210" w:type="pct"/>
                  <w:vMerge w:val="continue"/>
                  <w:tcBorders>
                    <w:bottom w:val="single" w:color="000000" w:sz="4" w:space="0"/>
                  </w:tcBorders>
                  <w:noWrap w:val="0"/>
                  <w:vAlign w:val="center"/>
                </w:tcPr>
                <w:p>
                  <w:pPr>
                    <w:jc w:val="center"/>
                    <w:rPr>
                      <w:rFonts w:hint="eastAsia"/>
                      <w:sz w:val="18"/>
                      <w:szCs w:val="18"/>
                    </w:rPr>
                  </w:pPr>
                </w:p>
              </w:tc>
              <w:tc>
                <w:tcPr>
                  <w:tcW w:w="389" w:type="pct"/>
                  <w:tcBorders>
                    <w:top w:val="single" w:color="000000" w:sz="4" w:space="0"/>
                    <w:bottom w:val="single" w:color="000000" w:sz="4" w:space="0"/>
                  </w:tcBorders>
                  <w:noWrap w:val="0"/>
                  <w:vAlign w:val="center"/>
                </w:tcPr>
                <w:p>
                  <w:pPr>
                    <w:jc w:val="center"/>
                    <w:rPr>
                      <w:sz w:val="18"/>
                      <w:szCs w:val="18"/>
                    </w:rPr>
                  </w:pPr>
                  <w:r>
                    <w:rPr>
                      <w:rFonts w:hint="eastAsia"/>
                      <w:sz w:val="18"/>
                      <w:szCs w:val="18"/>
                    </w:rPr>
                    <w:t>841-005-01</w:t>
                  </w:r>
                </w:p>
              </w:tc>
              <w:tc>
                <w:tcPr>
                  <w:tcW w:w="355" w:type="pct"/>
                  <w:vMerge w:val="continue"/>
                  <w:tcBorders>
                    <w:bottom w:val="single" w:color="000000" w:sz="4" w:space="0"/>
                  </w:tcBorders>
                  <w:noWrap w:val="0"/>
                  <w:vAlign w:val="center"/>
                </w:tcPr>
                <w:p>
                  <w:pPr>
                    <w:jc w:val="center"/>
                    <w:rPr>
                      <w:rFonts w:hint="eastAsia"/>
                      <w:sz w:val="18"/>
                      <w:szCs w:val="18"/>
                    </w:rPr>
                  </w:pPr>
                </w:p>
              </w:tc>
              <w:tc>
                <w:tcPr>
                  <w:tcW w:w="382" w:type="pct"/>
                  <w:vMerge w:val="continue"/>
                  <w:tcBorders>
                    <w:bottom w:val="single" w:color="000000" w:sz="4" w:space="0"/>
                  </w:tcBorders>
                  <w:noWrap w:val="0"/>
                  <w:vAlign w:val="center"/>
                </w:tcPr>
                <w:p>
                  <w:pPr>
                    <w:jc w:val="center"/>
                    <w:rPr>
                      <w:rFonts w:hint="eastAsia"/>
                      <w:sz w:val="18"/>
                      <w:szCs w:val="18"/>
                    </w:rPr>
                  </w:pPr>
                </w:p>
              </w:tc>
              <w:tc>
                <w:tcPr>
                  <w:tcW w:w="528" w:type="pct"/>
                  <w:tcBorders>
                    <w:top w:val="single" w:color="000000" w:sz="4" w:space="0"/>
                    <w:bottom w:val="single" w:color="000000" w:sz="4" w:space="0"/>
                  </w:tcBorders>
                  <w:noWrap w:val="0"/>
                  <w:vAlign w:val="center"/>
                </w:tcPr>
                <w:p>
                  <w:pPr>
                    <w:jc w:val="center"/>
                    <w:rPr>
                      <w:rFonts w:hint="eastAsia"/>
                      <w:sz w:val="18"/>
                      <w:szCs w:val="18"/>
                    </w:rPr>
                  </w:pPr>
                  <w:r>
                    <w:rPr>
                      <w:rFonts w:hint="eastAsia"/>
                      <w:sz w:val="18"/>
                      <w:szCs w:val="18"/>
                    </w:rPr>
                    <w:t>药物性废物</w:t>
                  </w:r>
                </w:p>
              </w:tc>
              <w:tc>
                <w:tcPr>
                  <w:tcW w:w="210" w:type="pct"/>
                  <w:vMerge w:val="continue"/>
                  <w:tcBorders>
                    <w:bottom w:val="single" w:color="000000" w:sz="4" w:space="0"/>
                  </w:tcBorders>
                  <w:noWrap w:val="0"/>
                  <w:vAlign w:val="center"/>
                </w:tcPr>
                <w:p>
                  <w:pPr>
                    <w:jc w:val="center"/>
                    <w:rPr>
                      <w:rFonts w:hint="eastAsia"/>
                      <w:sz w:val="18"/>
                      <w:szCs w:val="18"/>
                    </w:rPr>
                  </w:pPr>
                </w:p>
              </w:tc>
              <w:tc>
                <w:tcPr>
                  <w:tcW w:w="306" w:type="pct"/>
                  <w:tcBorders>
                    <w:top w:val="single" w:color="000000" w:sz="4" w:space="0"/>
                    <w:bottom w:val="single" w:color="000000" w:sz="4" w:space="0"/>
                  </w:tcBorders>
                  <w:noWrap w:val="0"/>
                  <w:vAlign w:val="center"/>
                </w:tcPr>
                <w:p>
                  <w:pPr>
                    <w:jc w:val="center"/>
                    <w:rPr>
                      <w:rFonts w:hint="eastAsia"/>
                      <w:sz w:val="18"/>
                      <w:szCs w:val="18"/>
                    </w:rPr>
                  </w:pPr>
                  <w:r>
                    <w:rPr>
                      <w:rFonts w:hint="eastAsia"/>
                      <w:sz w:val="18"/>
                      <w:szCs w:val="18"/>
                    </w:rPr>
                    <w:t>T</w:t>
                  </w:r>
                </w:p>
              </w:tc>
              <w:tc>
                <w:tcPr>
                  <w:tcW w:w="212" w:type="pct"/>
                  <w:vMerge w:val="continue"/>
                  <w:noWrap w:val="0"/>
                  <w:vAlign w:val="center"/>
                </w:tcPr>
                <w:p>
                  <w:pPr>
                    <w:jc w:val="center"/>
                    <w:rPr>
                      <w:rFonts w:hint="eastAsia"/>
                      <w:sz w:val="18"/>
                      <w:szCs w:val="18"/>
                    </w:rPr>
                  </w:pPr>
                </w:p>
              </w:tc>
              <w:tc>
                <w:tcPr>
                  <w:tcW w:w="264" w:type="pct"/>
                  <w:vMerge w:val="continue"/>
                  <w:tcBorders>
                    <w:bottom w:val="single" w:color="000000" w:sz="4" w:space="0"/>
                  </w:tcBorders>
                  <w:noWrap w:val="0"/>
                  <w:vAlign w:val="center"/>
                </w:tcPr>
                <w:p>
                  <w:pPr>
                    <w:jc w:val="center"/>
                    <w:rPr>
                      <w:rFonts w:hint="eastAsia"/>
                      <w:sz w:val="18"/>
                      <w:szCs w:val="18"/>
                    </w:rPr>
                  </w:pPr>
                </w:p>
              </w:tc>
              <w:tc>
                <w:tcPr>
                  <w:tcW w:w="309" w:type="pct"/>
                  <w:vMerge w:val="continue"/>
                  <w:tcBorders>
                    <w:bottom w:val="single" w:color="000000" w:sz="4" w:space="0"/>
                  </w:tcBorders>
                  <w:noWrap w:val="0"/>
                  <w:vAlign w:val="center"/>
                </w:tcPr>
                <w:p>
                  <w:pPr>
                    <w:jc w:val="center"/>
                    <w:rPr>
                      <w:rFonts w:hint="eastAsia"/>
                      <w:sz w:val="18"/>
                      <w:szCs w:val="18"/>
                    </w:rPr>
                  </w:pPr>
                </w:p>
              </w:tc>
              <w:tc>
                <w:tcPr>
                  <w:tcW w:w="324" w:type="pct"/>
                  <w:vMerge w:val="continue"/>
                  <w:tcBorders>
                    <w:bottom w:val="single" w:color="000000" w:sz="4" w:space="0"/>
                  </w:tcBorders>
                  <w:noWrap w:val="0"/>
                  <w:vAlign w:val="center"/>
                </w:tcPr>
                <w:p>
                  <w:pPr>
                    <w:jc w:val="center"/>
                    <w:rPr>
                      <w:rFonts w:hint="eastAsia"/>
                      <w:sz w:val="18"/>
                      <w:szCs w:val="18"/>
                    </w:rPr>
                  </w:pPr>
                </w:p>
              </w:tc>
              <w:tc>
                <w:tcPr>
                  <w:tcW w:w="486" w:type="pct"/>
                  <w:vMerge w:val="continue"/>
                  <w:noWrap w:val="0"/>
                  <w:vAlign w:val="center"/>
                </w:tcPr>
                <w:p>
                  <w:pPr>
                    <w:jc w:val="center"/>
                    <w:rPr>
                      <w:rFonts w:hint="eastAsia"/>
                      <w:sz w:val="18"/>
                      <w:szCs w:val="18"/>
                    </w:rPr>
                  </w:pPr>
                </w:p>
              </w:tc>
              <w:tc>
                <w:tcPr>
                  <w:tcW w:w="299" w:type="pct"/>
                  <w:vMerge w:val="continue"/>
                  <w:tcBorders>
                    <w:bottom w:val="single" w:color="000000" w:sz="4" w:space="0"/>
                  </w:tcBorders>
                  <w:noWrap w:val="0"/>
                  <w:vAlign w:val="center"/>
                </w:tcPr>
                <w:p>
                  <w:pPr>
                    <w:jc w:val="center"/>
                    <w:rPr>
                      <w:rFonts w:hint="eastAsia"/>
                      <w:sz w:val="18"/>
                      <w:szCs w:val="18"/>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9" w:hRule="atLeast"/>
                <w:jc w:val="center"/>
              </w:trPr>
              <w:tc>
                <w:tcPr>
                  <w:tcW w:w="222" w:type="pct"/>
                  <w:tcBorders>
                    <w:top w:val="single" w:color="000000" w:sz="4" w:space="0"/>
                  </w:tcBorders>
                  <w:noWrap w:val="0"/>
                  <w:vAlign w:val="center"/>
                </w:tcPr>
                <w:p>
                  <w:pPr>
                    <w:jc w:val="center"/>
                    <w:rPr>
                      <w:rFonts w:hint="eastAsia"/>
                      <w:sz w:val="18"/>
                      <w:szCs w:val="18"/>
                    </w:rPr>
                  </w:pPr>
                  <w:r>
                    <w:rPr>
                      <w:rFonts w:hint="eastAsia"/>
                      <w:sz w:val="18"/>
                      <w:szCs w:val="18"/>
                    </w:rPr>
                    <w:t>3</w:t>
                  </w:r>
                </w:p>
              </w:tc>
              <w:tc>
                <w:tcPr>
                  <w:tcW w:w="496" w:type="pct"/>
                  <w:tcBorders>
                    <w:top w:val="single" w:color="000000" w:sz="4" w:space="0"/>
                    <w:bottom w:val="single" w:color="000000" w:sz="4" w:space="0"/>
                  </w:tcBorders>
                  <w:noWrap w:val="0"/>
                  <w:vAlign w:val="center"/>
                </w:tcPr>
                <w:p>
                  <w:pPr>
                    <w:jc w:val="center"/>
                    <w:rPr>
                      <w:rFonts w:hint="eastAsia"/>
                      <w:sz w:val="18"/>
                      <w:szCs w:val="18"/>
                    </w:rPr>
                  </w:pPr>
                  <w:r>
                    <w:rPr>
                      <w:rFonts w:hint="eastAsia"/>
                      <w:sz w:val="18"/>
                      <w:szCs w:val="18"/>
                    </w:rPr>
                    <w:t>污水处理站产生的污泥</w:t>
                  </w:r>
                </w:p>
              </w:tc>
              <w:tc>
                <w:tcPr>
                  <w:tcW w:w="210" w:type="pct"/>
                  <w:tcBorders>
                    <w:top w:val="single" w:color="000000" w:sz="4" w:space="0"/>
                  </w:tcBorders>
                  <w:noWrap w:val="0"/>
                  <w:vAlign w:val="center"/>
                </w:tcPr>
                <w:p>
                  <w:pPr>
                    <w:pStyle w:val="77"/>
                    <w:topLinePunct/>
                    <w:autoSpaceDE/>
                    <w:autoSpaceDN/>
                    <w:adjustRightInd/>
                    <w:snapToGrid/>
                    <w:jc w:val="center"/>
                    <w:rPr>
                      <w:sz w:val="18"/>
                      <w:szCs w:val="18"/>
                    </w:rPr>
                  </w:pPr>
                  <w:r>
                    <w:rPr>
                      <w:rFonts w:ascii="Times New Roman" w:hAnsi="Times New Roman" w:eastAsia="宋体" w:cs="Times New Roman"/>
                      <w:color w:val="auto"/>
                      <w:kern w:val="0"/>
                      <w:szCs w:val="21"/>
                      <w:lang w:eastAsia="zh-CN"/>
                    </w:rPr>
                    <w:t>HW01</w:t>
                  </w:r>
                </w:p>
              </w:tc>
              <w:tc>
                <w:tcPr>
                  <w:tcW w:w="389" w:type="pct"/>
                  <w:tcBorders>
                    <w:top w:val="single" w:color="000000" w:sz="4" w:space="0"/>
                  </w:tcBorders>
                  <w:noWrap w:val="0"/>
                  <w:vAlign w:val="center"/>
                </w:tcPr>
                <w:p>
                  <w:pPr>
                    <w:pStyle w:val="77"/>
                    <w:topLinePunct/>
                    <w:autoSpaceDE/>
                    <w:autoSpaceDN/>
                    <w:adjustRightInd/>
                    <w:snapToGrid/>
                    <w:jc w:val="center"/>
                    <w:rPr>
                      <w:sz w:val="18"/>
                      <w:szCs w:val="18"/>
                    </w:rPr>
                  </w:pPr>
                  <w:r>
                    <w:rPr>
                      <w:rFonts w:ascii="Times New Roman" w:hAnsi="Times New Roman" w:eastAsia="宋体" w:cs="Times New Roman"/>
                      <w:color w:val="auto"/>
                      <w:kern w:val="0"/>
                      <w:szCs w:val="21"/>
                      <w:lang w:eastAsia="zh-CN"/>
                    </w:rPr>
                    <w:t>841-001-01</w:t>
                  </w:r>
                </w:p>
              </w:tc>
              <w:tc>
                <w:tcPr>
                  <w:tcW w:w="355" w:type="pct"/>
                  <w:tcBorders>
                    <w:top w:val="single" w:color="000000" w:sz="4" w:space="0"/>
                  </w:tcBorders>
                  <w:noWrap w:val="0"/>
                  <w:vAlign w:val="center"/>
                </w:tcPr>
                <w:p>
                  <w:pPr>
                    <w:jc w:val="center"/>
                    <w:rPr>
                      <w:rFonts w:hint="eastAsia"/>
                      <w:sz w:val="18"/>
                      <w:szCs w:val="18"/>
                    </w:rPr>
                  </w:pPr>
                  <w:r>
                    <w:rPr>
                      <w:rFonts w:hint="eastAsia"/>
                      <w:sz w:val="18"/>
                      <w:szCs w:val="18"/>
                    </w:rPr>
                    <w:t>污水处理站运行</w:t>
                  </w:r>
                </w:p>
              </w:tc>
              <w:tc>
                <w:tcPr>
                  <w:tcW w:w="382" w:type="pct"/>
                  <w:tcBorders>
                    <w:top w:val="single" w:color="000000" w:sz="4" w:space="0"/>
                  </w:tcBorders>
                  <w:noWrap w:val="0"/>
                  <w:vAlign w:val="center"/>
                </w:tcPr>
                <w:p>
                  <w:pPr>
                    <w:jc w:val="center"/>
                    <w:rPr>
                      <w:sz w:val="18"/>
                      <w:szCs w:val="18"/>
                      <w:lang w:val="en"/>
                    </w:rPr>
                  </w:pPr>
                  <w:r>
                    <w:rPr>
                      <w:sz w:val="18"/>
                      <w:szCs w:val="18"/>
                      <w:lang w:val="en"/>
                    </w:rPr>
                    <w:t>1.5</w:t>
                  </w:r>
                </w:p>
              </w:tc>
              <w:tc>
                <w:tcPr>
                  <w:tcW w:w="528" w:type="pct"/>
                  <w:tcBorders>
                    <w:top w:val="single" w:color="000000" w:sz="4" w:space="0"/>
                  </w:tcBorders>
                  <w:noWrap w:val="0"/>
                  <w:vAlign w:val="center"/>
                </w:tcPr>
                <w:p>
                  <w:pPr>
                    <w:jc w:val="center"/>
                    <w:rPr>
                      <w:rFonts w:hint="eastAsia"/>
                      <w:sz w:val="18"/>
                      <w:szCs w:val="18"/>
                    </w:rPr>
                  </w:pPr>
                  <w:r>
                    <w:rPr>
                      <w:rFonts w:hint="eastAsia"/>
                      <w:sz w:val="18"/>
                      <w:szCs w:val="18"/>
                    </w:rPr>
                    <w:t>致病菌等</w:t>
                  </w:r>
                </w:p>
              </w:tc>
              <w:tc>
                <w:tcPr>
                  <w:tcW w:w="210" w:type="pct"/>
                  <w:tcBorders>
                    <w:top w:val="single" w:color="000000" w:sz="4" w:space="0"/>
                  </w:tcBorders>
                  <w:noWrap w:val="0"/>
                  <w:vAlign w:val="center"/>
                </w:tcPr>
                <w:p>
                  <w:pPr>
                    <w:jc w:val="center"/>
                    <w:rPr>
                      <w:sz w:val="18"/>
                      <w:szCs w:val="18"/>
                      <w:lang w:val="en"/>
                    </w:rPr>
                  </w:pPr>
                  <w:r>
                    <w:rPr>
                      <w:rFonts w:hint="eastAsia"/>
                      <w:sz w:val="18"/>
                      <w:szCs w:val="18"/>
                      <w:lang w:val="en"/>
                    </w:rPr>
                    <w:t>半液态</w:t>
                  </w:r>
                </w:p>
              </w:tc>
              <w:tc>
                <w:tcPr>
                  <w:tcW w:w="306" w:type="pct"/>
                  <w:tcBorders>
                    <w:top w:val="single" w:color="000000" w:sz="4" w:space="0"/>
                  </w:tcBorders>
                  <w:noWrap w:val="0"/>
                  <w:vAlign w:val="center"/>
                </w:tcPr>
                <w:p>
                  <w:pPr>
                    <w:widowControl/>
                    <w:jc w:val="center"/>
                    <w:rPr>
                      <w:sz w:val="18"/>
                      <w:szCs w:val="18"/>
                    </w:rPr>
                  </w:pPr>
                  <w:r>
                    <w:rPr>
                      <w:rFonts w:hint="eastAsia"/>
                      <w:sz w:val="18"/>
                      <w:szCs w:val="18"/>
                    </w:rPr>
                    <w:t>T/In</w:t>
                  </w:r>
                </w:p>
              </w:tc>
              <w:tc>
                <w:tcPr>
                  <w:tcW w:w="212" w:type="pct"/>
                  <w:vMerge w:val="continue"/>
                  <w:noWrap w:val="0"/>
                  <w:vAlign w:val="center"/>
                </w:tcPr>
                <w:p>
                  <w:pPr>
                    <w:jc w:val="center"/>
                    <w:rPr>
                      <w:rFonts w:hint="eastAsia"/>
                      <w:sz w:val="18"/>
                      <w:szCs w:val="18"/>
                    </w:rPr>
                  </w:pPr>
                </w:p>
              </w:tc>
              <w:tc>
                <w:tcPr>
                  <w:tcW w:w="264" w:type="pct"/>
                  <w:tcBorders>
                    <w:top w:val="single" w:color="000000" w:sz="4" w:space="0"/>
                  </w:tcBorders>
                  <w:noWrap w:val="0"/>
                  <w:vAlign w:val="center"/>
                </w:tcPr>
                <w:p>
                  <w:pPr>
                    <w:jc w:val="center"/>
                    <w:rPr>
                      <w:rFonts w:hint="eastAsia"/>
                      <w:sz w:val="18"/>
                      <w:szCs w:val="18"/>
                    </w:rPr>
                  </w:pPr>
                  <w:r>
                    <w:rPr>
                      <w:rFonts w:hint="eastAsia"/>
                      <w:sz w:val="18"/>
                      <w:szCs w:val="18"/>
                    </w:rPr>
                    <w:t>桶装</w:t>
                  </w:r>
                </w:p>
              </w:tc>
              <w:tc>
                <w:tcPr>
                  <w:tcW w:w="309" w:type="pct"/>
                  <w:tcBorders>
                    <w:top w:val="single" w:color="000000" w:sz="4" w:space="0"/>
                  </w:tcBorders>
                  <w:noWrap w:val="0"/>
                  <w:vAlign w:val="center"/>
                </w:tcPr>
                <w:p>
                  <w:pPr>
                    <w:jc w:val="center"/>
                    <w:rPr>
                      <w:sz w:val="18"/>
                      <w:szCs w:val="18"/>
                    </w:rPr>
                  </w:pPr>
                  <w:r>
                    <w:rPr>
                      <w:rFonts w:hint="eastAsia"/>
                      <w:sz w:val="18"/>
                      <w:szCs w:val="18"/>
                    </w:rPr>
                    <w:t>3个月</w:t>
                  </w:r>
                </w:p>
              </w:tc>
              <w:tc>
                <w:tcPr>
                  <w:tcW w:w="324" w:type="pct"/>
                  <w:tcBorders>
                    <w:top w:val="single" w:color="000000" w:sz="4" w:space="0"/>
                  </w:tcBorders>
                  <w:noWrap w:val="0"/>
                  <w:vAlign w:val="center"/>
                </w:tcPr>
                <w:p>
                  <w:pPr>
                    <w:jc w:val="center"/>
                    <w:rPr>
                      <w:sz w:val="18"/>
                      <w:szCs w:val="18"/>
                    </w:rPr>
                  </w:pPr>
                  <w:r>
                    <w:rPr>
                      <w:sz w:val="18"/>
                      <w:szCs w:val="18"/>
                      <w:lang w:val="en"/>
                    </w:rPr>
                    <w:t>0.4</w:t>
                  </w:r>
                  <w:r>
                    <w:rPr>
                      <w:rFonts w:hint="eastAsia"/>
                      <w:sz w:val="18"/>
                      <w:szCs w:val="18"/>
                    </w:rPr>
                    <w:t>t</w:t>
                  </w:r>
                </w:p>
              </w:tc>
              <w:tc>
                <w:tcPr>
                  <w:tcW w:w="486" w:type="pct"/>
                  <w:vMerge w:val="continue"/>
                  <w:noWrap w:val="0"/>
                  <w:vAlign w:val="center"/>
                </w:tcPr>
                <w:p>
                  <w:pPr>
                    <w:jc w:val="center"/>
                    <w:rPr>
                      <w:rFonts w:hint="eastAsia"/>
                      <w:sz w:val="18"/>
                      <w:szCs w:val="18"/>
                    </w:rPr>
                  </w:pPr>
                </w:p>
              </w:tc>
              <w:tc>
                <w:tcPr>
                  <w:tcW w:w="299" w:type="pct"/>
                  <w:tcBorders>
                    <w:top w:val="single" w:color="000000" w:sz="4" w:space="0"/>
                  </w:tcBorders>
                  <w:noWrap w:val="0"/>
                  <w:vAlign w:val="center"/>
                </w:tcPr>
                <w:p>
                  <w:pPr>
                    <w:jc w:val="center"/>
                    <w:rPr>
                      <w:sz w:val="18"/>
                      <w:szCs w:val="18"/>
                      <w:lang w:val="en"/>
                    </w:rPr>
                  </w:pPr>
                  <w:r>
                    <w:rPr>
                      <w:sz w:val="18"/>
                      <w:szCs w:val="18"/>
                      <w:lang w:val="en"/>
                    </w:rPr>
                    <w:t>1.5</w:t>
                  </w:r>
                </w:p>
              </w:tc>
            </w:tr>
          </w:tbl>
          <w:p>
            <w:pPr>
              <w:pStyle w:val="72"/>
              <w:bidi w:val="0"/>
              <w:rPr>
                <w:rFonts w:hint="eastAsia"/>
                <w:lang w:val="zh-CN"/>
              </w:rPr>
            </w:pPr>
            <w:r>
              <w:rPr>
                <w:rFonts w:ascii="宋体" w:hAnsi="宋体"/>
                <w:sz w:val="24"/>
              </w:rPr>
              <w:t>综上，本项目产生的各种固体废物均有合理可行处置去向，在厂内暂存时不会造成二次污染，废物不向环境中排放，不会对环境造成不利影响。</w:t>
            </w:r>
          </w:p>
          <w:p>
            <w:pPr>
              <w:autoSpaceDE w:val="0"/>
              <w:autoSpaceDN w:val="0"/>
              <w:adjustRightInd w:val="0"/>
              <w:spacing w:line="240" w:lineRule="exact"/>
              <w:jc w:val="center"/>
              <w:rPr>
                <w:rFonts w:hint="eastAsia" w:ascii="黑体" w:hAnsi="黑体" w:eastAsia="黑体" w:cs="黑体"/>
                <w:kern w:val="0"/>
                <w:szCs w:val="21"/>
                <w:lang w:val="zh-CN"/>
              </w:rPr>
            </w:pPr>
            <w:r>
              <w:rPr>
                <w:rFonts w:hint="eastAsia"/>
                <w:b/>
                <w:bCs/>
                <w:color w:val="000000"/>
                <w:szCs w:val="21"/>
                <w:lang w:val="zh-CN"/>
              </w:rPr>
              <w:t>表</w:t>
            </w:r>
            <w:r>
              <w:rPr>
                <w:rFonts w:hint="eastAsia"/>
                <w:b/>
                <w:bCs/>
                <w:color w:val="000000"/>
                <w:szCs w:val="21"/>
              </w:rPr>
              <w:t>4-</w:t>
            </w:r>
            <w:r>
              <w:rPr>
                <w:rFonts w:hint="eastAsia"/>
                <w:b/>
                <w:bCs/>
                <w:color w:val="000000"/>
                <w:szCs w:val="21"/>
                <w:lang w:val="en-US" w:eastAsia="zh-CN"/>
              </w:rPr>
              <w:t>21</w:t>
            </w:r>
            <w:r>
              <w:rPr>
                <w:rFonts w:hint="eastAsia"/>
                <w:b/>
                <w:bCs/>
                <w:color w:val="000000"/>
                <w:szCs w:val="21"/>
              </w:rPr>
              <w:t xml:space="preserve">  </w:t>
            </w:r>
            <w:r>
              <w:rPr>
                <w:rFonts w:hint="eastAsia"/>
                <w:b/>
                <w:bCs/>
                <w:color w:val="000000"/>
                <w:szCs w:val="21"/>
                <w:lang w:val="zh-CN"/>
              </w:rPr>
              <w:t>项目固废处置方案及整改要求汇总表</w:t>
            </w:r>
          </w:p>
          <w:tbl>
            <w:tblPr>
              <w:tblStyle w:val="41"/>
              <w:tblW w:w="4998" w:type="pct"/>
              <w:tblInd w:w="0" w:type="dxa"/>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
            <w:tblGrid>
              <w:gridCol w:w="1638"/>
              <w:gridCol w:w="3282"/>
              <w:gridCol w:w="2028"/>
              <w:gridCol w:w="1160"/>
            </w:tblGrid>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04" w:hRule="atLeast"/>
              </w:trPr>
              <w:tc>
                <w:tcPr>
                  <w:tcW w:w="1009" w:type="pct"/>
                  <w:noWrap w:val="0"/>
                  <w:vAlign w:val="center"/>
                </w:tcPr>
                <w:p>
                  <w:pPr>
                    <w:autoSpaceDE w:val="0"/>
                    <w:autoSpaceDN w:val="0"/>
                    <w:adjustRightInd w:val="0"/>
                    <w:jc w:val="center"/>
                    <w:rPr>
                      <w:rFonts w:ascii="宋体" w:cs="宋体"/>
                      <w:b/>
                      <w:bCs/>
                      <w:kern w:val="0"/>
                      <w:szCs w:val="21"/>
                      <w:lang w:val="zh-CN"/>
                    </w:rPr>
                  </w:pPr>
                  <w:r>
                    <w:rPr>
                      <w:rFonts w:hint="eastAsia" w:ascii="宋体" w:cs="宋体"/>
                      <w:b/>
                      <w:bCs/>
                      <w:kern w:val="0"/>
                      <w:szCs w:val="21"/>
                      <w:lang w:val="zh-CN"/>
                    </w:rPr>
                    <w:t>污染源</w:t>
                  </w:r>
                </w:p>
              </w:tc>
              <w:tc>
                <w:tcPr>
                  <w:tcW w:w="2023" w:type="pct"/>
                  <w:noWrap w:val="0"/>
                  <w:vAlign w:val="center"/>
                </w:tcPr>
                <w:p>
                  <w:pPr>
                    <w:autoSpaceDE w:val="0"/>
                    <w:autoSpaceDN w:val="0"/>
                    <w:adjustRightInd w:val="0"/>
                    <w:jc w:val="center"/>
                    <w:rPr>
                      <w:rFonts w:ascii="宋体" w:cs="宋体"/>
                      <w:b/>
                      <w:bCs/>
                      <w:kern w:val="0"/>
                      <w:szCs w:val="21"/>
                      <w:lang w:val="zh-CN"/>
                    </w:rPr>
                  </w:pPr>
                  <w:r>
                    <w:rPr>
                      <w:rFonts w:hint="eastAsia" w:ascii="宋体" w:cs="宋体"/>
                      <w:b/>
                      <w:bCs/>
                      <w:kern w:val="0"/>
                      <w:szCs w:val="21"/>
                      <w:lang w:val="zh-CN"/>
                    </w:rPr>
                    <w:t>现有措施及排放情况</w:t>
                  </w:r>
                </w:p>
              </w:tc>
              <w:tc>
                <w:tcPr>
                  <w:tcW w:w="1250" w:type="pct"/>
                  <w:noWrap w:val="0"/>
                  <w:vAlign w:val="center"/>
                </w:tcPr>
                <w:p>
                  <w:pPr>
                    <w:autoSpaceDE w:val="0"/>
                    <w:autoSpaceDN w:val="0"/>
                    <w:adjustRightInd w:val="0"/>
                    <w:jc w:val="center"/>
                    <w:rPr>
                      <w:rFonts w:ascii="宋体" w:cs="宋体"/>
                      <w:b/>
                      <w:bCs/>
                      <w:kern w:val="0"/>
                      <w:szCs w:val="21"/>
                      <w:lang w:val="zh-CN"/>
                    </w:rPr>
                  </w:pPr>
                  <w:r>
                    <w:rPr>
                      <w:rFonts w:hint="eastAsia" w:ascii="宋体" w:cs="宋体"/>
                      <w:b/>
                      <w:bCs/>
                      <w:kern w:val="0"/>
                      <w:szCs w:val="21"/>
                      <w:lang w:val="zh-CN"/>
                    </w:rPr>
                    <w:t>现有措施是否可行</w:t>
                  </w:r>
                </w:p>
              </w:tc>
              <w:tc>
                <w:tcPr>
                  <w:tcW w:w="715" w:type="pct"/>
                  <w:noWrap w:val="0"/>
                  <w:vAlign w:val="center"/>
                </w:tcPr>
                <w:p>
                  <w:pPr>
                    <w:autoSpaceDE w:val="0"/>
                    <w:autoSpaceDN w:val="0"/>
                    <w:adjustRightInd w:val="0"/>
                    <w:jc w:val="center"/>
                    <w:rPr>
                      <w:rFonts w:ascii="宋体" w:cs="宋体"/>
                      <w:b/>
                      <w:bCs/>
                      <w:kern w:val="0"/>
                      <w:szCs w:val="21"/>
                      <w:lang w:val="zh-CN"/>
                    </w:rPr>
                  </w:pPr>
                  <w:r>
                    <w:rPr>
                      <w:rFonts w:hint="eastAsia" w:ascii="宋体" w:cs="宋体"/>
                      <w:b/>
                      <w:bCs/>
                      <w:kern w:val="0"/>
                      <w:szCs w:val="21"/>
                      <w:lang w:val="zh-CN"/>
                    </w:rPr>
                    <w:t>整改要求</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95" w:hRule="atLeast"/>
              </w:trPr>
              <w:tc>
                <w:tcPr>
                  <w:tcW w:w="1009" w:type="pct"/>
                  <w:shd w:val="clear" w:color="000000" w:fill="FFFFFF"/>
                  <w:noWrap w:val="0"/>
                  <w:vAlign w:val="center"/>
                </w:tcPr>
                <w:p>
                  <w:pPr>
                    <w:adjustRightInd w:val="0"/>
                    <w:snapToGrid w:val="0"/>
                    <w:jc w:val="center"/>
                    <w:rPr>
                      <w:rFonts w:hint="eastAsia" w:ascii="宋体" w:cs="宋体"/>
                      <w:kern w:val="0"/>
                      <w:szCs w:val="21"/>
                      <w:lang w:val="zh-CN"/>
                    </w:rPr>
                  </w:pPr>
                  <w:r>
                    <w:rPr>
                      <w:rFonts w:hint="eastAsia" w:ascii="宋体" w:hAnsi="宋体" w:cs="宋体"/>
                      <w:szCs w:val="21"/>
                    </w:rPr>
                    <w:t>生活垃圾</w:t>
                  </w:r>
                </w:p>
              </w:tc>
              <w:tc>
                <w:tcPr>
                  <w:tcW w:w="2023" w:type="pct"/>
                  <w:shd w:val="clear" w:color="000000" w:fill="FFFFFF"/>
                  <w:noWrap w:val="0"/>
                  <w:vAlign w:val="center"/>
                </w:tcPr>
                <w:p>
                  <w:pPr>
                    <w:adjustRightInd w:val="0"/>
                    <w:snapToGrid w:val="0"/>
                    <w:jc w:val="center"/>
                    <w:rPr>
                      <w:rFonts w:ascii="宋体" w:cs="宋体"/>
                      <w:kern w:val="0"/>
                      <w:szCs w:val="21"/>
                      <w:lang w:val="zh-CN"/>
                    </w:rPr>
                  </w:pPr>
                  <w:r>
                    <w:rPr>
                      <w:rFonts w:hint="eastAsia" w:ascii="宋体" w:hAnsi="宋体" w:cs="宋体"/>
                      <w:szCs w:val="21"/>
                    </w:rPr>
                    <w:t>经集中收集后交由当地环卫部门清运处理</w:t>
                  </w:r>
                </w:p>
              </w:tc>
              <w:tc>
                <w:tcPr>
                  <w:tcW w:w="1250" w:type="pct"/>
                  <w:shd w:val="clear" w:color="000000" w:fill="FFFFFF"/>
                  <w:noWrap w:val="0"/>
                  <w:vAlign w:val="center"/>
                </w:tcPr>
                <w:p>
                  <w:pPr>
                    <w:autoSpaceDE w:val="0"/>
                    <w:autoSpaceDN w:val="0"/>
                    <w:adjustRightInd w:val="0"/>
                    <w:jc w:val="center"/>
                    <w:rPr>
                      <w:rFonts w:ascii="宋体" w:cs="宋体"/>
                      <w:kern w:val="0"/>
                      <w:szCs w:val="21"/>
                      <w:lang w:val="zh-CN"/>
                    </w:rPr>
                  </w:pPr>
                  <w:r>
                    <w:rPr>
                      <w:rFonts w:hint="eastAsia" w:ascii="宋体" w:cs="宋体"/>
                      <w:kern w:val="0"/>
                      <w:szCs w:val="21"/>
                      <w:lang w:val="zh-CN"/>
                    </w:rPr>
                    <w:t>可行</w:t>
                  </w:r>
                </w:p>
              </w:tc>
              <w:tc>
                <w:tcPr>
                  <w:tcW w:w="715" w:type="pct"/>
                  <w:shd w:val="clear" w:color="000000" w:fill="FFFFFF"/>
                  <w:noWrap w:val="0"/>
                  <w:vAlign w:val="center"/>
                </w:tcPr>
                <w:p>
                  <w:pPr>
                    <w:autoSpaceDE w:val="0"/>
                    <w:autoSpaceDN w:val="0"/>
                    <w:adjustRightInd w:val="0"/>
                    <w:jc w:val="center"/>
                    <w:rPr>
                      <w:rFonts w:ascii="宋体" w:cs="宋体"/>
                      <w:kern w:val="0"/>
                      <w:szCs w:val="21"/>
                      <w:lang w:val="zh-CN"/>
                    </w:rPr>
                  </w:pPr>
                  <w:r>
                    <w:rPr>
                      <w:rFonts w:hint="eastAsia" w:ascii="宋体" w:cs="宋体"/>
                      <w:kern w:val="0"/>
                      <w:szCs w:val="21"/>
                      <w:lang w:val="zh-CN"/>
                    </w:rPr>
                    <w:t>无需整改</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49" w:hRule="atLeast"/>
              </w:trPr>
              <w:tc>
                <w:tcPr>
                  <w:tcW w:w="1009" w:type="pct"/>
                  <w:shd w:val="clear" w:color="000000" w:fill="FFFFFF"/>
                  <w:noWrap w:val="0"/>
                  <w:vAlign w:val="center"/>
                </w:tcPr>
                <w:p>
                  <w:pPr>
                    <w:adjustRightInd w:val="0"/>
                    <w:snapToGrid w:val="0"/>
                    <w:jc w:val="center"/>
                    <w:rPr>
                      <w:rFonts w:hint="eastAsia" w:ascii="宋体" w:cs="宋体"/>
                      <w:kern w:val="0"/>
                      <w:szCs w:val="21"/>
                      <w:lang w:val="zh-CN"/>
                    </w:rPr>
                  </w:pPr>
                  <w:r>
                    <w:rPr>
                      <w:rFonts w:hint="eastAsia" w:ascii="宋体" w:hAnsi="宋体" w:cs="宋体"/>
                      <w:szCs w:val="21"/>
                    </w:rPr>
                    <w:t>医疗废物</w:t>
                  </w:r>
                </w:p>
              </w:tc>
              <w:tc>
                <w:tcPr>
                  <w:tcW w:w="2023" w:type="pct"/>
                  <w:vMerge w:val="restart"/>
                  <w:shd w:val="clear" w:color="000000" w:fill="FFFFFF"/>
                  <w:noWrap w:val="0"/>
                  <w:vAlign w:val="center"/>
                </w:tcPr>
                <w:p>
                  <w:pPr>
                    <w:adjustRightInd w:val="0"/>
                    <w:snapToGrid w:val="0"/>
                    <w:jc w:val="center"/>
                    <w:rPr>
                      <w:rFonts w:ascii="宋体" w:cs="宋体"/>
                      <w:kern w:val="0"/>
                      <w:szCs w:val="21"/>
                      <w:lang w:val="zh-CN"/>
                    </w:rPr>
                  </w:pPr>
                  <w:r>
                    <w:rPr>
                      <w:rFonts w:hint="eastAsia" w:ascii="宋体" w:hAnsi="宋体" w:cs="宋体"/>
                      <w:szCs w:val="21"/>
                    </w:rPr>
                    <w:t>设置医疗废物暂存间，分类收集后暂存，签订协议定期交由资质单位清运处置</w:t>
                  </w:r>
                </w:p>
              </w:tc>
              <w:tc>
                <w:tcPr>
                  <w:tcW w:w="1250" w:type="pct"/>
                  <w:shd w:val="clear" w:color="000000" w:fill="FFFFFF"/>
                  <w:noWrap w:val="0"/>
                  <w:vAlign w:val="center"/>
                </w:tcPr>
                <w:p>
                  <w:pPr>
                    <w:autoSpaceDE w:val="0"/>
                    <w:autoSpaceDN w:val="0"/>
                    <w:adjustRightInd w:val="0"/>
                    <w:jc w:val="center"/>
                    <w:rPr>
                      <w:rFonts w:hint="eastAsia" w:ascii="宋体" w:cs="宋体"/>
                      <w:kern w:val="0"/>
                      <w:szCs w:val="21"/>
                      <w:lang w:val="zh-CN"/>
                    </w:rPr>
                  </w:pPr>
                  <w:r>
                    <w:rPr>
                      <w:rFonts w:hint="eastAsia" w:ascii="宋体" w:cs="宋体"/>
                      <w:kern w:val="0"/>
                      <w:szCs w:val="21"/>
                      <w:lang w:val="zh-CN"/>
                    </w:rPr>
                    <w:t>可行</w:t>
                  </w:r>
                </w:p>
              </w:tc>
              <w:tc>
                <w:tcPr>
                  <w:tcW w:w="715" w:type="pct"/>
                  <w:shd w:val="clear" w:color="000000" w:fill="FFFFFF"/>
                  <w:noWrap w:val="0"/>
                  <w:vAlign w:val="center"/>
                </w:tcPr>
                <w:p>
                  <w:pPr>
                    <w:autoSpaceDE w:val="0"/>
                    <w:autoSpaceDN w:val="0"/>
                    <w:adjustRightInd w:val="0"/>
                    <w:jc w:val="center"/>
                    <w:rPr>
                      <w:rFonts w:hint="eastAsia" w:ascii="宋体" w:cs="宋体"/>
                      <w:kern w:val="0"/>
                      <w:szCs w:val="21"/>
                      <w:lang w:val="zh-CN"/>
                    </w:rPr>
                  </w:pPr>
                  <w:r>
                    <w:rPr>
                      <w:rFonts w:hint="eastAsia" w:ascii="宋体" w:cs="宋体"/>
                      <w:kern w:val="0"/>
                      <w:szCs w:val="21"/>
                      <w:lang w:val="zh-CN"/>
                    </w:rPr>
                    <w:t>无需整改</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49" w:hRule="atLeast"/>
              </w:trPr>
              <w:tc>
                <w:tcPr>
                  <w:tcW w:w="1009" w:type="pct"/>
                  <w:shd w:val="clear" w:color="000000" w:fill="FFFFFF"/>
                  <w:noWrap w:val="0"/>
                  <w:vAlign w:val="center"/>
                </w:tcPr>
                <w:p>
                  <w:pPr>
                    <w:adjustRightInd w:val="0"/>
                    <w:snapToGrid w:val="0"/>
                    <w:jc w:val="center"/>
                    <w:rPr>
                      <w:rFonts w:hint="eastAsia" w:ascii="宋体" w:cs="宋体"/>
                      <w:kern w:val="0"/>
                      <w:szCs w:val="21"/>
                      <w:lang w:val="zh-CN"/>
                    </w:rPr>
                  </w:pPr>
                  <w:r>
                    <w:rPr>
                      <w:rFonts w:hint="eastAsia" w:ascii="宋体" w:hAnsi="宋体" w:cs="宋体"/>
                      <w:szCs w:val="21"/>
                    </w:rPr>
                    <w:t>污水处理站污泥</w:t>
                  </w:r>
                </w:p>
              </w:tc>
              <w:tc>
                <w:tcPr>
                  <w:tcW w:w="2023" w:type="pct"/>
                  <w:vMerge w:val="continue"/>
                  <w:shd w:val="clear" w:color="000000" w:fill="FFFFFF"/>
                  <w:noWrap w:val="0"/>
                  <w:vAlign w:val="center"/>
                </w:tcPr>
                <w:p>
                  <w:pPr>
                    <w:jc w:val="center"/>
                    <w:rPr>
                      <w:rFonts w:hint="eastAsia" w:ascii="宋体" w:hAnsi="宋体" w:cs="宋体"/>
                      <w:szCs w:val="21"/>
                    </w:rPr>
                  </w:pPr>
                </w:p>
              </w:tc>
              <w:tc>
                <w:tcPr>
                  <w:tcW w:w="1250" w:type="pct"/>
                  <w:shd w:val="clear" w:color="000000" w:fill="FFFFFF"/>
                  <w:noWrap w:val="0"/>
                  <w:vAlign w:val="center"/>
                </w:tcPr>
                <w:p>
                  <w:pPr>
                    <w:autoSpaceDE w:val="0"/>
                    <w:autoSpaceDN w:val="0"/>
                    <w:adjustRightInd w:val="0"/>
                    <w:jc w:val="center"/>
                    <w:rPr>
                      <w:rFonts w:hint="eastAsia" w:ascii="宋体" w:cs="宋体"/>
                      <w:kern w:val="0"/>
                      <w:szCs w:val="21"/>
                      <w:lang w:val="zh-CN"/>
                    </w:rPr>
                  </w:pPr>
                  <w:r>
                    <w:rPr>
                      <w:rFonts w:hint="eastAsia" w:ascii="宋体" w:cs="宋体"/>
                      <w:kern w:val="0"/>
                      <w:szCs w:val="21"/>
                      <w:lang w:val="zh-CN"/>
                    </w:rPr>
                    <w:t>可行</w:t>
                  </w:r>
                </w:p>
              </w:tc>
              <w:tc>
                <w:tcPr>
                  <w:tcW w:w="715" w:type="pct"/>
                  <w:shd w:val="clear" w:color="000000" w:fill="FFFFFF"/>
                  <w:noWrap w:val="0"/>
                  <w:vAlign w:val="center"/>
                </w:tcPr>
                <w:p>
                  <w:pPr>
                    <w:autoSpaceDE w:val="0"/>
                    <w:autoSpaceDN w:val="0"/>
                    <w:adjustRightInd w:val="0"/>
                    <w:jc w:val="center"/>
                    <w:rPr>
                      <w:rFonts w:hint="eastAsia" w:ascii="宋体" w:cs="宋体"/>
                      <w:kern w:val="0"/>
                      <w:szCs w:val="21"/>
                      <w:lang w:val="zh-CN"/>
                    </w:rPr>
                  </w:pPr>
                  <w:r>
                    <w:rPr>
                      <w:rFonts w:hint="eastAsia" w:ascii="宋体" w:cs="宋体"/>
                      <w:kern w:val="0"/>
                      <w:szCs w:val="21"/>
                      <w:lang w:val="zh-CN"/>
                    </w:rPr>
                    <w:t>无需整改</w:t>
                  </w:r>
                </w:p>
              </w:tc>
            </w:tr>
          </w:tbl>
          <w:p>
            <w:pPr>
              <w:spacing w:line="360" w:lineRule="auto"/>
              <w:rPr>
                <w:b/>
                <w:sz w:val="24"/>
              </w:rPr>
            </w:pPr>
            <w:r>
              <w:rPr>
                <w:rFonts w:hint="eastAsia"/>
                <w:b/>
                <w:sz w:val="24"/>
              </w:rPr>
              <w:t>五</w:t>
            </w:r>
            <w:r>
              <w:rPr>
                <w:rFonts w:hAnsi="宋体"/>
                <w:b/>
                <w:sz w:val="24"/>
              </w:rPr>
              <w:t>、地下水</w:t>
            </w:r>
            <w:r>
              <w:rPr>
                <w:rFonts w:hint="eastAsia" w:hAnsi="宋体"/>
                <w:b/>
                <w:sz w:val="24"/>
              </w:rPr>
              <w:t>、土壤</w:t>
            </w:r>
            <w:r>
              <w:rPr>
                <w:rFonts w:hAnsi="宋体"/>
                <w:b/>
                <w:sz w:val="24"/>
              </w:rPr>
              <w:t>环境影响分析</w:t>
            </w:r>
          </w:p>
          <w:p>
            <w:pPr>
              <w:widowControl/>
              <w:spacing w:line="360" w:lineRule="auto"/>
              <w:ind w:firstLine="482" w:firstLineChars="200"/>
              <w:rPr>
                <w:sz w:val="24"/>
              </w:rPr>
            </w:pPr>
            <w:r>
              <w:rPr>
                <w:rFonts w:hint="eastAsia"/>
                <w:b/>
                <w:bCs/>
                <w:kern w:val="0"/>
                <w:sz w:val="24"/>
                <w:lang w:bidi="ar"/>
              </w:rPr>
              <w:t>1、</w:t>
            </w:r>
            <w:r>
              <w:rPr>
                <w:rFonts w:hint="eastAsia" w:ascii="宋体" w:hAnsi="宋体" w:cs="宋体"/>
                <w:b/>
                <w:bCs/>
                <w:kern w:val="0"/>
                <w:sz w:val="24"/>
                <w:lang w:bidi="ar"/>
              </w:rPr>
              <w:t xml:space="preserve">污染途径 </w:t>
            </w:r>
          </w:p>
          <w:p>
            <w:pPr>
              <w:widowControl/>
              <w:spacing w:line="360" w:lineRule="auto"/>
              <w:ind w:firstLine="480" w:firstLineChars="200"/>
              <w:rPr>
                <w:sz w:val="24"/>
              </w:rPr>
            </w:pPr>
            <w:r>
              <w:rPr>
                <w:rFonts w:hint="eastAsia" w:ascii="宋体" w:hAnsi="宋体" w:cs="宋体"/>
                <w:kern w:val="0"/>
                <w:sz w:val="24"/>
                <w:lang w:bidi="ar"/>
              </w:rPr>
              <w:t>项目营运期污染物进入地下水环境的途径主要为医院综合废水通过垂直渗透进入包气带，进入包气带的污染物在物理、化学和生物作用下吸附、转化、迁移和分解后输入地下水机土壤环境。</w:t>
            </w:r>
          </w:p>
          <w:p>
            <w:pPr>
              <w:widowControl/>
              <w:spacing w:line="360" w:lineRule="auto"/>
              <w:ind w:firstLine="482" w:firstLineChars="200"/>
              <w:rPr>
                <w:b/>
                <w:bCs/>
                <w:kern w:val="0"/>
                <w:sz w:val="24"/>
                <w:lang w:bidi="ar"/>
              </w:rPr>
            </w:pPr>
            <w:r>
              <w:rPr>
                <w:rFonts w:hint="eastAsia" w:ascii="宋体" w:cs="宋体"/>
                <w:b/>
                <w:kern w:val="0"/>
                <w:sz w:val="24"/>
              </w:rPr>
              <w:t>2、</w:t>
            </w:r>
            <w:r>
              <w:rPr>
                <w:rFonts w:hint="eastAsia"/>
                <w:b/>
                <w:bCs/>
                <w:kern w:val="0"/>
                <w:sz w:val="24"/>
                <w:lang w:bidi="ar"/>
              </w:rPr>
              <w:t>污染环节</w:t>
            </w:r>
          </w:p>
          <w:p>
            <w:pPr>
              <w:widowControl/>
              <w:spacing w:line="360" w:lineRule="auto"/>
              <w:ind w:firstLine="480" w:firstLineChars="200"/>
              <w:rPr>
                <w:rFonts w:hint="eastAsia"/>
                <w:kern w:val="0"/>
                <w:sz w:val="24"/>
                <w:szCs w:val="20"/>
              </w:rPr>
            </w:pPr>
            <w:r>
              <w:rPr>
                <w:rFonts w:hint="eastAsia" w:ascii="宋体" w:hAnsi="宋体" w:cs="宋体"/>
                <w:kern w:val="0"/>
                <w:sz w:val="24"/>
                <w:lang w:bidi="ar"/>
              </w:rPr>
              <w:t>根据工程分析及项目特点，营运期因医院综合废水渗漏可能产生的污染地下</w:t>
            </w:r>
            <w:r>
              <w:rPr>
                <w:rFonts w:hint="eastAsia"/>
                <w:kern w:val="0"/>
                <w:sz w:val="24"/>
                <w:szCs w:val="20"/>
              </w:rPr>
              <w:t>水、土壤的环节主要有：</w:t>
            </w:r>
          </w:p>
          <w:p>
            <w:pPr>
              <w:widowControl/>
              <w:spacing w:line="360" w:lineRule="auto"/>
              <w:ind w:firstLine="480" w:firstLineChars="200"/>
              <w:rPr>
                <w:rFonts w:hint="eastAsia"/>
                <w:kern w:val="0"/>
                <w:sz w:val="24"/>
                <w:szCs w:val="20"/>
              </w:rPr>
            </w:pPr>
            <w:r>
              <w:rPr>
                <w:rFonts w:hint="eastAsia"/>
                <w:kern w:val="0"/>
                <w:sz w:val="24"/>
                <w:szCs w:val="20"/>
              </w:rPr>
              <w:t xml:space="preserve">①医疗废物暂存间、隔油池、化粪池、污水处理站、储油间等区域发生“跑、冒、滴、漏”使水污染物进入地下水及土壤环境。 </w:t>
            </w:r>
          </w:p>
          <w:p>
            <w:pPr>
              <w:widowControl/>
              <w:spacing w:line="360" w:lineRule="auto"/>
              <w:ind w:firstLine="480" w:firstLineChars="200"/>
              <w:rPr>
                <w:rFonts w:hint="eastAsia"/>
                <w:kern w:val="0"/>
                <w:sz w:val="24"/>
                <w:szCs w:val="20"/>
              </w:rPr>
            </w:pPr>
            <w:r>
              <w:rPr>
                <w:rFonts w:hint="eastAsia"/>
                <w:kern w:val="0"/>
                <w:sz w:val="24"/>
                <w:szCs w:val="20"/>
              </w:rPr>
              <w:t>②突发环境风险事故导致废水外溢渗漏，进入地下水及土壤环境。</w:t>
            </w:r>
          </w:p>
          <w:p>
            <w:pPr>
              <w:widowControl/>
              <w:spacing w:line="360" w:lineRule="auto"/>
              <w:ind w:firstLine="482" w:firstLineChars="200"/>
              <w:rPr>
                <w:rFonts w:hint="eastAsia" w:ascii="宋体" w:hAnsi="宋体" w:cs="宋体"/>
                <w:b/>
                <w:bCs/>
                <w:kern w:val="0"/>
                <w:sz w:val="24"/>
                <w:lang w:bidi="ar"/>
              </w:rPr>
            </w:pPr>
            <w:r>
              <w:rPr>
                <w:rFonts w:hint="eastAsia" w:ascii="宋体" w:hAnsi="宋体" w:cs="宋体"/>
                <w:b/>
                <w:bCs/>
                <w:kern w:val="0"/>
                <w:sz w:val="24"/>
                <w:lang w:bidi="ar"/>
              </w:rPr>
              <w:t>3、污染物类型</w:t>
            </w:r>
          </w:p>
          <w:p>
            <w:pPr>
              <w:widowControl/>
              <w:spacing w:line="360" w:lineRule="auto"/>
              <w:ind w:firstLine="480" w:firstLineChars="200"/>
              <w:rPr>
                <w:rFonts w:hint="eastAsia"/>
                <w:kern w:val="0"/>
                <w:sz w:val="24"/>
                <w:szCs w:val="20"/>
              </w:rPr>
            </w:pPr>
            <w:r>
              <w:rPr>
                <w:rFonts w:hint="eastAsia"/>
                <w:kern w:val="0"/>
                <w:sz w:val="24"/>
                <w:szCs w:val="20"/>
              </w:rPr>
              <w:t>根据工程分析及项目特点，影响地下水及土壤环境的污染物主要为医院综合废水以及柴油，主要污染因子包括CODr、BOD</w:t>
            </w:r>
            <w:r>
              <w:rPr>
                <w:rFonts w:hint="eastAsia"/>
                <w:kern w:val="0"/>
                <w:sz w:val="24"/>
                <w:szCs w:val="20"/>
                <w:vertAlign w:val="subscript"/>
              </w:rPr>
              <w:t>5</w:t>
            </w:r>
            <w:r>
              <w:rPr>
                <w:rFonts w:hint="eastAsia"/>
                <w:kern w:val="0"/>
                <w:sz w:val="24"/>
                <w:szCs w:val="20"/>
              </w:rPr>
              <w:t>、NH</w:t>
            </w:r>
            <w:r>
              <w:rPr>
                <w:rFonts w:hint="eastAsia"/>
                <w:kern w:val="0"/>
                <w:sz w:val="24"/>
                <w:szCs w:val="20"/>
                <w:vertAlign w:val="subscript"/>
              </w:rPr>
              <w:t>3</w:t>
            </w:r>
            <w:r>
              <w:rPr>
                <w:rFonts w:hint="eastAsia"/>
                <w:kern w:val="0"/>
                <w:sz w:val="24"/>
                <w:szCs w:val="20"/>
              </w:rPr>
              <w:t>-N、SS、粪大肠菌群、石油类等。</w:t>
            </w:r>
          </w:p>
          <w:p>
            <w:pPr>
              <w:widowControl/>
              <w:spacing w:line="360" w:lineRule="auto"/>
              <w:ind w:firstLine="482" w:firstLineChars="200"/>
              <w:rPr>
                <w:rFonts w:hint="eastAsia" w:ascii="宋体" w:hAnsi="宋体" w:cs="宋体"/>
                <w:b/>
                <w:bCs/>
                <w:kern w:val="0"/>
                <w:sz w:val="24"/>
                <w:lang w:bidi="ar"/>
              </w:rPr>
            </w:pPr>
            <w:r>
              <w:rPr>
                <w:rFonts w:hint="eastAsia" w:ascii="宋体" w:hAnsi="宋体" w:cs="宋体"/>
                <w:b/>
                <w:bCs/>
                <w:kern w:val="0"/>
                <w:sz w:val="24"/>
                <w:lang w:bidi="ar"/>
              </w:rPr>
              <w:t>4、环境影响分析</w:t>
            </w:r>
          </w:p>
          <w:p>
            <w:pPr>
              <w:suppressAutoHyphens/>
              <w:spacing w:line="360" w:lineRule="auto"/>
              <w:ind w:firstLine="480"/>
              <w:rPr>
                <w:sz w:val="24"/>
              </w:rPr>
            </w:pPr>
            <w:r>
              <w:rPr>
                <w:rFonts w:hint="eastAsia" w:ascii="宋体" w:hAnsi="宋体" w:cs="宋体"/>
                <w:kern w:val="0"/>
                <w:sz w:val="24"/>
                <w:lang w:bidi="ar"/>
              </w:rPr>
              <w:t>本项目医疗废物暂存间、隔油池、化粪池、污水处理站等均采取了重点防渗处理措施，发生污</w:t>
            </w:r>
            <w:r>
              <w:rPr>
                <w:sz w:val="24"/>
              </w:rPr>
              <w:t>染地下水</w:t>
            </w:r>
            <w:r>
              <w:rPr>
                <w:rFonts w:hint="eastAsia"/>
                <w:sz w:val="24"/>
              </w:rPr>
              <w:t>及土壤</w:t>
            </w:r>
            <w:r>
              <w:rPr>
                <w:sz w:val="24"/>
              </w:rPr>
              <w:t>环境的途径主要为事故泄露导致的垂直入渗，其中的有害组分渗出后，很容易经过雨水淋溶、地表径流侵蚀而渗入</w:t>
            </w:r>
            <w:r>
              <w:rPr>
                <w:rFonts w:hint="eastAsia"/>
                <w:sz w:val="24"/>
              </w:rPr>
              <w:t>地下水</w:t>
            </w:r>
            <w:r>
              <w:rPr>
                <w:sz w:val="24"/>
              </w:rPr>
              <w:t>，杀死土壤中的微生物，破坏微生物与周围环境构成系统的平衡，导致草木不生，对于耕地则造成大面积的减产、影响食品安全。同时这些水分经土壤渗入地下水，对地下水水质也造成污染。</w:t>
            </w:r>
          </w:p>
          <w:p>
            <w:pPr>
              <w:adjustRightInd w:val="0"/>
              <w:snapToGrid w:val="0"/>
              <w:spacing w:line="360" w:lineRule="auto"/>
              <w:ind w:left="421"/>
              <w:rPr>
                <w:rFonts w:ascii="宋体" w:cs="宋体"/>
                <w:b/>
                <w:kern w:val="0"/>
                <w:sz w:val="24"/>
              </w:rPr>
            </w:pPr>
            <w:r>
              <w:rPr>
                <w:rFonts w:hint="eastAsia" w:ascii="宋体" w:cs="宋体"/>
                <w:b/>
                <w:kern w:val="0"/>
                <w:sz w:val="24"/>
              </w:rPr>
              <w:t>5、目前采取的地下水、土壤环境污染防控措施</w:t>
            </w:r>
          </w:p>
          <w:p>
            <w:pPr>
              <w:widowControl/>
              <w:spacing w:line="360" w:lineRule="auto"/>
              <w:ind w:firstLine="480" w:firstLineChars="200"/>
              <w:rPr>
                <w:rFonts w:hint="eastAsia"/>
                <w:kern w:val="0"/>
                <w:sz w:val="24"/>
                <w:szCs w:val="20"/>
              </w:rPr>
            </w:pPr>
            <w:r>
              <w:rPr>
                <w:rFonts w:hint="eastAsia"/>
                <w:kern w:val="0"/>
                <w:sz w:val="24"/>
                <w:szCs w:val="20"/>
              </w:rPr>
              <w:t>地下水、土壤环境污染防治措施按照“源头控制、过程控制、分区防控、应急响应”相结合的原则，对污染物的产生、漏渗、扩散、应急响应全阶段进行控制。</w:t>
            </w:r>
          </w:p>
          <w:p>
            <w:pPr>
              <w:widowControl/>
              <w:spacing w:line="360" w:lineRule="auto"/>
              <w:ind w:firstLine="480" w:firstLineChars="200"/>
              <w:rPr>
                <w:rFonts w:hint="eastAsia"/>
                <w:kern w:val="0"/>
                <w:sz w:val="24"/>
                <w:szCs w:val="20"/>
              </w:rPr>
            </w:pPr>
            <w:r>
              <w:rPr>
                <w:rFonts w:hint="eastAsia"/>
                <w:kern w:val="0"/>
                <w:sz w:val="24"/>
                <w:szCs w:val="20"/>
              </w:rPr>
              <w:t>（1）源头控制</w:t>
            </w:r>
          </w:p>
          <w:p>
            <w:pPr>
              <w:widowControl/>
              <w:spacing w:line="360" w:lineRule="auto"/>
              <w:ind w:firstLine="480" w:firstLineChars="200"/>
              <w:rPr>
                <w:kern w:val="0"/>
                <w:sz w:val="24"/>
                <w:szCs w:val="20"/>
              </w:rPr>
            </w:pPr>
            <w:r>
              <w:rPr>
                <w:kern w:val="0"/>
                <w:sz w:val="24"/>
                <w:szCs w:val="20"/>
              </w:rPr>
              <w:t xml:space="preserve"> ①根据国家现行相关规范加强环境管理，采取防止和降低污染物跑、冒、滴、漏的措施。正常生产过程中应加强巡检及时处理污染物跑、冒、滴、漏，同时应加强对防渗工程的检查，若发现防渗密封材料老化或损坏，应及时维修更换；</w:t>
            </w:r>
          </w:p>
          <w:p>
            <w:pPr>
              <w:widowControl/>
              <w:spacing w:line="360" w:lineRule="auto"/>
              <w:ind w:firstLine="480" w:firstLineChars="200"/>
              <w:rPr>
                <w:kern w:val="0"/>
                <w:sz w:val="24"/>
                <w:szCs w:val="20"/>
              </w:rPr>
            </w:pPr>
            <w:r>
              <w:rPr>
                <w:kern w:val="0"/>
                <w:sz w:val="24"/>
                <w:szCs w:val="20"/>
              </w:rPr>
              <w:t>②对工艺、设备、污水储存及处理构筑物采取控制措施，防止污染物的跑、冒、滴、漏，将污染物泄漏的环境风险事故降到最低限度。</w:t>
            </w:r>
          </w:p>
          <w:p>
            <w:pPr>
              <w:widowControl/>
              <w:spacing w:line="360" w:lineRule="auto"/>
              <w:ind w:firstLine="480" w:firstLineChars="200"/>
              <w:rPr>
                <w:rFonts w:hint="eastAsia"/>
                <w:kern w:val="0"/>
                <w:sz w:val="24"/>
                <w:szCs w:val="20"/>
              </w:rPr>
            </w:pPr>
            <w:r>
              <w:rPr>
                <w:rFonts w:hint="eastAsia"/>
                <w:kern w:val="0"/>
                <w:sz w:val="24"/>
                <w:szCs w:val="20"/>
              </w:rPr>
              <w:t>（2）过程控制措施</w:t>
            </w:r>
          </w:p>
          <w:p>
            <w:pPr>
              <w:widowControl/>
              <w:spacing w:line="360" w:lineRule="auto"/>
              <w:ind w:firstLine="480" w:firstLineChars="200"/>
              <w:rPr>
                <w:rFonts w:hint="eastAsia"/>
                <w:kern w:val="0"/>
                <w:sz w:val="24"/>
                <w:szCs w:val="20"/>
              </w:rPr>
            </w:pPr>
            <w:r>
              <w:rPr>
                <w:rFonts w:hint="eastAsia"/>
                <w:kern w:val="0"/>
                <w:sz w:val="24"/>
                <w:szCs w:val="20"/>
              </w:rPr>
              <w:t>根据项目特性及工程分析，项目地下水、土壤环境污染过程控制主要从垂直入渗进行控制。设置30m³污水事故池，用于收集消防废水及事故排放废水。</w:t>
            </w:r>
          </w:p>
          <w:p>
            <w:pPr>
              <w:widowControl/>
              <w:spacing w:line="360" w:lineRule="auto"/>
              <w:ind w:firstLine="480" w:firstLineChars="200"/>
              <w:rPr>
                <w:rFonts w:hint="eastAsia"/>
                <w:kern w:val="0"/>
                <w:sz w:val="24"/>
                <w:szCs w:val="20"/>
              </w:rPr>
            </w:pPr>
            <w:r>
              <w:rPr>
                <w:rFonts w:hint="eastAsia"/>
                <w:kern w:val="0"/>
                <w:sz w:val="24"/>
                <w:szCs w:val="20"/>
              </w:rPr>
              <w:t>（3）分区防控</w:t>
            </w:r>
          </w:p>
          <w:p>
            <w:pPr>
              <w:widowControl/>
              <w:spacing w:line="360" w:lineRule="auto"/>
              <w:ind w:firstLine="480" w:firstLineChars="200"/>
              <w:rPr>
                <w:rFonts w:hint="eastAsia"/>
                <w:kern w:val="0"/>
                <w:sz w:val="24"/>
                <w:szCs w:val="20"/>
              </w:rPr>
            </w:pPr>
            <w:r>
              <w:rPr>
                <w:rFonts w:hint="eastAsia"/>
                <w:kern w:val="0"/>
                <w:sz w:val="24"/>
                <w:szCs w:val="20"/>
              </w:rPr>
              <w:t>项目分区防渗方案见下表：</w:t>
            </w:r>
          </w:p>
          <w:p>
            <w:pPr>
              <w:pStyle w:val="94"/>
              <w:spacing w:before="24" w:after="24" w:line="240" w:lineRule="auto"/>
              <w:ind w:left="842" w:hanging="422"/>
              <w:rPr>
                <w:rFonts w:hint="eastAsia" w:ascii="Times New Roman"/>
                <w:b/>
                <w:bCs/>
                <w:szCs w:val="21"/>
              </w:rPr>
            </w:pPr>
            <w:r>
              <w:rPr>
                <w:rFonts w:hint="eastAsia" w:ascii="Times New Roman"/>
                <w:b/>
                <w:bCs/>
                <w:szCs w:val="21"/>
              </w:rPr>
              <w:t>表4-</w:t>
            </w:r>
            <w:r>
              <w:rPr>
                <w:rFonts w:hint="eastAsia" w:ascii="Times New Roman"/>
                <w:b/>
                <w:bCs/>
                <w:szCs w:val="21"/>
                <w:lang w:val="en-US" w:eastAsia="zh-CN"/>
              </w:rPr>
              <w:t xml:space="preserve">22 </w:t>
            </w:r>
            <w:r>
              <w:rPr>
                <w:rFonts w:hint="eastAsia" w:ascii="Times New Roman"/>
                <w:b/>
                <w:bCs/>
                <w:szCs w:val="21"/>
              </w:rPr>
              <w:t>项目分区防渗要求一览表</w:t>
            </w:r>
          </w:p>
          <w:tbl>
            <w:tblPr>
              <w:tblStyle w:val="41"/>
              <w:tblW w:w="4998" w:type="pct"/>
              <w:tblInd w:w="0" w:type="dxa"/>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
            <w:tblGrid>
              <w:gridCol w:w="1393"/>
              <w:gridCol w:w="2460"/>
              <w:gridCol w:w="4255"/>
            </w:tblGrid>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32" w:hRule="atLeast"/>
              </w:trPr>
              <w:tc>
                <w:tcPr>
                  <w:tcW w:w="859" w:type="pct"/>
                  <w:shd w:val="clear" w:color="000000" w:fill="FFFFFF"/>
                  <w:noWrap w:val="0"/>
                  <w:vAlign w:val="center"/>
                </w:tcPr>
                <w:p>
                  <w:pPr>
                    <w:pStyle w:val="72"/>
                    <w:spacing w:line="240" w:lineRule="auto"/>
                    <w:ind w:firstLine="0" w:firstLineChars="0"/>
                    <w:jc w:val="center"/>
                    <w:rPr>
                      <w:rFonts w:hint="eastAsia"/>
                      <w:b/>
                      <w:bCs/>
                      <w:sz w:val="21"/>
                      <w:szCs w:val="21"/>
                      <w:lang w:val="zh-CN"/>
                    </w:rPr>
                  </w:pPr>
                  <w:r>
                    <w:rPr>
                      <w:rFonts w:hint="eastAsia"/>
                      <w:b/>
                      <w:bCs/>
                      <w:sz w:val="21"/>
                      <w:szCs w:val="21"/>
                      <w:lang w:val="zh-CN"/>
                    </w:rPr>
                    <w:t>防渗等级</w:t>
                  </w:r>
                </w:p>
              </w:tc>
              <w:tc>
                <w:tcPr>
                  <w:tcW w:w="1517" w:type="pct"/>
                  <w:shd w:val="clear" w:color="000000" w:fill="FFFFFF"/>
                  <w:noWrap w:val="0"/>
                  <w:vAlign w:val="center"/>
                </w:tcPr>
                <w:p>
                  <w:pPr>
                    <w:pStyle w:val="72"/>
                    <w:spacing w:line="240" w:lineRule="auto"/>
                    <w:ind w:firstLine="0" w:firstLineChars="0"/>
                    <w:jc w:val="center"/>
                    <w:rPr>
                      <w:rFonts w:hint="eastAsia"/>
                      <w:b/>
                      <w:bCs/>
                      <w:sz w:val="21"/>
                      <w:szCs w:val="21"/>
                      <w:lang w:val="zh-CN"/>
                    </w:rPr>
                  </w:pPr>
                  <w:r>
                    <w:rPr>
                      <w:rFonts w:hint="eastAsia"/>
                      <w:b/>
                      <w:bCs/>
                      <w:sz w:val="21"/>
                      <w:szCs w:val="21"/>
                      <w:lang w:val="zh-CN"/>
                    </w:rPr>
                    <w:t>防渗区域</w:t>
                  </w:r>
                </w:p>
              </w:tc>
              <w:tc>
                <w:tcPr>
                  <w:tcW w:w="2623" w:type="pct"/>
                  <w:shd w:val="clear" w:color="000000" w:fill="FFFFFF"/>
                  <w:noWrap w:val="0"/>
                  <w:vAlign w:val="center"/>
                </w:tcPr>
                <w:p>
                  <w:pPr>
                    <w:pStyle w:val="72"/>
                    <w:spacing w:line="240" w:lineRule="auto"/>
                    <w:ind w:firstLine="0" w:firstLineChars="0"/>
                    <w:jc w:val="center"/>
                    <w:rPr>
                      <w:rFonts w:hint="eastAsia"/>
                      <w:b/>
                      <w:bCs/>
                      <w:sz w:val="21"/>
                      <w:szCs w:val="21"/>
                      <w:lang w:val="zh-CN"/>
                    </w:rPr>
                  </w:pPr>
                  <w:r>
                    <w:rPr>
                      <w:rFonts w:hint="eastAsia"/>
                      <w:b/>
                      <w:bCs/>
                      <w:sz w:val="21"/>
                      <w:szCs w:val="21"/>
                      <w:lang w:val="zh-CN"/>
                    </w:rPr>
                    <w:t>防渗层要求及防渗措施</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93" w:hRule="atLeast"/>
              </w:trPr>
              <w:tc>
                <w:tcPr>
                  <w:tcW w:w="859" w:type="pct"/>
                  <w:shd w:val="clear" w:color="000000" w:fill="FFFFFF"/>
                  <w:noWrap w:val="0"/>
                  <w:vAlign w:val="center"/>
                </w:tcPr>
                <w:p>
                  <w:pPr>
                    <w:pStyle w:val="72"/>
                    <w:spacing w:line="240" w:lineRule="auto"/>
                    <w:ind w:firstLine="0" w:firstLineChars="0"/>
                    <w:jc w:val="center"/>
                    <w:rPr>
                      <w:rFonts w:hint="eastAsia"/>
                      <w:sz w:val="21"/>
                      <w:szCs w:val="21"/>
                      <w:lang w:val="zh-CN"/>
                    </w:rPr>
                  </w:pPr>
                  <w:r>
                    <w:rPr>
                      <w:rFonts w:hint="eastAsia"/>
                      <w:sz w:val="21"/>
                      <w:szCs w:val="21"/>
                      <w:lang w:val="zh-CN"/>
                    </w:rPr>
                    <w:t>一般污染防治区</w:t>
                  </w:r>
                </w:p>
              </w:tc>
              <w:tc>
                <w:tcPr>
                  <w:tcW w:w="1517" w:type="pct"/>
                  <w:shd w:val="clear" w:color="000000" w:fill="FFFFFF"/>
                  <w:noWrap w:val="0"/>
                  <w:vAlign w:val="center"/>
                </w:tcPr>
                <w:p>
                  <w:pPr>
                    <w:pStyle w:val="72"/>
                    <w:spacing w:line="240" w:lineRule="auto"/>
                    <w:ind w:firstLine="0" w:firstLineChars="0"/>
                    <w:jc w:val="center"/>
                    <w:rPr>
                      <w:rFonts w:hint="eastAsia"/>
                      <w:sz w:val="21"/>
                      <w:szCs w:val="21"/>
                      <w:lang w:val="zh-CN"/>
                    </w:rPr>
                  </w:pPr>
                  <w:r>
                    <w:rPr>
                      <w:rFonts w:hint="eastAsia"/>
                      <w:sz w:val="21"/>
                      <w:szCs w:val="21"/>
                    </w:rPr>
                    <w:t>除重点防渗区、绿化带外的区域</w:t>
                  </w:r>
                </w:p>
              </w:tc>
              <w:tc>
                <w:tcPr>
                  <w:tcW w:w="2623" w:type="pct"/>
                  <w:shd w:val="clear" w:color="000000" w:fill="FFFFFF"/>
                  <w:noWrap w:val="0"/>
                  <w:vAlign w:val="center"/>
                </w:tcPr>
                <w:p>
                  <w:pPr>
                    <w:pStyle w:val="72"/>
                    <w:spacing w:line="240" w:lineRule="auto"/>
                    <w:ind w:firstLine="0" w:firstLineChars="0"/>
                    <w:jc w:val="center"/>
                    <w:rPr>
                      <w:rFonts w:hint="eastAsia"/>
                      <w:sz w:val="21"/>
                      <w:szCs w:val="21"/>
                      <w:lang w:val="zh-CN"/>
                    </w:rPr>
                  </w:pPr>
                  <w:r>
                    <w:rPr>
                      <w:rFonts w:hint="eastAsia"/>
                      <w:sz w:val="21"/>
                      <w:szCs w:val="21"/>
                    </w:rPr>
                    <w:t>等效黏土防渗层Mb≥1.5m，渗透系数K≤1×10</w:t>
                  </w:r>
                  <w:r>
                    <w:rPr>
                      <w:rFonts w:hint="eastAsia"/>
                      <w:sz w:val="21"/>
                      <w:szCs w:val="21"/>
                      <w:vertAlign w:val="superscript"/>
                    </w:rPr>
                    <w:t>-7</w:t>
                  </w:r>
                  <w:r>
                    <w:rPr>
                      <w:rFonts w:hint="eastAsia"/>
                      <w:sz w:val="21"/>
                      <w:szCs w:val="21"/>
                    </w:rPr>
                    <w:t>cm/s；或参照GB18598执行</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442" w:hRule="atLeast"/>
              </w:trPr>
              <w:tc>
                <w:tcPr>
                  <w:tcW w:w="859" w:type="pct"/>
                  <w:shd w:val="clear" w:color="000000" w:fill="FFFFFF"/>
                  <w:noWrap w:val="0"/>
                  <w:vAlign w:val="center"/>
                </w:tcPr>
                <w:p>
                  <w:pPr>
                    <w:pStyle w:val="72"/>
                    <w:spacing w:line="240" w:lineRule="auto"/>
                    <w:ind w:firstLine="0" w:firstLineChars="0"/>
                    <w:jc w:val="center"/>
                    <w:rPr>
                      <w:rFonts w:hint="eastAsia"/>
                      <w:sz w:val="21"/>
                      <w:szCs w:val="21"/>
                      <w:lang w:val="zh-CN"/>
                    </w:rPr>
                  </w:pPr>
                  <w:r>
                    <w:rPr>
                      <w:rFonts w:hint="eastAsia"/>
                      <w:sz w:val="21"/>
                      <w:szCs w:val="21"/>
                      <w:lang w:val="zh-CN"/>
                    </w:rPr>
                    <w:t>重点污染防治区</w:t>
                  </w:r>
                </w:p>
              </w:tc>
              <w:tc>
                <w:tcPr>
                  <w:tcW w:w="1517" w:type="pct"/>
                  <w:shd w:val="clear" w:color="000000" w:fill="FFFFFF"/>
                  <w:noWrap w:val="0"/>
                  <w:vAlign w:val="center"/>
                </w:tcPr>
                <w:p>
                  <w:pPr>
                    <w:pStyle w:val="72"/>
                    <w:spacing w:line="240" w:lineRule="auto"/>
                    <w:ind w:firstLine="0" w:firstLineChars="0"/>
                    <w:jc w:val="center"/>
                    <w:rPr>
                      <w:rFonts w:hint="eastAsia"/>
                      <w:sz w:val="21"/>
                      <w:szCs w:val="21"/>
                      <w:lang w:val="zh-CN"/>
                    </w:rPr>
                  </w:pPr>
                  <w:r>
                    <w:rPr>
                      <w:rFonts w:hint="eastAsia"/>
                      <w:sz w:val="21"/>
                      <w:szCs w:val="21"/>
                      <w:lang w:val="zh-CN"/>
                    </w:rPr>
                    <w:t>医疗废物暂存间、隔油池、化粪池、事故池、污水处理站等</w:t>
                  </w:r>
                </w:p>
              </w:tc>
              <w:tc>
                <w:tcPr>
                  <w:tcW w:w="2623" w:type="pct"/>
                  <w:shd w:val="clear" w:color="000000" w:fill="FFFFFF"/>
                  <w:noWrap w:val="0"/>
                  <w:vAlign w:val="center"/>
                </w:tcPr>
                <w:p>
                  <w:pPr>
                    <w:pStyle w:val="72"/>
                    <w:spacing w:line="240" w:lineRule="auto"/>
                    <w:ind w:firstLine="0" w:firstLineChars="0"/>
                    <w:jc w:val="center"/>
                    <w:rPr>
                      <w:rFonts w:hint="eastAsia"/>
                      <w:sz w:val="21"/>
                      <w:szCs w:val="21"/>
                      <w:lang w:val="zh-CN"/>
                    </w:rPr>
                  </w:pPr>
                  <w:r>
                    <w:rPr>
                      <w:rFonts w:hint="eastAsia"/>
                      <w:sz w:val="21"/>
                      <w:szCs w:val="21"/>
                    </w:rPr>
                    <w:t>等效黏土防渗层Mb≥6.0m，防渗层渗透系数K≤1×10</w:t>
                  </w:r>
                  <w:r>
                    <w:rPr>
                      <w:rFonts w:hint="eastAsia"/>
                      <w:sz w:val="21"/>
                      <w:szCs w:val="21"/>
                      <w:vertAlign w:val="superscript"/>
                    </w:rPr>
                    <w:t>-7</w:t>
                  </w:r>
                  <w:r>
                    <w:rPr>
                      <w:rFonts w:hint="eastAsia"/>
                      <w:sz w:val="21"/>
                      <w:szCs w:val="21"/>
                    </w:rPr>
                    <w:t>cm/s（其中医疗废物暂存间K≤1×10-10cm/s）；或参照GB18598执行</w:t>
                  </w:r>
                </w:p>
              </w:tc>
            </w:tr>
          </w:tbl>
          <w:p>
            <w:pPr>
              <w:spacing w:line="360" w:lineRule="auto"/>
              <w:ind w:firstLine="480" w:firstLineChars="200"/>
              <w:rPr>
                <w:rFonts w:hint="eastAsia"/>
                <w:sz w:val="24"/>
              </w:rPr>
            </w:pPr>
            <w:r>
              <w:rPr>
                <w:rFonts w:hint="eastAsia"/>
                <w:sz w:val="24"/>
              </w:rPr>
              <w:t>（4）应急响应</w:t>
            </w:r>
          </w:p>
          <w:p>
            <w:pPr>
              <w:spacing w:line="360" w:lineRule="auto"/>
              <w:ind w:firstLine="480" w:firstLineChars="200"/>
              <w:rPr>
                <w:sz w:val="24"/>
              </w:rPr>
            </w:pPr>
            <w:r>
              <w:rPr>
                <w:rFonts w:hint="eastAsia"/>
                <w:sz w:val="24"/>
              </w:rPr>
              <w:t xml:space="preserve">编制环境风险应急预案，严格环境管理制度，加强巡检，一旦出现泄漏及时处理，迅速采取已经措施，将污染物泄漏的环境风险事故降到最低。 </w:t>
            </w:r>
          </w:p>
          <w:p>
            <w:pPr>
              <w:spacing w:line="360" w:lineRule="auto"/>
            </w:pPr>
            <w:r>
              <w:rPr>
                <w:rFonts w:hint="eastAsia"/>
              </w:rPr>
              <w:t xml:space="preserve">    </w:t>
            </w:r>
            <w:r>
              <w:rPr>
                <w:rFonts w:hint="eastAsia"/>
                <w:sz w:val="24"/>
              </w:rPr>
              <w:t>项目地下水、土壤环境影响及保护措施见下表：</w:t>
            </w:r>
          </w:p>
          <w:p>
            <w:pPr>
              <w:jc w:val="center"/>
              <w:rPr>
                <w:rFonts w:hint="eastAsia"/>
                <w:b/>
                <w:bCs/>
                <w:kern w:val="0"/>
                <w:szCs w:val="21"/>
              </w:rPr>
            </w:pPr>
            <w:r>
              <w:rPr>
                <w:rFonts w:hint="eastAsia"/>
                <w:b/>
                <w:bCs/>
                <w:kern w:val="0"/>
                <w:szCs w:val="21"/>
              </w:rPr>
              <w:t>表4-</w:t>
            </w:r>
            <w:r>
              <w:rPr>
                <w:rFonts w:hint="eastAsia"/>
                <w:b/>
                <w:bCs/>
                <w:kern w:val="0"/>
                <w:szCs w:val="21"/>
                <w:lang w:val="en-US" w:eastAsia="zh-CN"/>
              </w:rPr>
              <w:t>23</w:t>
            </w:r>
            <w:r>
              <w:rPr>
                <w:rFonts w:hint="eastAsia"/>
                <w:b/>
                <w:bCs/>
                <w:kern w:val="0"/>
                <w:szCs w:val="21"/>
              </w:rPr>
              <w:t xml:space="preserve">  地下水、土壤环境影响及保护措施一览表</w:t>
            </w:r>
          </w:p>
          <w:tbl>
            <w:tblPr>
              <w:tblStyle w:val="41"/>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38"/>
              <w:gridCol w:w="1798"/>
              <w:gridCol w:w="2209"/>
              <w:gridCol w:w="206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6" w:type="pct"/>
                  <w:noWrap w:val="0"/>
                  <w:vAlign w:val="center"/>
                </w:tcPr>
                <w:p>
                  <w:pPr>
                    <w:jc w:val="center"/>
                    <w:rPr>
                      <w:rFonts w:hint="eastAsia" w:ascii="宋体" w:hAnsi="宋体" w:cs="宋体"/>
                      <w:b/>
                      <w:bCs/>
                      <w:szCs w:val="21"/>
                    </w:rPr>
                  </w:pPr>
                  <w:r>
                    <w:rPr>
                      <w:rFonts w:hint="eastAsia" w:ascii="宋体" w:hAnsi="宋体" w:cs="宋体"/>
                      <w:b/>
                      <w:bCs/>
                      <w:szCs w:val="21"/>
                    </w:rPr>
                    <w:t>污染源</w:t>
                  </w:r>
                </w:p>
              </w:tc>
              <w:tc>
                <w:tcPr>
                  <w:tcW w:w="1108" w:type="pct"/>
                  <w:noWrap w:val="0"/>
                  <w:vAlign w:val="center"/>
                </w:tcPr>
                <w:p>
                  <w:pPr>
                    <w:jc w:val="center"/>
                    <w:rPr>
                      <w:rFonts w:hint="eastAsia"/>
                      <w:b/>
                      <w:bCs/>
                      <w:kern w:val="0"/>
                      <w:szCs w:val="21"/>
                    </w:rPr>
                  </w:pPr>
                  <w:r>
                    <w:rPr>
                      <w:rFonts w:hint="eastAsia"/>
                      <w:b/>
                      <w:bCs/>
                      <w:kern w:val="0"/>
                      <w:szCs w:val="21"/>
                    </w:rPr>
                    <w:t>污染物类型</w:t>
                  </w:r>
                </w:p>
              </w:tc>
              <w:tc>
                <w:tcPr>
                  <w:tcW w:w="1362" w:type="pct"/>
                  <w:noWrap w:val="0"/>
                  <w:vAlign w:val="center"/>
                </w:tcPr>
                <w:p>
                  <w:pPr>
                    <w:jc w:val="center"/>
                    <w:rPr>
                      <w:rFonts w:hint="eastAsia" w:ascii="宋体" w:hAnsi="宋体" w:cs="宋体"/>
                      <w:b/>
                      <w:bCs/>
                      <w:szCs w:val="21"/>
                    </w:rPr>
                  </w:pPr>
                  <w:r>
                    <w:rPr>
                      <w:rFonts w:hint="eastAsia" w:ascii="宋体" w:hAnsi="宋体" w:cs="宋体"/>
                      <w:b/>
                      <w:bCs/>
                      <w:szCs w:val="21"/>
                    </w:rPr>
                    <w:t>污染途径</w:t>
                  </w:r>
                </w:p>
              </w:tc>
              <w:tc>
                <w:tcPr>
                  <w:tcW w:w="1272" w:type="pct"/>
                  <w:noWrap w:val="0"/>
                  <w:vAlign w:val="center"/>
                </w:tcPr>
                <w:p>
                  <w:pPr>
                    <w:jc w:val="center"/>
                    <w:rPr>
                      <w:rFonts w:hint="eastAsia" w:ascii="宋体" w:hAnsi="宋体" w:cs="宋体"/>
                      <w:b/>
                      <w:bCs/>
                      <w:szCs w:val="21"/>
                    </w:rPr>
                  </w:pPr>
                  <w:r>
                    <w:rPr>
                      <w:rFonts w:hint="eastAsia" w:ascii="宋体" w:hAnsi="宋体" w:cs="宋体"/>
                      <w:b/>
                      <w:bCs/>
                      <w:szCs w:val="21"/>
                    </w:rPr>
                    <w:t>防治措施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6" w:type="pct"/>
                  <w:noWrap w:val="0"/>
                  <w:vAlign w:val="center"/>
                </w:tcPr>
                <w:p>
                  <w:pPr>
                    <w:jc w:val="center"/>
                    <w:rPr>
                      <w:rFonts w:hint="eastAsia" w:ascii="宋体" w:hAnsi="宋体" w:cs="宋体"/>
                      <w:szCs w:val="21"/>
                    </w:rPr>
                  </w:pPr>
                  <w:r>
                    <w:rPr>
                      <w:rFonts w:hint="eastAsia" w:ascii="宋体" w:hAnsi="宋体" w:cs="宋体"/>
                      <w:szCs w:val="21"/>
                    </w:rPr>
                    <w:t>医疗废物暂存间、隔油池、化粪池、污水处理站、事故池等</w:t>
                  </w:r>
                </w:p>
              </w:tc>
              <w:tc>
                <w:tcPr>
                  <w:tcW w:w="1108" w:type="pct"/>
                  <w:noWrap w:val="0"/>
                  <w:vAlign w:val="center"/>
                </w:tcPr>
                <w:p>
                  <w:pPr>
                    <w:jc w:val="center"/>
                    <w:rPr>
                      <w:rFonts w:hint="eastAsia"/>
                      <w:kern w:val="0"/>
                      <w:szCs w:val="21"/>
                    </w:rPr>
                  </w:pPr>
                  <w:r>
                    <w:rPr>
                      <w:rFonts w:hint="eastAsia"/>
                      <w:kern w:val="0"/>
                      <w:szCs w:val="21"/>
                    </w:rPr>
                    <w:t>CODr、BOD</w:t>
                  </w:r>
                  <w:r>
                    <w:rPr>
                      <w:rFonts w:hint="eastAsia"/>
                      <w:kern w:val="0"/>
                      <w:szCs w:val="21"/>
                      <w:vertAlign w:val="subscript"/>
                    </w:rPr>
                    <w:t>5</w:t>
                  </w:r>
                  <w:r>
                    <w:rPr>
                      <w:rFonts w:hint="eastAsia"/>
                      <w:kern w:val="0"/>
                      <w:szCs w:val="21"/>
                    </w:rPr>
                    <w:t>、NH</w:t>
                  </w:r>
                  <w:r>
                    <w:rPr>
                      <w:rFonts w:hint="eastAsia"/>
                      <w:kern w:val="0"/>
                      <w:szCs w:val="21"/>
                      <w:vertAlign w:val="subscript"/>
                    </w:rPr>
                    <w:t>3</w:t>
                  </w:r>
                  <w:r>
                    <w:rPr>
                      <w:rFonts w:hint="eastAsia"/>
                      <w:kern w:val="0"/>
                      <w:szCs w:val="21"/>
                    </w:rPr>
                    <w:t>-N、SS、粪大肠菌群、石油类等</w:t>
                  </w:r>
                </w:p>
              </w:tc>
              <w:tc>
                <w:tcPr>
                  <w:tcW w:w="1362" w:type="pct"/>
                  <w:noWrap w:val="0"/>
                  <w:vAlign w:val="center"/>
                </w:tcPr>
                <w:p>
                  <w:pPr>
                    <w:jc w:val="center"/>
                    <w:rPr>
                      <w:rFonts w:hint="eastAsia" w:ascii="宋体" w:hAnsi="宋体" w:cs="宋体"/>
                      <w:szCs w:val="21"/>
                    </w:rPr>
                  </w:pPr>
                  <w:r>
                    <w:rPr>
                      <w:rFonts w:hint="eastAsia" w:ascii="宋体" w:hAnsi="宋体" w:cs="宋体"/>
                      <w:szCs w:val="21"/>
                    </w:rPr>
                    <w:t>地表漫流、垂直渗透</w:t>
                  </w:r>
                </w:p>
              </w:tc>
              <w:tc>
                <w:tcPr>
                  <w:tcW w:w="1272" w:type="pct"/>
                  <w:noWrap w:val="0"/>
                  <w:vAlign w:val="center"/>
                </w:tcPr>
                <w:p>
                  <w:pPr>
                    <w:jc w:val="center"/>
                    <w:rPr>
                      <w:rFonts w:hint="eastAsia" w:ascii="宋体" w:hAnsi="宋体" w:cs="宋体"/>
                      <w:szCs w:val="21"/>
                    </w:rPr>
                  </w:pPr>
                  <w:r>
                    <w:rPr>
                      <w:rFonts w:hint="eastAsia" w:ascii="宋体" w:hAnsi="宋体" w:cs="宋体"/>
                      <w:szCs w:val="21"/>
                    </w:rPr>
                    <w:t>源头控制</w:t>
                  </w:r>
                  <w:r>
                    <w:rPr>
                      <w:rFonts w:hint="eastAsia" w:ascii="宋体" w:hAnsi="宋体" w:cs="宋体"/>
                      <w:szCs w:val="21"/>
                      <w:lang w:eastAsia="zh-CN"/>
                    </w:rPr>
                    <w:t>、</w:t>
                  </w:r>
                  <w:r>
                    <w:rPr>
                      <w:rFonts w:hint="eastAsia" w:ascii="宋体" w:hAnsi="宋体" w:cs="宋体"/>
                      <w:szCs w:val="21"/>
                    </w:rPr>
                    <w:t>过程控制</w:t>
                  </w:r>
                  <w:r>
                    <w:rPr>
                      <w:rFonts w:hint="eastAsia" w:ascii="宋体" w:hAnsi="宋体" w:cs="宋体"/>
                      <w:szCs w:val="21"/>
                      <w:lang w:eastAsia="zh-CN"/>
                    </w:rPr>
                    <w:t>、</w:t>
                  </w:r>
                  <w:r>
                    <w:rPr>
                      <w:rFonts w:hint="eastAsia" w:ascii="宋体" w:hAnsi="宋体" w:cs="宋体"/>
                      <w:szCs w:val="21"/>
                    </w:rPr>
                    <w:t>分区防控</w:t>
                  </w:r>
                  <w:r>
                    <w:rPr>
                      <w:rFonts w:hint="eastAsia" w:ascii="宋体" w:hAnsi="宋体" w:cs="宋体"/>
                      <w:szCs w:val="21"/>
                      <w:lang w:eastAsia="zh-CN"/>
                    </w:rPr>
                    <w:t>、</w:t>
                  </w:r>
                  <w:r>
                    <w:rPr>
                      <w:rFonts w:hint="eastAsia" w:ascii="宋体" w:hAnsi="宋体" w:cs="宋体"/>
                      <w:szCs w:val="21"/>
                    </w:rPr>
                    <w:t>应急响应</w:t>
                  </w:r>
                </w:p>
              </w:tc>
            </w:tr>
          </w:tbl>
          <w:p>
            <w:pPr>
              <w:spacing w:line="360" w:lineRule="auto"/>
              <w:ind w:firstLine="482" w:firstLineChars="200"/>
              <w:rPr>
                <w:rFonts w:hint="eastAsia"/>
                <w:sz w:val="24"/>
              </w:rPr>
            </w:pPr>
            <w:r>
              <w:rPr>
                <w:rFonts w:hint="eastAsia"/>
                <w:b/>
                <w:bCs/>
                <w:sz w:val="24"/>
              </w:rPr>
              <w:t>综上所述，本项目采取的地下水、土壤环境污染防控措施可行有效，无需整改，对地下水、土壤环境影响可接受。</w:t>
            </w:r>
          </w:p>
          <w:p>
            <w:pPr>
              <w:jc w:val="center"/>
              <w:rPr>
                <w:rFonts w:hint="eastAsia"/>
                <w:b/>
                <w:bCs/>
                <w:kern w:val="0"/>
                <w:szCs w:val="21"/>
                <w:lang w:val="zh-CN"/>
              </w:rPr>
            </w:pPr>
            <w:r>
              <w:rPr>
                <w:rFonts w:hint="eastAsia"/>
                <w:b/>
                <w:bCs/>
                <w:kern w:val="0"/>
                <w:szCs w:val="21"/>
                <w:lang w:val="zh-CN"/>
              </w:rPr>
              <w:t>表</w:t>
            </w:r>
            <w:r>
              <w:rPr>
                <w:rFonts w:hint="eastAsia"/>
                <w:b/>
                <w:bCs/>
                <w:kern w:val="0"/>
                <w:szCs w:val="21"/>
              </w:rPr>
              <w:t>4-</w:t>
            </w:r>
            <w:r>
              <w:rPr>
                <w:rFonts w:hint="eastAsia"/>
                <w:b/>
                <w:bCs/>
                <w:kern w:val="0"/>
                <w:szCs w:val="21"/>
                <w:lang w:val="en-US" w:eastAsia="zh-CN"/>
              </w:rPr>
              <w:t>24</w:t>
            </w:r>
            <w:r>
              <w:rPr>
                <w:rFonts w:hint="eastAsia"/>
                <w:b/>
                <w:bCs/>
                <w:kern w:val="0"/>
                <w:szCs w:val="21"/>
              </w:rPr>
              <w:t xml:space="preserve">  </w:t>
            </w:r>
            <w:r>
              <w:rPr>
                <w:rFonts w:hint="eastAsia"/>
                <w:b/>
                <w:bCs/>
                <w:kern w:val="0"/>
                <w:szCs w:val="21"/>
                <w:lang w:val="zh-CN"/>
              </w:rPr>
              <w:t>项目地下水、土壤环境措施及整改要求汇总表</w:t>
            </w:r>
          </w:p>
          <w:tbl>
            <w:tblPr>
              <w:tblStyle w:val="41"/>
              <w:tblW w:w="4998" w:type="pct"/>
              <w:tblInd w:w="0" w:type="dxa"/>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
            <w:tblGrid>
              <w:gridCol w:w="2663"/>
              <w:gridCol w:w="2319"/>
              <w:gridCol w:w="2020"/>
              <w:gridCol w:w="1105"/>
            </w:tblGrid>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04" w:hRule="atLeast"/>
              </w:trPr>
              <w:tc>
                <w:tcPr>
                  <w:tcW w:w="1641" w:type="pct"/>
                  <w:noWrap w:val="0"/>
                  <w:vAlign w:val="center"/>
                </w:tcPr>
                <w:p>
                  <w:pPr>
                    <w:autoSpaceDE w:val="0"/>
                    <w:autoSpaceDN w:val="0"/>
                    <w:adjustRightInd w:val="0"/>
                    <w:jc w:val="center"/>
                    <w:rPr>
                      <w:rFonts w:ascii="宋体" w:cs="宋体"/>
                      <w:b/>
                      <w:bCs/>
                      <w:kern w:val="0"/>
                      <w:szCs w:val="21"/>
                      <w:lang w:val="zh-CN"/>
                    </w:rPr>
                  </w:pPr>
                  <w:r>
                    <w:rPr>
                      <w:rFonts w:hint="eastAsia" w:ascii="宋体" w:cs="宋体"/>
                      <w:b/>
                      <w:bCs/>
                      <w:kern w:val="0"/>
                      <w:szCs w:val="21"/>
                      <w:lang w:val="zh-CN"/>
                    </w:rPr>
                    <w:t>污染源</w:t>
                  </w:r>
                </w:p>
              </w:tc>
              <w:tc>
                <w:tcPr>
                  <w:tcW w:w="1429" w:type="pct"/>
                  <w:noWrap w:val="0"/>
                  <w:vAlign w:val="center"/>
                </w:tcPr>
                <w:p>
                  <w:pPr>
                    <w:autoSpaceDE w:val="0"/>
                    <w:autoSpaceDN w:val="0"/>
                    <w:adjustRightInd w:val="0"/>
                    <w:jc w:val="center"/>
                    <w:rPr>
                      <w:rFonts w:ascii="宋体" w:cs="宋体"/>
                      <w:b/>
                      <w:bCs/>
                      <w:kern w:val="0"/>
                      <w:szCs w:val="21"/>
                      <w:lang w:val="zh-CN"/>
                    </w:rPr>
                  </w:pPr>
                  <w:r>
                    <w:rPr>
                      <w:rFonts w:hint="eastAsia" w:ascii="宋体" w:cs="宋体"/>
                      <w:b/>
                      <w:bCs/>
                      <w:kern w:val="0"/>
                      <w:szCs w:val="21"/>
                      <w:lang w:val="zh-CN"/>
                    </w:rPr>
                    <w:t>现有措施及排放情况</w:t>
                  </w:r>
                </w:p>
              </w:tc>
              <w:tc>
                <w:tcPr>
                  <w:tcW w:w="1246" w:type="pct"/>
                  <w:noWrap w:val="0"/>
                  <w:vAlign w:val="center"/>
                </w:tcPr>
                <w:p>
                  <w:pPr>
                    <w:autoSpaceDE w:val="0"/>
                    <w:autoSpaceDN w:val="0"/>
                    <w:adjustRightInd w:val="0"/>
                    <w:jc w:val="center"/>
                    <w:rPr>
                      <w:rFonts w:ascii="宋体" w:cs="宋体"/>
                      <w:b/>
                      <w:bCs/>
                      <w:kern w:val="0"/>
                      <w:szCs w:val="21"/>
                      <w:lang w:val="zh-CN"/>
                    </w:rPr>
                  </w:pPr>
                  <w:r>
                    <w:rPr>
                      <w:rFonts w:hint="eastAsia" w:ascii="宋体" w:cs="宋体"/>
                      <w:b/>
                      <w:bCs/>
                      <w:kern w:val="0"/>
                      <w:szCs w:val="21"/>
                      <w:lang w:val="zh-CN"/>
                    </w:rPr>
                    <w:t>现有措施是否可行</w:t>
                  </w:r>
                </w:p>
              </w:tc>
              <w:tc>
                <w:tcPr>
                  <w:tcW w:w="682" w:type="pct"/>
                  <w:noWrap w:val="0"/>
                  <w:vAlign w:val="center"/>
                </w:tcPr>
                <w:p>
                  <w:pPr>
                    <w:autoSpaceDE w:val="0"/>
                    <w:autoSpaceDN w:val="0"/>
                    <w:adjustRightInd w:val="0"/>
                    <w:jc w:val="center"/>
                    <w:rPr>
                      <w:rFonts w:ascii="宋体" w:cs="宋体"/>
                      <w:b/>
                      <w:bCs/>
                      <w:kern w:val="0"/>
                      <w:szCs w:val="21"/>
                      <w:lang w:val="zh-CN"/>
                    </w:rPr>
                  </w:pPr>
                  <w:r>
                    <w:rPr>
                      <w:rFonts w:hint="eastAsia" w:ascii="宋体" w:cs="宋体"/>
                      <w:b/>
                      <w:bCs/>
                      <w:kern w:val="0"/>
                      <w:szCs w:val="21"/>
                      <w:lang w:val="zh-CN"/>
                    </w:rPr>
                    <w:t>整改要求</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534" w:hRule="atLeast"/>
              </w:trPr>
              <w:tc>
                <w:tcPr>
                  <w:tcW w:w="1641" w:type="pct"/>
                  <w:noWrap w:val="0"/>
                  <w:vAlign w:val="center"/>
                </w:tcPr>
                <w:p>
                  <w:pPr>
                    <w:autoSpaceDE w:val="0"/>
                    <w:autoSpaceDN w:val="0"/>
                    <w:adjustRightInd w:val="0"/>
                    <w:jc w:val="center"/>
                    <w:rPr>
                      <w:rFonts w:hint="eastAsia" w:ascii="宋体" w:cs="宋体"/>
                      <w:kern w:val="0"/>
                      <w:szCs w:val="21"/>
                      <w:lang w:val="zh-CN"/>
                    </w:rPr>
                  </w:pPr>
                  <w:r>
                    <w:rPr>
                      <w:rFonts w:hint="eastAsia" w:ascii="宋体" w:hAnsi="宋体" w:cs="宋体"/>
                      <w:szCs w:val="21"/>
                    </w:rPr>
                    <w:t>医疗废物暂存间、隔油池、化粪池、污水处理站、事故池等</w:t>
                  </w:r>
                </w:p>
              </w:tc>
              <w:tc>
                <w:tcPr>
                  <w:tcW w:w="1429" w:type="pct"/>
                  <w:noWrap w:val="0"/>
                  <w:vAlign w:val="center"/>
                </w:tcPr>
                <w:p>
                  <w:pPr>
                    <w:jc w:val="center"/>
                    <w:rPr>
                      <w:rFonts w:ascii="宋体" w:cs="宋体"/>
                      <w:kern w:val="0"/>
                      <w:szCs w:val="21"/>
                      <w:lang w:val="zh-CN"/>
                    </w:rPr>
                  </w:pPr>
                  <w:r>
                    <w:rPr>
                      <w:rFonts w:hint="eastAsia" w:ascii="宋体" w:hAnsi="宋体" w:cs="宋体"/>
                      <w:szCs w:val="21"/>
                    </w:rPr>
                    <w:t>源头控制、过程控制、分区防控、应急响应</w:t>
                  </w:r>
                </w:p>
              </w:tc>
              <w:tc>
                <w:tcPr>
                  <w:tcW w:w="1246" w:type="pct"/>
                  <w:noWrap w:val="0"/>
                  <w:vAlign w:val="center"/>
                </w:tcPr>
                <w:p>
                  <w:pPr>
                    <w:autoSpaceDE w:val="0"/>
                    <w:autoSpaceDN w:val="0"/>
                    <w:adjustRightInd w:val="0"/>
                    <w:jc w:val="center"/>
                    <w:rPr>
                      <w:rFonts w:ascii="宋体" w:cs="宋体"/>
                      <w:kern w:val="0"/>
                      <w:szCs w:val="21"/>
                      <w:lang w:val="zh-CN"/>
                    </w:rPr>
                  </w:pPr>
                  <w:r>
                    <w:rPr>
                      <w:rFonts w:hint="eastAsia" w:ascii="宋体" w:cs="宋体"/>
                      <w:kern w:val="0"/>
                      <w:szCs w:val="21"/>
                      <w:lang w:val="zh-CN"/>
                    </w:rPr>
                    <w:t>可行</w:t>
                  </w:r>
                </w:p>
              </w:tc>
              <w:tc>
                <w:tcPr>
                  <w:tcW w:w="682" w:type="pct"/>
                  <w:noWrap w:val="0"/>
                  <w:vAlign w:val="center"/>
                </w:tcPr>
                <w:p>
                  <w:pPr>
                    <w:autoSpaceDE w:val="0"/>
                    <w:autoSpaceDN w:val="0"/>
                    <w:adjustRightInd w:val="0"/>
                    <w:jc w:val="center"/>
                    <w:rPr>
                      <w:rFonts w:ascii="宋体" w:cs="宋体"/>
                      <w:kern w:val="0"/>
                      <w:szCs w:val="21"/>
                      <w:lang w:val="zh-CN"/>
                    </w:rPr>
                  </w:pPr>
                  <w:r>
                    <w:rPr>
                      <w:rFonts w:hint="eastAsia" w:ascii="宋体" w:cs="宋体"/>
                      <w:kern w:val="0"/>
                      <w:szCs w:val="21"/>
                      <w:lang w:val="zh-CN"/>
                    </w:rPr>
                    <w:t>无需整改</w:t>
                  </w:r>
                </w:p>
              </w:tc>
            </w:tr>
          </w:tbl>
          <w:p>
            <w:pPr>
              <w:spacing w:line="360" w:lineRule="auto"/>
              <w:rPr>
                <w:b/>
                <w:sz w:val="24"/>
              </w:rPr>
            </w:pPr>
            <w:r>
              <w:rPr>
                <w:rFonts w:hint="eastAsia"/>
                <w:b/>
                <w:sz w:val="24"/>
              </w:rPr>
              <w:t>六</w:t>
            </w:r>
            <w:r>
              <w:rPr>
                <w:rFonts w:hAnsi="宋体"/>
                <w:b/>
                <w:sz w:val="24"/>
              </w:rPr>
              <w:t>、</w:t>
            </w:r>
            <w:r>
              <w:rPr>
                <w:rFonts w:hint="eastAsia" w:hAnsi="宋体"/>
                <w:b/>
                <w:sz w:val="24"/>
              </w:rPr>
              <w:t>环境风险</w:t>
            </w:r>
            <w:r>
              <w:rPr>
                <w:rFonts w:hAnsi="宋体"/>
                <w:b/>
                <w:sz w:val="24"/>
              </w:rPr>
              <w:t>分析</w:t>
            </w:r>
          </w:p>
          <w:p>
            <w:pPr>
              <w:adjustRightInd w:val="0"/>
              <w:snapToGrid w:val="0"/>
              <w:spacing w:line="360" w:lineRule="auto"/>
              <w:ind w:firstLine="480" w:firstLineChars="200"/>
              <w:outlineLvl w:val="0"/>
              <w:rPr>
                <w:sz w:val="24"/>
              </w:rPr>
            </w:pPr>
            <w:r>
              <w:rPr>
                <w:rFonts w:hint="eastAsia"/>
                <w:sz w:val="24"/>
              </w:rPr>
              <w:t>环境风险评价的目的是分析和预测建设项目存在的潜在危险、有害因素，建设项目建设和运行期间可能发生的突发事件或事故（一般不包括人为破坏及自然灾害），引起有毒有害、易燃易爆等物质泄露，或突发事件产生的新的有毒有害物质，所造成的对人身安全与环境的影响和损害程度，提出合理可行的防范、应急与减缓措施，以使建设项目事故率、损失和环境影响达到可接受水平。</w:t>
            </w:r>
          </w:p>
          <w:p>
            <w:pPr>
              <w:pStyle w:val="72"/>
              <w:ind w:firstLine="482"/>
              <w:rPr>
                <w:rFonts w:hint="eastAsia"/>
                <w:b/>
                <w:bCs/>
              </w:rPr>
            </w:pPr>
            <w:r>
              <w:rPr>
                <w:b/>
              </w:rPr>
              <w:t>1</w:t>
            </w:r>
            <w:r>
              <w:rPr>
                <w:rFonts w:hint="eastAsia"/>
                <w:b/>
              </w:rPr>
              <w:t>、</w:t>
            </w:r>
            <w:r>
              <w:rPr>
                <w:rFonts w:hint="eastAsia"/>
                <w:b/>
                <w:bCs/>
              </w:rPr>
              <w:t>环境风险物质识别及分布情况</w:t>
            </w:r>
          </w:p>
          <w:p>
            <w:pPr>
              <w:pStyle w:val="72"/>
              <w:ind w:firstLine="480"/>
              <w:rPr>
                <w:rFonts w:hint="eastAsia"/>
              </w:rPr>
            </w:pPr>
            <w:r>
              <w:rPr>
                <w:rFonts w:hint="eastAsia"/>
              </w:rPr>
              <w:t>本项目为精神病专科医院项目，根据工程分析并参照《建设项目环境风险评价技术导则》（HJ169-2018）附录B，本项目涉及环境风险物质主要为医院综合废水、医疗废物、化学品（主要包括乙醇、二氧化氯等）、汽油等，环境风险物质列表具体见下表：</w:t>
            </w:r>
          </w:p>
          <w:p>
            <w:pPr>
              <w:pStyle w:val="40"/>
              <w:spacing w:before="120" w:beforeLines="50" w:after="0"/>
              <w:ind w:left="0" w:leftChars="0" w:firstLine="422"/>
              <w:jc w:val="center"/>
              <w:rPr>
                <w:rFonts w:hint="eastAsia"/>
                <w:b/>
                <w:bCs/>
                <w:kern w:val="0"/>
                <w:szCs w:val="21"/>
              </w:rPr>
            </w:pPr>
            <w:r>
              <w:rPr>
                <w:rFonts w:hint="eastAsia"/>
                <w:b/>
                <w:bCs/>
                <w:kern w:val="0"/>
                <w:szCs w:val="21"/>
              </w:rPr>
              <w:t>表4-</w:t>
            </w:r>
            <w:r>
              <w:rPr>
                <w:rFonts w:hint="eastAsia"/>
                <w:b/>
                <w:bCs/>
                <w:kern w:val="0"/>
                <w:szCs w:val="21"/>
                <w:lang w:val="en-US" w:eastAsia="zh-CN"/>
              </w:rPr>
              <w:t>25</w:t>
            </w:r>
            <w:r>
              <w:rPr>
                <w:rFonts w:hint="eastAsia"/>
                <w:b/>
                <w:bCs/>
                <w:kern w:val="0"/>
                <w:szCs w:val="21"/>
              </w:rPr>
              <w:t xml:space="preserve">  项目主要环境风险物质及分布情况</w:t>
            </w:r>
          </w:p>
          <w:tbl>
            <w:tblPr>
              <w:tblStyle w:val="41"/>
              <w:tblW w:w="4998" w:type="pct"/>
              <w:tblInd w:w="0" w:type="dxa"/>
              <w:tblBorders>
                <w:top w:val="single" w:color="auto" w:sz="2" w:space="0"/>
                <w:left w:val="none" w:color="auto" w:sz="0" w:space="0"/>
                <w:bottom w:val="sing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83"/>
              <w:gridCol w:w="1215"/>
              <w:gridCol w:w="1920"/>
              <w:gridCol w:w="1515"/>
              <w:gridCol w:w="2276"/>
            </w:tblGrid>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9" w:type="pct"/>
                  <w:noWrap w:val="0"/>
                  <w:vAlign w:val="center"/>
                </w:tcPr>
                <w:p>
                  <w:pPr>
                    <w:jc w:val="center"/>
                    <w:rPr>
                      <w:b/>
                      <w:bCs/>
                      <w:szCs w:val="21"/>
                    </w:rPr>
                  </w:pPr>
                  <w:r>
                    <w:rPr>
                      <w:b/>
                      <w:bCs/>
                      <w:szCs w:val="21"/>
                    </w:rPr>
                    <w:t>名称</w:t>
                  </w:r>
                </w:p>
              </w:tc>
              <w:tc>
                <w:tcPr>
                  <w:tcW w:w="749" w:type="pct"/>
                  <w:noWrap w:val="0"/>
                  <w:vAlign w:val="center"/>
                </w:tcPr>
                <w:p>
                  <w:pPr>
                    <w:jc w:val="center"/>
                    <w:rPr>
                      <w:b/>
                      <w:bCs/>
                      <w:szCs w:val="21"/>
                    </w:rPr>
                  </w:pPr>
                  <w:r>
                    <w:rPr>
                      <w:b/>
                      <w:bCs/>
                      <w:szCs w:val="21"/>
                    </w:rPr>
                    <w:t>CAS号</w:t>
                  </w:r>
                </w:p>
              </w:tc>
              <w:tc>
                <w:tcPr>
                  <w:tcW w:w="1183" w:type="pct"/>
                  <w:noWrap w:val="0"/>
                  <w:vAlign w:val="center"/>
                </w:tcPr>
                <w:p>
                  <w:pPr>
                    <w:jc w:val="center"/>
                    <w:rPr>
                      <w:b/>
                      <w:bCs/>
                      <w:szCs w:val="21"/>
                    </w:rPr>
                  </w:pPr>
                  <w:r>
                    <w:rPr>
                      <w:rFonts w:hint="eastAsia"/>
                      <w:b/>
                      <w:bCs/>
                      <w:szCs w:val="21"/>
                    </w:rPr>
                    <w:t>分布情况</w:t>
                  </w:r>
                </w:p>
              </w:tc>
              <w:tc>
                <w:tcPr>
                  <w:tcW w:w="934" w:type="pct"/>
                  <w:noWrap w:val="0"/>
                  <w:vAlign w:val="center"/>
                </w:tcPr>
                <w:p>
                  <w:pPr>
                    <w:jc w:val="center"/>
                    <w:rPr>
                      <w:b/>
                      <w:bCs/>
                      <w:szCs w:val="21"/>
                    </w:rPr>
                  </w:pPr>
                  <w:r>
                    <w:rPr>
                      <w:rFonts w:hint="eastAsia"/>
                      <w:b/>
                      <w:bCs/>
                      <w:szCs w:val="21"/>
                    </w:rPr>
                    <w:t>最大存在</w:t>
                  </w:r>
                  <w:r>
                    <w:rPr>
                      <w:b/>
                      <w:bCs/>
                      <w:szCs w:val="21"/>
                    </w:rPr>
                    <w:t>量t</w:t>
                  </w:r>
                </w:p>
              </w:tc>
              <w:tc>
                <w:tcPr>
                  <w:tcW w:w="1403" w:type="pct"/>
                  <w:noWrap w:val="0"/>
                  <w:vAlign w:val="center"/>
                </w:tcPr>
                <w:p>
                  <w:pPr>
                    <w:jc w:val="center"/>
                    <w:rPr>
                      <w:rFonts w:hint="eastAsia"/>
                      <w:b/>
                      <w:bCs/>
                      <w:szCs w:val="21"/>
                    </w:rPr>
                  </w:pPr>
                  <w:r>
                    <w:rPr>
                      <w:rFonts w:hint="eastAsia"/>
                      <w:b/>
                      <w:bCs/>
                      <w:szCs w:val="21"/>
                    </w:rPr>
                    <w:t>可能影响途径</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729" w:type="pct"/>
                  <w:noWrap w:val="0"/>
                  <w:vAlign w:val="center"/>
                </w:tcPr>
                <w:p>
                  <w:pPr>
                    <w:jc w:val="center"/>
                    <w:rPr>
                      <w:rFonts w:hint="eastAsia"/>
                      <w:szCs w:val="21"/>
                    </w:rPr>
                  </w:pPr>
                  <w:r>
                    <w:rPr>
                      <w:rFonts w:hint="eastAsia"/>
                      <w:szCs w:val="21"/>
                    </w:rPr>
                    <w:t>综合废水</w:t>
                  </w:r>
                </w:p>
              </w:tc>
              <w:tc>
                <w:tcPr>
                  <w:tcW w:w="749" w:type="pct"/>
                  <w:noWrap w:val="0"/>
                  <w:vAlign w:val="center"/>
                </w:tcPr>
                <w:p>
                  <w:pPr>
                    <w:jc w:val="center"/>
                    <w:rPr>
                      <w:rFonts w:hint="eastAsia"/>
                      <w:szCs w:val="21"/>
                    </w:rPr>
                  </w:pPr>
                  <w:r>
                    <w:rPr>
                      <w:rFonts w:hint="eastAsia"/>
                      <w:szCs w:val="21"/>
                    </w:rPr>
                    <w:t>/</w:t>
                  </w:r>
                </w:p>
              </w:tc>
              <w:tc>
                <w:tcPr>
                  <w:tcW w:w="1183" w:type="pct"/>
                  <w:noWrap w:val="0"/>
                  <w:vAlign w:val="center"/>
                </w:tcPr>
                <w:p>
                  <w:pPr>
                    <w:jc w:val="center"/>
                    <w:rPr>
                      <w:rFonts w:hint="eastAsia"/>
                      <w:szCs w:val="21"/>
                    </w:rPr>
                  </w:pPr>
                  <w:r>
                    <w:rPr>
                      <w:rFonts w:hint="eastAsia"/>
                      <w:szCs w:val="21"/>
                    </w:rPr>
                    <w:t>化粪池、污水处理站、排污管道等</w:t>
                  </w:r>
                </w:p>
              </w:tc>
              <w:tc>
                <w:tcPr>
                  <w:tcW w:w="934" w:type="pct"/>
                  <w:noWrap w:val="0"/>
                  <w:vAlign w:val="center"/>
                </w:tcPr>
                <w:p>
                  <w:pPr>
                    <w:jc w:val="center"/>
                    <w:rPr>
                      <w:rFonts w:hint="eastAsia" w:eastAsia="宋体"/>
                      <w:szCs w:val="21"/>
                      <w:lang w:eastAsia="zh-CN"/>
                    </w:rPr>
                  </w:pPr>
                  <w:r>
                    <w:rPr>
                      <w:rFonts w:hint="eastAsia"/>
                      <w:szCs w:val="21"/>
                      <w:lang w:val="en-US" w:eastAsia="zh-CN"/>
                    </w:rPr>
                    <w:t>/</w:t>
                  </w:r>
                </w:p>
              </w:tc>
              <w:tc>
                <w:tcPr>
                  <w:tcW w:w="1403" w:type="pct"/>
                  <w:noWrap w:val="0"/>
                  <w:vAlign w:val="center"/>
                </w:tcPr>
                <w:p>
                  <w:pPr>
                    <w:jc w:val="center"/>
                    <w:rPr>
                      <w:rFonts w:hint="eastAsia"/>
                      <w:szCs w:val="21"/>
                    </w:rPr>
                  </w:pPr>
                  <w:r>
                    <w:rPr>
                      <w:rFonts w:hint="eastAsia"/>
                      <w:szCs w:val="21"/>
                    </w:rPr>
                    <w:t>事故排放进入周边水体，渗漏进入地下水、土壤环境</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9" w:type="pct"/>
                  <w:noWrap w:val="0"/>
                  <w:vAlign w:val="center"/>
                </w:tcPr>
                <w:p>
                  <w:pPr>
                    <w:jc w:val="center"/>
                    <w:rPr>
                      <w:szCs w:val="21"/>
                    </w:rPr>
                  </w:pPr>
                  <w:r>
                    <w:rPr>
                      <w:rFonts w:hint="eastAsia"/>
                      <w:szCs w:val="21"/>
                    </w:rPr>
                    <w:t>医疗废物</w:t>
                  </w:r>
                </w:p>
              </w:tc>
              <w:tc>
                <w:tcPr>
                  <w:tcW w:w="749" w:type="pct"/>
                  <w:noWrap w:val="0"/>
                  <w:vAlign w:val="center"/>
                </w:tcPr>
                <w:p>
                  <w:pPr>
                    <w:jc w:val="center"/>
                    <w:rPr>
                      <w:rFonts w:hint="eastAsia"/>
                      <w:szCs w:val="21"/>
                    </w:rPr>
                  </w:pPr>
                  <w:r>
                    <w:rPr>
                      <w:rFonts w:hint="eastAsia"/>
                      <w:szCs w:val="21"/>
                    </w:rPr>
                    <w:t>/</w:t>
                  </w:r>
                </w:p>
              </w:tc>
              <w:tc>
                <w:tcPr>
                  <w:tcW w:w="1183" w:type="pct"/>
                  <w:noWrap w:val="0"/>
                  <w:vAlign w:val="center"/>
                </w:tcPr>
                <w:p>
                  <w:pPr>
                    <w:jc w:val="center"/>
                    <w:rPr>
                      <w:rFonts w:hint="eastAsia"/>
                      <w:szCs w:val="21"/>
                    </w:rPr>
                  </w:pPr>
                  <w:r>
                    <w:rPr>
                      <w:rFonts w:hint="eastAsia"/>
                      <w:szCs w:val="21"/>
                    </w:rPr>
                    <w:t>医疗废物产生点、医疗废物暂存间</w:t>
                  </w:r>
                </w:p>
              </w:tc>
              <w:tc>
                <w:tcPr>
                  <w:tcW w:w="934" w:type="pct"/>
                  <w:noWrap w:val="0"/>
                  <w:vAlign w:val="center"/>
                </w:tcPr>
                <w:p>
                  <w:pPr>
                    <w:jc w:val="center"/>
                    <w:rPr>
                      <w:szCs w:val="21"/>
                    </w:rPr>
                  </w:pPr>
                  <w:r>
                    <w:rPr>
                      <w:rFonts w:hint="eastAsia"/>
                      <w:szCs w:val="21"/>
                    </w:rPr>
                    <w:t>0.55</w:t>
                  </w:r>
                </w:p>
              </w:tc>
              <w:tc>
                <w:tcPr>
                  <w:tcW w:w="1403" w:type="pct"/>
                  <w:noWrap w:val="0"/>
                  <w:vAlign w:val="center"/>
                </w:tcPr>
                <w:p>
                  <w:pPr>
                    <w:jc w:val="center"/>
                    <w:rPr>
                      <w:rFonts w:hint="eastAsia"/>
                      <w:szCs w:val="21"/>
                    </w:rPr>
                  </w:pPr>
                  <w:r>
                    <w:rPr>
                      <w:rFonts w:hint="eastAsia"/>
                      <w:szCs w:val="21"/>
                    </w:rPr>
                    <w:t>渗漏进入地下水、土壤环境</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PrEx>
              <w:tc>
                <w:tcPr>
                  <w:tcW w:w="729" w:type="pct"/>
                  <w:noWrap w:val="0"/>
                  <w:vAlign w:val="center"/>
                </w:tcPr>
                <w:p>
                  <w:pPr>
                    <w:jc w:val="center"/>
                    <w:rPr>
                      <w:rFonts w:hint="eastAsia"/>
                      <w:szCs w:val="21"/>
                    </w:rPr>
                  </w:pPr>
                  <w:r>
                    <w:rPr>
                      <w:rFonts w:hint="eastAsia"/>
                      <w:szCs w:val="21"/>
                    </w:rPr>
                    <w:t>乙醇</w:t>
                  </w:r>
                </w:p>
              </w:tc>
              <w:tc>
                <w:tcPr>
                  <w:tcW w:w="749" w:type="pct"/>
                  <w:noWrap w:val="0"/>
                  <w:vAlign w:val="center"/>
                </w:tcPr>
                <w:p>
                  <w:pPr>
                    <w:jc w:val="center"/>
                    <w:rPr>
                      <w:szCs w:val="21"/>
                    </w:rPr>
                  </w:pPr>
                  <w:r>
                    <w:rPr>
                      <w:rFonts w:hint="eastAsia"/>
                      <w:szCs w:val="21"/>
                    </w:rPr>
                    <w:t>64-17-5</w:t>
                  </w:r>
                </w:p>
              </w:tc>
              <w:tc>
                <w:tcPr>
                  <w:tcW w:w="1183" w:type="pct"/>
                  <w:noWrap w:val="0"/>
                  <w:vAlign w:val="center"/>
                </w:tcPr>
                <w:p>
                  <w:pPr>
                    <w:jc w:val="center"/>
                    <w:rPr>
                      <w:rFonts w:hint="eastAsia"/>
                      <w:szCs w:val="21"/>
                    </w:rPr>
                  </w:pPr>
                  <w:r>
                    <w:rPr>
                      <w:rFonts w:hint="eastAsia"/>
                      <w:szCs w:val="21"/>
                    </w:rPr>
                    <w:t>药房、病房等</w:t>
                  </w:r>
                </w:p>
              </w:tc>
              <w:tc>
                <w:tcPr>
                  <w:tcW w:w="934" w:type="pct"/>
                  <w:noWrap w:val="0"/>
                  <w:vAlign w:val="center"/>
                </w:tcPr>
                <w:p>
                  <w:pPr>
                    <w:jc w:val="center"/>
                    <w:rPr>
                      <w:szCs w:val="21"/>
                    </w:rPr>
                  </w:pPr>
                  <w:r>
                    <w:rPr>
                      <w:rFonts w:hint="eastAsia"/>
                      <w:szCs w:val="21"/>
                    </w:rPr>
                    <w:t>0.1</w:t>
                  </w:r>
                </w:p>
              </w:tc>
              <w:tc>
                <w:tcPr>
                  <w:tcW w:w="1403" w:type="pct"/>
                  <w:noWrap w:val="0"/>
                  <w:vAlign w:val="center"/>
                </w:tcPr>
                <w:p>
                  <w:pPr>
                    <w:jc w:val="center"/>
                    <w:rPr>
                      <w:szCs w:val="21"/>
                    </w:rPr>
                  </w:pPr>
                  <w:r>
                    <w:rPr>
                      <w:rFonts w:hint="eastAsia"/>
                      <w:szCs w:val="21"/>
                    </w:rPr>
                    <w:t>渗漏进入地下水、土壤环境；引起火灾等</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9" w:type="pct"/>
                  <w:noWrap w:val="0"/>
                  <w:vAlign w:val="center"/>
                </w:tcPr>
                <w:p>
                  <w:pPr>
                    <w:jc w:val="center"/>
                    <w:rPr>
                      <w:rFonts w:hint="eastAsia"/>
                      <w:szCs w:val="21"/>
                    </w:rPr>
                  </w:pPr>
                  <w:r>
                    <w:rPr>
                      <w:rFonts w:hint="eastAsia"/>
                      <w:szCs w:val="21"/>
                    </w:rPr>
                    <w:t>二氧化氯</w:t>
                  </w:r>
                </w:p>
              </w:tc>
              <w:tc>
                <w:tcPr>
                  <w:tcW w:w="749" w:type="pct"/>
                  <w:noWrap w:val="0"/>
                  <w:vAlign w:val="center"/>
                </w:tcPr>
                <w:p>
                  <w:pPr>
                    <w:jc w:val="center"/>
                    <w:rPr>
                      <w:szCs w:val="21"/>
                    </w:rPr>
                  </w:pPr>
                  <w:r>
                    <w:rPr>
                      <w:rFonts w:hint="eastAsia"/>
                      <w:szCs w:val="21"/>
                    </w:rPr>
                    <w:t>10049-04-4</w:t>
                  </w:r>
                </w:p>
              </w:tc>
              <w:tc>
                <w:tcPr>
                  <w:tcW w:w="1183" w:type="pct"/>
                  <w:noWrap w:val="0"/>
                  <w:vAlign w:val="center"/>
                </w:tcPr>
                <w:p>
                  <w:pPr>
                    <w:jc w:val="center"/>
                    <w:rPr>
                      <w:rFonts w:hint="eastAsia"/>
                      <w:szCs w:val="21"/>
                    </w:rPr>
                  </w:pPr>
                  <w:r>
                    <w:rPr>
                      <w:rFonts w:hint="eastAsia"/>
                      <w:szCs w:val="21"/>
                    </w:rPr>
                    <w:t>污水处理站</w:t>
                  </w:r>
                </w:p>
              </w:tc>
              <w:tc>
                <w:tcPr>
                  <w:tcW w:w="934" w:type="pct"/>
                  <w:noWrap w:val="0"/>
                  <w:vAlign w:val="center"/>
                </w:tcPr>
                <w:p>
                  <w:pPr>
                    <w:jc w:val="center"/>
                    <w:rPr>
                      <w:szCs w:val="21"/>
                    </w:rPr>
                  </w:pPr>
                  <w:r>
                    <w:rPr>
                      <w:rFonts w:hint="eastAsia"/>
                      <w:szCs w:val="21"/>
                    </w:rPr>
                    <w:t>0.1</w:t>
                  </w:r>
                </w:p>
              </w:tc>
              <w:tc>
                <w:tcPr>
                  <w:tcW w:w="1403" w:type="pct"/>
                  <w:noWrap w:val="0"/>
                  <w:vAlign w:val="center"/>
                </w:tcPr>
                <w:p>
                  <w:pPr>
                    <w:jc w:val="center"/>
                    <w:rPr>
                      <w:rFonts w:hint="eastAsia"/>
                      <w:szCs w:val="21"/>
                    </w:rPr>
                  </w:pPr>
                  <w:r>
                    <w:rPr>
                      <w:rFonts w:hint="eastAsia"/>
                      <w:szCs w:val="21"/>
                    </w:rPr>
                    <w:t>渗漏进入地下水、土壤环境，引起火灾、爆炸等</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9" w:type="pct"/>
                  <w:noWrap w:val="0"/>
                  <w:vAlign w:val="center"/>
                </w:tcPr>
                <w:p>
                  <w:pPr>
                    <w:jc w:val="center"/>
                    <w:rPr>
                      <w:rFonts w:hint="eastAsia"/>
                      <w:szCs w:val="21"/>
                    </w:rPr>
                  </w:pPr>
                  <w:r>
                    <w:rPr>
                      <w:rFonts w:hint="eastAsia"/>
                      <w:szCs w:val="21"/>
                    </w:rPr>
                    <w:t>汽油</w:t>
                  </w:r>
                </w:p>
              </w:tc>
              <w:tc>
                <w:tcPr>
                  <w:tcW w:w="749" w:type="pct"/>
                  <w:noWrap w:val="0"/>
                  <w:vAlign w:val="center"/>
                </w:tcPr>
                <w:p>
                  <w:pPr>
                    <w:jc w:val="center"/>
                    <w:rPr>
                      <w:rFonts w:hint="eastAsia"/>
                      <w:szCs w:val="21"/>
                    </w:rPr>
                  </w:pPr>
                  <w:r>
                    <w:rPr>
                      <w:rFonts w:hint="eastAsia"/>
                      <w:szCs w:val="21"/>
                      <w:lang w:val="en-US" w:eastAsia="zh-CN"/>
                    </w:rPr>
                    <w:t>86290-81-5</w:t>
                  </w:r>
                </w:p>
              </w:tc>
              <w:tc>
                <w:tcPr>
                  <w:tcW w:w="1183" w:type="pct"/>
                  <w:noWrap w:val="0"/>
                  <w:vAlign w:val="center"/>
                </w:tcPr>
                <w:p>
                  <w:pPr>
                    <w:jc w:val="center"/>
                    <w:rPr>
                      <w:szCs w:val="21"/>
                    </w:rPr>
                  </w:pPr>
                  <w:r>
                    <w:rPr>
                      <w:rFonts w:hint="eastAsia"/>
                      <w:szCs w:val="21"/>
                    </w:rPr>
                    <w:t>备用发电机房</w:t>
                  </w:r>
                </w:p>
              </w:tc>
              <w:tc>
                <w:tcPr>
                  <w:tcW w:w="934" w:type="pct"/>
                  <w:noWrap w:val="0"/>
                  <w:vAlign w:val="center"/>
                </w:tcPr>
                <w:p>
                  <w:pPr>
                    <w:jc w:val="center"/>
                    <w:rPr>
                      <w:rFonts w:hint="eastAsia" w:eastAsia="宋体"/>
                      <w:szCs w:val="21"/>
                      <w:lang w:eastAsia="zh-CN"/>
                    </w:rPr>
                  </w:pPr>
                  <w:r>
                    <w:rPr>
                      <w:rFonts w:hint="eastAsia"/>
                      <w:szCs w:val="21"/>
                    </w:rPr>
                    <w:t>0.</w:t>
                  </w:r>
                  <w:r>
                    <w:rPr>
                      <w:rFonts w:hint="eastAsia"/>
                      <w:szCs w:val="21"/>
                      <w:lang w:val="en-US" w:eastAsia="zh-CN"/>
                    </w:rPr>
                    <w:t>2</w:t>
                  </w:r>
                </w:p>
              </w:tc>
              <w:tc>
                <w:tcPr>
                  <w:tcW w:w="1403" w:type="pct"/>
                  <w:noWrap w:val="0"/>
                  <w:vAlign w:val="center"/>
                </w:tcPr>
                <w:p>
                  <w:pPr>
                    <w:jc w:val="center"/>
                    <w:rPr>
                      <w:rFonts w:hint="eastAsia"/>
                      <w:szCs w:val="21"/>
                    </w:rPr>
                  </w:pPr>
                  <w:r>
                    <w:rPr>
                      <w:rFonts w:hint="eastAsia"/>
                      <w:szCs w:val="21"/>
                    </w:rPr>
                    <w:t>渗漏进入地下水、土壤环境；引起火灾、爆炸等</w:t>
                  </w:r>
                </w:p>
              </w:tc>
            </w:tr>
          </w:tbl>
          <w:p>
            <w:pPr>
              <w:adjustRightInd w:val="0"/>
              <w:snapToGrid w:val="0"/>
              <w:spacing w:line="360" w:lineRule="auto"/>
              <w:ind w:firstLine="482" w:firstLineChars="200"/>
              <w:outlineLvl w:val="0"/>
              <w:rPr>
                <w:b/>
                <w:sz w:val="24"/>
              </w:rPr>
            </w:pPr>
            <w:r>
              <w:rPr>
                <w:rFonts w:hint="eastAsia"/>
                <w:b/>
                <w:sz w:val="24"/>
              </w:rPr>
              <w:t>2、环境风险识别</w:t>
            </w:r>
          </w:p>
          <w:p>
            <w:pPr>
              <w:spacing w:line="360" w:lineRule="auto"/>
              <w:ind w:firstLine="480" w:firstLineChars="200"/>
              <w:rPr>
                <w:rFonts w:hint="eastAsia" w:ascii="Times New Roman" w:hAnsi="Times New Roman" w:eastAsia="宋体" w:cs="Times New Roman"/>
                <w:kern w:val="0"/>
                <w:sz w:val="24"/>
                <w:szCs w:val="20"/>
                <w:lang w:val="en-US" w:eastAsia="zh-CN" w:bidi="ar-SA"/>
              </w:rPr>
            </w:pPr>
            <w:r>
              <w:rPr>
                <w:rFonts w:hint="eastAsia"/>
                <w:sz w:val="24"/>
              </w:rPr>
              <w:t>本项目营运期间，日常的医疗过程存在污水处理站设备故障引发的医疗机构污水未经处理而外排的风险；医疗废物的清运； 医疗废物及化学药品储存或管</w:t>
            </w:r>
            <w:r>
              <w:rPr>
                <w:rFonts w:hint="eastAsia" w:ascii="Times New Roman" w:hAnsi="Times New Roman" w:eastAsia="宋体" w:cs="Times New Roman"/>
                <w:kern w:val="0"/>
                <w:sz w:val="24"/>
                <w:szCs w:val="20"/>
                <w:lang w:val="en-US" w:eastAsia="zh-CN" w:bidi="ar-SA"/>
              </w:rPr>
              <w:t>理不当引发的环境风险；发电机汽油泄漏的风险。为避免和控制事故的发生，减轻风险事故对周围环境的影响，需对本项目运行过程中可能发生的对环境造成影响的事故风险进行分析和评价。</w:t>
            </w:r>
          </w:p>
          <w:p>
            <w:pPr>
              <w:spacing w:line="360" w:lineRule="auto"/>
              <w:ind w:firstLine="480" w:firstLineChars="20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（1）化学药品</w:t>
            </w:r>
          </w:p>
          <w:p>
            <w:pPr>
              <w:spacing w:line="360" w:lineRule="auto"/>
              <w:ind w:firstLine="480" w:firstLineChars="20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医院化学药品品种较多，除消毒用的乙醇，污水处理站消毒使用的二氧化氯外，医院使用的精神药品、麻醉药品中均含为化学药品，主要化学药品危险特性见表2-6。</w:t>
            </w:r>
          </w:p>
          <w:p>
            <w:pPr>
              <w:spacing w:line="360" w:lineRule="auto"/>
              <w:ind w:firstLine="480" w:firstLineChars="20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医院化学药品储存比较分散，药房、检验室、住院等各科室均有不同种类的化学药品存在，种类繁多，但用量很少。本项目使用消毒剂种类主要有75%酒精、95%酒精、碘伏消毒液等。此外，项目污水处理站采用二氧化氯进行消毒处理，具有强氧化性，能与许多化学物质发生爆炸性反应受热、震动、撞击、摩擦，相当敏感，极易分解发生爆炸。</w:t>
            </w:r>
          </w:p>
          <w:p>
            <w:pPr>
              <w:spacing w:line="360" w:lineRule="auto"/>
              <w:ind w:firstLine="480" w:firstLineChars="20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本项目药品、化学药品等运输方式为汽车陆运，运输过程中因交通事故，可能造成化学药品泄漏、逸出等，造成局部污染；贮存中可能因装置破裂、操作不当等造成人员中毒和环境污染；使用过程中可能因操作失误造成化学药品泄漏。</w:t>
            </w:r>
          </w:p>
          <w:p>
            <w:pPr>
              <w:spacing w:line="360" w:lineRule="auto"/>
              <w:ind w:firstLine="480" w:firstLineChars="20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（2）医疗废物</w:t>
            </w:r>
          </w:p>
          <w:p>
            <w:pPr>
              <w:spacing w:line="360" w:lineRule="auto"/>
              <w:ind w:firstLine="480" w:firstLineChars="20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项目产生的医疗废物，由于特殊原因不能及时清运，或在转运过程中存在着污染环境的风险。</w:t>
            </w:r>
          </w:p>
          <w:p>
            <w:pPr>
              <w:spacing w:line="360" w:lineRule="auto"/>
              <w:ind w:firstLine="480" w:firstLineChars="20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（3）污水处理站事故排放风险</w:t>
            </w:r>
          </w:p>
          <w:p>
            <w:pPr>
              <w:spacing w:line="360" w:lineRule="auto"/>
              <w:ind w:firstLine="480" w:firstLineChars="20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当污水处理站出现事故停运时，废水处理达不到《医疗机构水污染物排放标准》（GB18466-2005）预处理标准，对下游污水处理厂造成冲击；或污水提升泵出现故障时，预处理后的污水不能及时泵入排污管道，造成地表漫流进周边水体污染环境。</w:t>
            </w:r>
          </w:p>
          <w:p>
            <w:pPr>
              <w:spacing w:line="360" w:lineRule="auto"/>
              <w:ind w:firstLine="480" w:firstLineChars="20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（4）汽油</w:t>
            </w:r>
          </w:p>
          <w:p>
            <w:pPr>
              <w:spacing w:line="360" w:lineRule="auto"/>
              <w:ind w:firstLine="480" w:firstLineChars="20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本设有备用发电机，燃料为汽油，桶装储存。汽油在运输、储存和使用过程中，如遇到管阀失效、操作不当等，会引发泄漏，并可能引发火灾。汽油发生泄漏可能对地表水体和地下水体造成污染。火灾会造成烟尘污染，还可能造成人员伤亡。</w:t>
            </w:r>
          </w:p>
          <w:p>
            <w:pPr>
              <w:pStyle w:val="72"/>
              <w:ind w:firstLine="482"/>
              <w:rPr>
                <w:rFonts w:hint="eastAsia" w:ascii="Times New Roman" w:hAnsi="Times New Roman" w:eastAsia="宋体" w:cs="Times New Roman"/>
                <w:b/>
                <w:bCs/>
                <w:kern w:val="0"/>
                <w:sz w:val="24"/>
                <w:szCs w:val="20"/>
                <w:lang w:val="en-US" w:eastAsia="zh-CN" w:bidi="ar-SA"/>
              </w:rPr>
            </w:pPr>
            <w:r>
              <w:rPr>
                <w:rFonts w:hint="eastAsia" w:ascii="Times New Roman" w:hAnsi="Times New Roman" w:eastAsia="宋体" w:cs="Times New Roman"/>
                <w:b/>
                <w:bCs/>
                <w:kern w:val="0"/>
                <w:sz w:val="24"/>
                <w:szCs w:val="20"/>
                <w:lang w:val="en-US" w:eastAsia="zh-CN" w:bidi="ar-SA"/>
              </w:rPr>
              <w:t>3、目前采取的环境风险防范措施</w:t>
            </w:r>
          </w:p>
          <w:p>
            <w:pPr>
              <w:pStyle w:val="72"/>
              <w:ind w:firstLine="482"/>
              <w:rPr>
                <w:rFonts w:hint="eastAsia" w:ascii="Times New Roman" w:hAnsi="Times New Roman" w:eastAsia="宋体" w:cs="Times New Roman"/>
                <w:b/>
                <w:bCs/>
                <w:kern w:val="0"/>
                <w:sz w:val="24"/>
                <w:szCs w:val="20"/>
                <w:lang w:val="en-US" w:eastAsia="zh-CN" w:bidi="ar-SA"/>
              </w:rPr>
            </w:pPr>
            <w:r>
              <w:rPr>
                <w:rFonts w:hint="eastAsia" w:ascii="Times New Roman" w:hAnsi="Times New Roman" w:eastAsia="宋体" w:cs="Times New Roman"/>
                <w:b/>
                <w:bCs/>
                <w:kern w:val="0"/>
                <w:sz w:val="24"/>
                <w:szCs w:val="20"/>
                <w:lang w:val="en-US" w:eastAsia="zh-CN" w:bidi="ar-SA"/>
              </w:rPr>
              <w:t>（1）化学药品</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化学药品必须储存在专用储存室内，其储存方式、方法与储存数量必须符合国家有关规定，并由专人管理，出入库必须进行核查登记，并定期检查库存。而对于精神药品和麻醉药品，则根据《精神药品管理办法》和《麻醉药品管理办法》中要求购买、储存、使用，其检查监督由卫生部门管理。</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此外，要求一般药品和毒、麻药品分开储存，专人负责药品收发、验库、使用登记、报废等工作，医院建立药品和药剂的管理办法，只要严格按照管理办法执行，其项目涉及的化学药品不会对周围环境和人群健康造成损害。</w:t>
            </w:r>
          </w:p>
          <w:p>
            <w:pPr>
              <w:pStyle w:val="72"/>
              <w:ind w:firstLine="482"/>
              <w:rPr>
                <w:rFonts w:hint="eastAsia" w:ascii="Times New Roman" w:hAnsi="Times New Roman" w:eastAsia="宋体" w:cs="Times New Roman"/>
                <w:b/>
                <w:bCs/>
                <w:kern w:val="0"/>
                <w:sz w:val="24"/>
                <w:szCs w:val="20"/>
                <w:lang w:val="en-US" w:eastAsia="zh-CN" w:bidi="ar-SA"/>
              </w:rPr>
            </w:pPr>
            <w:r>
              <w:rPr>
                <w:rFonts w:hint="eastAsia" w:ascii="Times New Roman" w:hAnsi="Times New Roman" w:eastAsia="宋体" w:cs="Times New Roman"/>
                <w:b/>
                <w:bCs/>
                <w:kern w:val="0"/>
                <w:sz w:val="24"/>
                <w:szCs w:val="20"/>
                <w:lang w:val="en-US" w:eastAsia="zh-CN" w:bidi="ar-SA"/>
              </w:rPr>
              <w:t>（2）医疗废物</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本项目医疗废物暂存间必须按照《医疗废物管理条例》和《危险废物贮存污染控制标准》(GB 18597-2001)的相关要求做好医疗废物暂存间的防渗、防雨、防流失措施。本项</w:t>
            </w:r>
            <w:r>
              <w:rPr>
                <w:rFonts w:hint="eastAsia" w:cs="Times New Roman"/>
                <w:kern w:val="0"/>
                <w:sz w:val="24"/>
                <w:szCs w:val="20"/>
                <w:lang w:val="en-US" w:eastAsia="zh-CN" w:bidi="ar-SA"/>
              </w:rPr>
              <w:t>目</w:t>
            </w:r>
            <w:r>
              <w:rPr>
                <w:rFonts w:hint="eastAsia" w:ascii="Times New Roman" w:hAnsi="Times New Roman" w:eastAsia="宋体" w:cs="Times New Roman"/>
                <w:kern w:val="0"/>
                <w:sz w:val="24"/>
                <w:szCs w:val="20"/>
                <w:lang w:val="en-US" w:eastAsia="zh-CN" w:bidi="ar-SA"/>
              </w:rPr>
              <w:t>建成后的医疗废物暂存间树立明确的标示牌，定期对暂存间用消毒剂冲洗和喷洒。</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具体防范措施如下:</w:t>
            </w:r>
          </w:p>
          <w:p>
            <w:pPr>
              <w:pStyle w:val="72"/>
              <w:numPr>
                <w:ilvl w:val="0"/>
                <w:numId w:val="10"/>
              </w:numPr>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分类收集、运送与暂时贮存</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A.项目应当根据《医疗废物分类目录要求》，对废物实施分类管理，并采取以下具体措施：</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①根据医疗废物的类别，将医疗废物分置于符合《医疗废物专用包装物、容器的标准和警示标识的规定》的包装物或者容器内；</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②在盛装医疗废物前，应当对医疗废物包装物或者容器进行认真检查，确保损、渗漏和其它缺陷；</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③感染性废物、病理性废物、损伤性废物、药物性废物及化学性废物不能混合收集。少量的药物性废物可以混入感染性废物，但应当在标签上注明；</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④废弃的麻醉、精神、毒性等药品及其相关的废物的管理，依照有关法律、行政法规和国家有关规定、标准执行；</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⑤医疗废物申病原体的培养基、标本和菌种、毒种保存液等高危险废物，应当首先在产生地点进行压力蒸汽灭菌或者化学消毒处理，然后按感染性废物收集处理；</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⑥放入包装物或者容器内的感染性废物、病理性废物、损伤性废物不得取出。</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B.项目内医疗废物产生地点应当有医疗废物分类收集方法的示意图或者文字说明。</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C.盛装的医疗废物达到包装物或者容器容量的3/4时，应当使用有效的封口方式，确保封口紧实、严密，满足转运要求。</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D.包装物或者容器的外表面被感染性废物污染时，应当对被污染处进行消毒处埋或者增加一层包装。</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E.盛装医疗废物的每个包装物、容器外表面应当有警示标识，在每个包装物、容 器上应当系中文标签，中文标签的内容应当包括：医疗废物产生单位、产生日期、类别及需要的特别说明等。</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F.运送人员每天从医疗废物产生地点将分类包装的医疗废物按照规定的时间和路线运送至内部指定的暂时贮存地点。</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G.运送人员在运送医疗废物前，应当检查包装物或者容器的标识、标签及封口是 否符合要求，不得将不符合要求的医疗废物运送至暂时贮存地点。应当谨慎操作防止 造成包装物或容器破损和医疗废物的流失、泄漏和扩散，并防止医疗废物直接接触人体。</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H.运送医疗废物应当使用防渗漏、防遗撒、无锐利边角、易于装卸和清洁的专用运送工具。每天运送工作结束后，应当对运送工具及时进行清洁和消毒。</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I.项目应当建立医疗废物暂时贮存设施、设备，不得露天存放医疗废物；医疗废物暂时贮存的时间不得超过1个月。</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J.项目建立的医疗废物暂时贮存设施、设备应当达到以下要求：</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①远离医疗区、食品加工区、人员活动区和生活垃圾存放场所，方便医疗废物运送人员及运送工具、车辆的出入；</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②有严密的封闭措施，设专(兼)职人员管埋，防止非工作人员接触医疗废物；有防鼠、防蚊蝇、防蟑螂的安全措施；</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③防止渗漏和雨水冲刷；</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④易于清洁和消毒；</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⑤亡避免阳光直射；</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⑥设有明显的医疗废物警示标识和"禁止吸烟、饮食"的警示标识。</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K.暂时贮存病埋性废物，应当具备低温贮存或者防腐条件。</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L.项目依照危险废物转移联单制度填写和保存转移联单。</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M.项目应当对医疗废物进行登记，登记内容应当包括废物的来源、种类、重量或者数量、交接时间、最终去向以及经办人签名等项目，登记资料至少保存3年。</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N.医疗废物转交出去后，应当对暂时贮存地点、设施及时进行清洁和消毒处理。</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O.禁止私自转让、买卖医疗废物。禁止在非收集、非暂时贮存地点倾倒、堆放医疗废物，禁止将医疗废物混入其它废物和生活垃圾。</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P.医疗卫生机构发生医疗废物流失、泄漏、扩散和意外事故时，应当及时来取紧 急处理措施：确定流失、泄漏、扩散的医疗废物的类别、数量、发生时间、影响范围 及严重程度；组织有关人员尽快按照应急方案，对发生医疗废物泄漏、扩散的现场进 行处理；对被医疗废物污染的区域进行处理时，应当尽可能减少对病人、医务人员、 其它现场人员及环境的影响；采取适当的安全处置措施，对泄漏物及受污染的区域、 物品进行消毒或者其他无害化处置，必要时封锁污染区域，以防扩大污染；对感染性 废物污染区域进行消毒时，消毒工作从污染最轻区域向污染最严重区域进行，对可能 被污染的所有使用过的工具也应当进行消毒；工作人员应当做好卫生安全防护后进行 工作。处理工作结束后，应当对事件的起因进行调查，并采取有效的防范措施预防类似事件的发生。</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2）人员培训和职业安全防护</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项目应当对本机构工作人员进行培训，提高全体工作人员对医疗废物管埋工作的认识。对从事医疗废物分类收集、运送、暂时贮存、处置等工作的人员和管理人员，</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进行相关法律和专业技术、安全防护以及紧急处理等知识的培训。医疗废物与生活垃圾分开贮存，并设专用通道输送医疗废物；医院由专人负责医疗废物的管理工作。医疗废物按类别分置于防渗漏、防锐器穿透的专用包装物或者密闭的容器内，医疗废物专用包装物、容器均有明显的警示标志和警示说明。</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医疗废物相关工作人员和管理人员应当达到以下要求：掌握国家相关法律、法则、规章和有关规范性文件的规定，熟悉本机构制定的医疗废物管埋的规章制度、工作流程和各项工作要求；掌握医疗废物分类收集、运送、暂时贮存的正确方法和操作程序；掌握医疗废物分类中的安全知识、专业技术、职业卫生安全防护等知识；掌握在医疗废物分类收集、运送、暂时贮存及处置过程中预防被医疗废物刺伤、擦伤等伤害的措施及发生后的处理措施；掌握发生医疗废物流失、泄漏、扩散和意外事故情况时的紧急处埋措施。</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项目应当根据接触医疗废物种类及风险大小的不同，采取适宜、有效的职业卫生防护措施，为机构内从事医疗废物分类收集、运送、暂时贮存和处置等工作的人员和管理人员配备必要的防护用品，定期进行健康检查，必要时，对有关人员进行免疫接种，防止其受到健康损害。</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项目工作人员在工作中发生被医疗废物刺伤、擦伤等伤害时，应当采取相应的处理措施，并及时报告机构内的相关部门。</w:t>
            </w:r>
          </w:p>
          <w:p>
            <w:pPr>
              <w:pStyle w:val="72"/>
              <w:ind w:firstLine="482"/>
              <w:rPr>
                <w:rFonts w:hint="eastAsia" w:ascii="Times New Roman" w:hAnsi="Times New Roman" w:eastAsia="宋体" w:cs="Times New Roman"/>
                <w:b/>
                <w:bCs/>
                <w:kern w:val="0"/>
                <w:sz w:val="24"/>
                <w:szCs w:val="20"/>
                <w:lang w:val="en-US" w:eastAsia="zh-CN" w:bidi="ar-SA"/>
              </w:rPr>
            </w:pPr>
            <w:r>
              <w:rPr>
                <w:rFonts w:hint="eastAsia" w:ascii="Times New Roman" w:hAnsi="Times New Roman" w:eastAsia="宋体" w:cs="Times New Roman"/>
                <w:b/>
                <w:bCs/>
                <w:kern w:val="0"/>
                <w:sz w:val="24"/>
                <w:szCs w:val="20"/>
                <w:lang w:val="en-US" w:eastAsia="zh-CN" w:bidi="ar-SA"/>
              </w:rPr>
              <w:t>（3）污水处理站系统控制措施</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污水处理站是医院对污水处理的最后屏障，为了确保其正常、不出现停止运行情况，防止环境风险的发生，需对污水处理提供双路电源和应急电源，保证污水处理站用电不间断，重要的设备需有备用，并备有应急用的消毒剂，在万一设备停运情况下，直接人工投加消毒剂。污水处理站的稳定运行与管网及污水泵的维护关系密切。加强管网及污水泵的维护及管理，防止泥沙沉积堵塞而影响管道的过水能力。做好管道衔接处的防渗工作，保证管道通畅，发生事故及时进行维修。</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污水处理站的事故来源于设备故障、检修或由于工艺参数改变而使处理效果变差，其防治措施为：</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①污水泵与污水处理站采用双路供电，水泵设计考虑备用，机械设备采用性能可靠优质产品。</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② 选用优质设备，对污水处理站各种机械电器、仪表等设备，必须选择质量优良、事故率低、便于维修的产品。关键设备应一备一用，易损部件要有备用件，在出现事故时能及时更换。</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③加强事故苗头监控，定期巡检、调节、保养、维修、及时发现有可能引起事故的异常运行苗头，消除事故隐惠。</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④严格控制处理单元的水量、水质、停留时间、负荷强度等工艺参数，确保处理效果的稳定性。操作人员及时调整，使设备处于最佳工况。如发现不正常现象，就需立即采取预防措施。</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⑤建立安全操作规程，在平时严格按规程办事，定期对污水处理站人员的理论知识和操作技能进行培训和检查。</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⑥加强运行管理和进出水的监测工作，未经处理达标的污水严禁外排。</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⑦建立安全责任制度，在日常的工作管理方面建立一套完整的制度，落实到人、明确职责、定期检查。制订风险事故的应急措施，明确事故发生时的应急、抢险操作制度。</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⑧污水处理站、化粪池要求池壁和池底部采用防渗等级不低于10</w:t>
            </w:r>
            <w:r>
              <w:rPr>
                <w:rFonts w:hint="eastAsia" w:ascii="Times New Roman" w:hAnsi="Times New Roman" w:eastAsia="宋体" w:cs="Times New Roman"/>
                <w:kern w:val="0"/>
                <w:sz w:val="24"/>
                <w:szCs w:val="20"/>
                <w:vertAlign w:val="superscript"/>
                <w:lang w:val="en-US" w:eastAsia="zh-CN" w:bidi="ar-SA"/>
              </w:rPr>
              <w:t>-7</w:t>
            </w:r>
            <w:r>
              <w:rPr>
                <w:rFonts w:hint="eastAsia" w:ascii="Times New Roman" w:hAnsi="Times New Roman" w:eastAsia="宋体" w:cs="Times New Roman"/>
                <w:kern w:val="0"/>
                <w:sz w:val="24"/>
                <w:szCs w:val="20"/>
                <w:lang w:val="en-US" w:eastAsia="zh-CN" w:bidi="ar-SA"/>
              </w:rPr>
              <w:t>cm/s的防渗材料。</w:t>
            </w:r>
          </w:p>
          <w:p>
            <w:pPr>
              <w:pStyle w:val="72"/>
              <w:ind w:firstLine="480"/>
              <w:rPr>
                <w:rFonts w:hint="eastAsia" w:ascii="Times New Roman" w:hAnsi="Times New Roman" w:eastAsia="宋体" w:cs="Times New Roman"/>
                <w:b w:val="0"/>
                <w:bCs w:val="0"/>
                <w:kern w:val="0"/>
                <w:sz w:val="24"/>
                <w:szCs w:val="20"/>
                <w:lang w:val="en-US" w:eastAsia="zh-CN" w:bidi="ar-SA"/>
              </w:rPr>
            </w:pPr>
            <w:r>
              <w:rPr>
                <w:rFonts w:hint="eastAsia" w:ascii="Times New Roman" w:hAnsi="Times New Roman" w:eastAsia="宋体" w:cs="Times New Roman"/>
                <w:b w:val="0"/>
                <w:bCs w:val="0"/>
                <w:kern w:val="0"/>
                <w:sz w:val="24"/>
                <w:szCs w:val="20"/>
                <w:lang w:val="en-US" w:eastAsia="zh-CN" w:bidi="ar-SA"/>
              </w:rPr>
              <w:t>本项目污水处理站一旦发生事故污水外溢导致地下水、土壤、地表水污染或处理不达标排放，应做好污水处理站事故应急处置措施：</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①</w:t>
            </w:r>
            <w:r>
              <w:rPr>
                <w:rFonts w:hint="eastAsia" w:cs="Times New Roman"/>
                <w:kern w:val="0"/>
                <w:sz w:val="24"/>
                <w:szCs w:val="20"/>
                <w:lang w:val="en-US" w:eastAsia="zh-CN" w:bidi="ar-SA"/>
              </w:rPr>
              <w:t>利用已建</w:t>
            </w:r>
            <w:r>
              <w:rPr>
                <w:rFonts w:hint="eastAsia" w:ascii="Times New Roman" w:hAnsi="Times New Roman" w:eastAsia="宋体" w:cs="Times New Roman"/>
                <w:kern w:val="0"/>
                <w:sz w:val="24"/>
                <w:szCs w:val="20"/>
                <w:lang w:val="en-US" w:eastAsia="zh-CN" w:bidi="ar-SA"/>
              </w:rPr>
              <w:t>30m³事故应急池，位于污水处理站一侧，通过管道联通；</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②一旦污水处理站发生事故，将处理站废水暂存于应急池内，立即联系维修人员，对污水处理站设施进行抢修；</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③制定相应应急制度、措施，能够及时处理、解决污水处理站应急事故。</w:t>
            </w:r>
          </w:p>
          <w:p>
            <w:pPr>
              <w:pStyle w:val="72"/>
              <w:ind w:firstLine="482"/>
              <w:rPr>
                <w:rFonts w:hint="eastAsia" w:ascii="Times New Roman" w:hAnsi="Times New Roman" w:eastAsia="宋体" w:cs="Times New Roman"/>
                <w:b/>
                <w:bCs/>
                <w:kern w:val="0"/>
                <w:sz w:val="24"/>
                <w:szCs w:val="20"/>
                <w:lang w:val="en-US" w:eastAsia="zh-CN" w:bidi="ar-SA"/>
              </w:rPr>
            </w:pPr>
            <w:r>
              <w:rPr>
                <w:rFonts w:hint="eastAsia" w:ascii="Times New Roman" w:hAnsi="Times New Roman" w:eastAsia="宋体" w:cs="Times New Roman"/>
                <w:b/>
                <w:bCs/>
                <w:kern w:val="0"/>
                <w:sz w:val="24"/>
                <w:szCs w:val="20"/>
                <w:lang w:val="en-US" w:eastAsia="zh-CN" w:bidi="ar-SA"/>
              </w:rPr>
              <w:t>（4）二氧化氯泄漏应急处理及防护措施</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疏散泄漏污染区人员至上风处，并隔离直至气体散尽。应急处理人员戴正压自给式呼吸器，穿化学防护服。切断火源。漏气容器不能再用，且要经过技术处理以清除可能剩下的气体。</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呼吸系统防护：空气中浓度较高时，应该佩戴防毒面具。紧急事态抢救或撤离时，建议佩戴正压自给式呼吸器。</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眼睛防护：戴化学安全防护眼镜。</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身体防护：穿防腐工作服；可能接触毒物时，戴防化学品手套。</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其它：工作现场禁止吸烟。工作后，淋浴更衣。保持良好的卫生习惯。</w:t>
            </w:r>
          </w:p>
          <w:p>
            <w:pPr>
              <w:pStyle w:val="72"/>
              <w:ind w:firstLine="482"/>
              <w:rPr>
                <w:rFonts w:hint="eastAsia" w:ascii="Times New Roman" w:hAnsi="Times New Roman" w:eastAsia="宋体" w:cs="Times New Roman"/>
                <w:b/>
                <w:bCs/>
                <w:kern w:val="0"/>
                <w:sz w:val="24"/>
                <w:szCs w:val="20"/>
                <w:lang w:val="en-US" w:eastAsia="zh-CN" w:bidi="ar-SA"/>
              </w:rPr>
            </w:pPr>
            <w:r>
              <w:rPr>
                <w:rFonts w:hint="eastAsia" w:ascii="Times New Roman" w:hAnsi="Times New Roman" w:eastAsia="宋体" w:cs="Times New Roman"/>
                <w:b/>
                <w:bCs/>
                <w:kern w:val="0"/>
                <w:sz w:val="24"/>
                <w:szCs w:val="20"/>
                <w:lang w:val="en-US" w:eastAsia="zh-CN" w:bidi="ar-SA"/>
              </w:rPr>
              <w:t>（5）备用发电机</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本工程备用发电机燃料为汽油，桶装储存，要求地面采取重点防渗措施，并做好日常管理工作:</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①定期检查阀门和管道，防止冷凝器爆裂或阀门泄漏。</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②建立污染事故应急处理组织，负责污染事故的指挥和处理。</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 xml:space="preserve">③经常对阀门、管道进行维护，发现问题立即检修，禁止跑、冒、滴、漏。  </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④发生泄漏后，建设单位要积极主动采取果断措施，如停止供油、关闭相应的阀门，严格控制电、火源，及时报警，特别要配合消防部门，作好协助工作。</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⑤制定岗位责任制，杜绝污染事故的发生。</w:t>
            </w:r>
          </w:p>
          <w:p>
            <w:pPr>
              <w:pStyle w:val="72"/>
              <w:ind w:firstLine="482"/>
              <w:rPr>
                <w:rFonts w:hint="eastAsia" w:ascii="Times New Roman" w:hAnsi="Times New Roman" w:eastAsia="宋体" w:cs="Times New Roman"/>
                <w:b/>
                <w:bCs/>
                <w:kern w:val="0"/>
                <w:sz w:val="24"/>
                <w:szCs w:val="20"/>
                <w:lang w:val="en-US" w:eastAsia="zh-CN" w:bidi="ar-SA"/>
              </w:rPr>
            </w:pPr>
            <w:r>
              <w:rPr>
                <w:rFonts w:hint="eastAsia" w:ascii="Times New Roman" w:hAnsi="Times New Roman" w:eastAsia="宋体" w:cs="Times New Roman"/>
                <w:b/>
                <w:bCs/>
                <w:kern w:val="0"/>
                <w:sz w:val="24"/>
                <w:szCs w:val="20"/>
                <w:lang w:val="en-US" w:eastAsia="zh-CN" w:bidi="ar-SA"/>
              </w:rPr>
              <w:t>4、风险应急预案</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医院应根据危险性质以及可能发生的重大事故的特点，确定风险应急预案，以便在发生紧急事故的第一时间内，迅速确定风险来源，并及时启动应急预案。</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（1）应急组织</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1）人员组织</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①医院应针对医疗废物（包括废水、固体废物）管理成立专门的管理组，进行详细的人员分工，职责分明；</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②对新上岗的工作人员、实习人员进行岗前安全、环保知识培训，重点部门人员定期进行轮训；</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③在对所有参与医疗废物管理、处置人员进行专业知识培训后，还要对其进行责任分配，确保医院所产生的医疗废物在任何一个环节都能责任到人，确保不出现以外；</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2）物料器材配备</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 xml:space="preserve">①贮存一定量的消毒药剂和可移动臭氧空气消毒器，以备应急时使用； </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②配备个人防护用品，以备应急时使用。</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3）职责</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①制订污水处理站、医疗废物收集、储存和实验室环境污染等事故应急预案；</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②制订化学品贮存应急预案；</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③建立医院应急管理、报警体系；</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④负责人员、资源配置、应急队伍的调动；确定现场指挥人员；协调事故现场有关工作；批准预案的启动与终止；事故状态下各级人员的职责；环境污染事故信息的上报工作；接受政府的指令和调动；组织应急预案的演练；负责保护事故现场及相关数据。</w:t>
            </w:r>
          </w:p>
          <w:p>
            <w:pPr>
              <w:pStyle w:val="72"/>
              <w:numPr>
                <w:ilvl w:val="0"/>
                <w:numId w:val="11"/>
              </w:numPr>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应急报警</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事故报警的及时与正确是能否及时实施应急救援的关键。当发生突发性事故时，事故单位或现场人员，除了积极组织自救外，必须及时将事故向有关部门报告。突发环境污染事故现场人员应作为第一责任人立即向应急值班人员或有关负责人报警，其它获知该信息人员也有责任立即报警。应急值班人员接到报警后应立即向本单位应急指挥负责人及政府环保部门报告。单位应急指挥负责人根据报警信息，启动相应的应急预案。</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（3）应急处置预案</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在接到事故报警后，应迅速组织应急救援队，救援队在做好自身防护的基础上，快速实施救援，控制事故发展，做好撤离、疏散、危险物的清除工作。等待急救队或外界的援助会使微小事故变成大灾难，因此每个人都应按应急计划接受基本培训，使其在发生事故时采取正确的行动。</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①医疗废水泄漏处置方法</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立即查明废水泄漏来源，及时封堵泄漏源。封堵泄漏源时，工作人员做好自身防护工作。泄漏废水用围堰封堵，投入消毒剂消毒处理，并由环保监测人员检测水质。</w:t>
            </w:r>
          </w:p>
          <w:p>
            <w:pPr>
              <w:pStyle w:val="72"/>
              <w:ind w:firstLine="48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②医疗废物泄漏处置方法</w:t>
            </w:r>
          </w:p>
          <w:p>
            <w:pPr>
              <w:pStyle w:val="72"/>
              <w:ind w:firstLine="480"/>
              <w:rPr>
                <w:rFonts w:hint="eastAsia"/>
              </w:rPr>
            </w:pPr>
            <w:r>
              <w:rPr>
                <w:rFonts w:hint="eastAsia" w:ascii="Times New Roman" w:hAnsi="Times New Roman" w:eastAsia="宋体" w:cs="Times New Roman"/>
                <w:kern w:val="0"/>
                <w:sz w:val="24"/>
                <w:szCs w:val="20"/>
                <w:lang w:val="en-US" w:eastAsia="zh-CN" w:bidi="ar-SA"/>
              </w:rPr>
              <w:t>医疗废物在收集、储存过程中因意外出现泄漏，应立即报告医院保卫部门，封闭现场，及时进行清理。清理干净后，需要对现场进行严格消毒，对含有毒性强的医疗废物泄漏，还应该立即疏散周围人群，设置警示</w:t>
            </w:r>
            <w:r>
              <w:rPr>
                <w:rFonts w:hint="eastAsia"/>
              </w:rPr>
              <w:t>标志及距离。</w:t>
            </w:r>
          </w:p>
          <w:p>
            <w:pPr>
              <w:pStyle w:val="72"/>
              <w:ind w:firstLine="0" w:firstLineChars="0"/>
              <w:rPr>
                <w:rFonts w:hint="eastAsia"/>
                <w:b/>
                <w:bCs/>
              </w:rPr>
            </w:pPr>
            <w:r>
              <w:rPr>
                <w:rFonts w:hint="eastAsia"/>
                <w:b/>
                <w:bCs/>
              </w:rPr>
              <w:t>七、生态环境影响分析</w:t>
            </w:r>
          </w:p>
          <w:p>
            <w:pPr>
              <w:pStyle w:val="72"/>
              <w:ind w:firstLine="480"/>
              <w:rPr>
                <w:rFonts w:hint="eastAsia"/>
              </w:rPr>
            </w:pPr>
            <w:r>
              <w:rPr>
                <w:rFonts w:hint="eastAsia"/>
              </w:rPr>
              <w:t>项目所在区域人类活动频繁，周围无特殊生态敏感点，无需特殊保护的生态环境，项目营运期不涉及生态破坏，水土流失等生态影响，对当地生态环境影响可接受。</w:t>
            </w:r>
          </w:p>
          <w:p>
            <w:pPr>
              <w:pStyle w:val="72"/>
              <w:ind w:firstLine="0" w:firstLineChars="0"/>
              <w:rPr>
                <w:rFonts w:hint="eastAsia"/>
                <w:b/>
                <w:bCs/>
              </w:rPr>
            </w:pPr>
            <w:r>
              <w:rPr>
                <w:rFonts w:hint="eastAsia"/>
                <w:b/>
                <w:bCs/>
              </w:rPr>
              <w:t>八、环境管理与监测</w:t>
            </w:r>
          </w:p>
          <w:p>
            <w:pPr>
              <w:pStyle w:val="72"/>
              <w:ind w:firstLine="482"/>
              <w:rPr>
                <w:rFonts w:hint="eastAsia"/>
                <w:b/>
                <w:bCs/>
              </w:rPr>
            </w:pPr>
            <w:r>
              <w:rPr>
                <w:rFonts w:hint="eastAsia"/>
                <w:b/>
                <w:bCs/>
              </w:rPr>
              <w:t>1、环境管理</w:t>
            </w:r>
          </w:p>
          <w:p>
            <w:pPr>
              <w:pStyle w:val="72"/>
              <w:ind w:firstLine="480"/>
              <w:rPr>
                <w:rFonts w:hint="eastAsia"/>
              </w:rPr>
            </w:pPr>
            <w:r>
              <w:rPr>
                <w:rFonts w:hint="eastAsia"/>
              </w:rPr>
              <w:t>为了更好贯彻执行国家环境保护法律、法规、政策与标准，及时掌握和了解工程污染治理措施的效果，以及工程所在区域环境质量状况，更好地监控环保设施的运行情况，协调公司与地方环保职能部门的工作，同时保证企业生产管理和环境管理的正常运作，建立环境管理体系与监测制度是非常必要和重要的。</w:t>
            </w:r>
          </w:p>
          <w:p>
            <w:pPr>
              <w:jc w:val="center"/>
              <w:rPr>
                <w:rFonts w:hint="eastAsia"/>
                <w:b/>
                <w:bCs/>
                <w:kern w:val="0"/>
                <w:szCs w:val="21"/>
              </w:rPr>
            </w:pPr>
            <w:r>
              <w:rPr>
                <w:rFonts w:hint="eastAsia"/>
                <w:b/>
                <w:bCs/>
                <w:kern w:val="0"/>
                <w:szCs w:val="21"/>
              </w:rPr>
              <w:t>表4-</w:t>
            </w:r>
            <w:r>
              <w:rPr>
                <w:rFonts w:hint="eastAsia"/>
                <w:b/>
                <w:bCs/>
                <w:kern w:val="0"/>
                <w:szCs w:val="21"/>
                <w:lang w:val="en-US" w:eastAsia="zh-CN"/>
              </w:rPr>
              <w:t>26</w:t>
            </w:r>
            <w:r>
              <w:rPr>
                <w:rFonts w:hint="eastAsia"/>
                <w:b/>
                <w:bCs/>
                <w:kern w:val="0"/>
                <w:szCs w:val="21"/>
              </w:rPr>
              <w:t xml:space="preserve"> 环境管理工作计划一览表</w:t>
            </w:r>
          </w:p>
          <w:tbl>
            <w:tblPr>
              <w:tblStyle w:val="41"/>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10"/>
              <w:gridCol w:w="5716"/>
              <w:gridCol w:w="108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808" w:type="pct"/>
                  <w:noWrap w:val="0"/>
                  <w:vAlign w:val="center"/>
                </w:tcPr>
                <w:p>
                  <w:pPr>
                    <w:pStyle w:val="287"/>
                    <w:adjustRightInd w:val="0"/>
                    <w:textAlignment w:val="baseline"/>
                    <w:rPr>
                      <w:kern w:val="0"/>
                      <w:szCs w:val="22"/>
                    </w:rPr>
                  </w:pPr>
                  <w:r>
                    <w:rPr>
                      <w:kern w:val="0"/>
                      <w:szCs w:val="22"/>
                    </w:rPr>
                    <w:t>情况</w:t>
                  </w:r>
                </w:p>
              </w:tc>
              <w:tc>
                <w:tcPr>
                  <w:tcW w:w="3524" w:type="pct"/>
                  <w:noWrap w:val="0"/>
                  <w:vAlign w:val="center"/>
                </w:tcPr>
                <w:p>
                  <w:pPr>
                    <w:pStyle w:val="287"/>
                    <w:adjustRightInd w:val="0"/>
                    <w:textAlignment w:val="baseline"/>
                    <w:rPr>
                      <w:kern w:val="0"/>
                      <w:szCs w:val="22"/>
                    </w:rPr>
                  </w:pPr>
                  <w:r>
                    <w:rPr>
                      <w:kern w:val="0"/>
                      <w:szCs w:val="22"/>
                    </w:rPr>
                    <w:t>环境管理工作内容</w:t>
                  </w:r>
                </w:p>
              </w:tc>
              <w:tc>
                <w:tcPr>
                  <w:tcW w:w="667" w:type="pct"/>
                  <w:noWrap w:val="0"/>
                  <w:vAlign w:val="center"/>
                </w:tcPr>
                <w:p>
                  <w:pPr>
                    <w:pStyle w:val="287"/>
                    <w:adjustRightInd w:val="0"/>
                    <w:textAlignment w:val="baseline"/>
                    <w:rPr>
                      <w:kern w:val="0"/>
                      <w:szCs w:val="22"/>
                    </w:rPr>
                  </w:pPr>
                  <w:r>
                    <w:rPr>
                      <w:kern w:val="0"/>
                      <w:szCs w:val="22"/>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8" w:type="pct"/>
                  <w:noWrap w:val="0"/>
                  <w:vAlign w:val="center"/>
                </w:tcPr>
                <w:p>
                  <w:pPr>
                    <w:pStyle w:val="287"/>
                    <w:adjustRightInd w:val="0"/>
                    <w:textAlignment w:val="baseline"/>
                    <w:rPr>
                      <w:kern w:val="0"/>
                      <w:szCs w:val="22"/>
                    </w:rPr>
                  </w:pPr>
                  <w:r>
                    <w:rPr>
                      <w:kern w:val="0"/>
                      <w:szCs w:val="22"/>
                    </w:rPr>
                    <w:t>企业环境管理总要求</w:t>
                  </w:r>
                </w:p>
              </w:tc>
              <w:tc>
                <w:tcPr>
                  <w:tcW w:w="3524" w:type="pct"/>
                  <w:noWrap w:val="0"/>
                  <w:vAlign w:val="center"/>
                </w:tcPr>
                <w:p>
                  <w:pPr>
                    <w:pStyle w:val="287"/>
                    <w:adjustRightInd w:val="0"/>
                    <w:jc w:val="left"/>
                    <w:textAlignment w:val="baseline"/>
                    <w:rPr>
                      <w:kern w:val="0"/>
                      <w:szCs w:val="22"/>
                    </w:rPr>
                  </w:pPr>
                  <w:r>
                    <w:rPr>
                      <w:kern w:val="0"/>
                      <w:szCs w:val="22"/>
                    </w:rPr>
                    <w:t>根据国家建设项目环境保护管理规定，认真落实各项环保手续：</w:t>
                  </w:r>
                </w:p>
                <w:p>
                  <w:pPr>
                    <w:pStyle w:val="287"/>
                    <w:adjustRightInd w:val="0"/>
                    <w:jc w:val="left"/>
                    <w:textAlignment w:val="baseline"/>
                    <w:rPr>
                      <w:kern w:val="0"/>
                      <w:szCs w:val="22"/>
                    </w:rPr>
                  </w:pPr>
                  <w:r>
                    <w:rPr>
                      <w:kern w:val="0"/>
                      <w:szCs w:val="22"/>
                    </w:rPr>
                    <w:t>（1）委托评价单位进行环境影响评价工作。</w:t>
                  </w:r>
                </w:p>
                <w:p>
                  <w:pPr>
                    <w:pStyle w:val="287"/>
                    <w:adjustRightInd w:val="0"/>
                    <w:jc w:val="left"/>
                    <w:textAlignment w:val="baseline"/>
                    <w:rPr>
                      <w:kern w:val="0"/>
                      <w:szCs w:val="22"/>
                    </w:rPr>
                  </w:pPr>
                  <w:r>
                    <w:rPr>
                      <w:kern w:val="0"/>
                      <w:szCs w:val="22"/>
                    </w:rPr>
                    <w:t>（2）依据环评报告及审批部门意见做好环保设施及其他整改意见。</w:t>
                  </w:r>
                </w:p>
                <w:p>
                  <w:pPr>
                    <w:pStyle w:val="287"/>
                    <w:adjustRightInd w:val="0"/>
                    <w:jc w:val="left"/>
                    <w:textAlignment w:val="baseline"/>
                    <w:rPr>
                      <w:kern w:val="0"/>
                      <w:szCs w:val="22"/>
                    </w:rPr>
                  </w:pPr>
                  <w:r>
                    <w:rPr>
                      <w:kern w:val="0"/>
                      <w:szCs w:val="22"/>
                    </w:rPr>
                    <w:t>（3）正式营运后，进行环保设施竣工验收。</w:t>
                  </w:r>
                </w:p>
                <w:p>
                  <w:pPr>
                    <w:pStyle w:val="287"/>
                    <w:adjustRightInd w:val="0"/>
                    <w:jc w:val="left"/>
                    <w:textAlignment w:val="baseline"/>
                    <w:rPr>
                      <w:kern w:val="0"/>
                      <w:szCs w:val="22"/>
                    </w:rPr>
                  </w:pPr>
                  <w:r>
                    <w:rPr>
                      <w:kern w:val="0"/>
                      <w:szCs w:val="22"/>
                    </w:rPr>
                    <w:t>（4）营运中，定期请当地环保部门监督、检查，协助主管部门做好环境管理工作，对不达标装置及时整改。</w:t>
                  </w:r>
                </w:p>
                <w:p>
                  <w:pPr>
                    <w:pStyle w:val="287"/>
                    <w:adjustRightInd w:val="0"/>
                    <w:jc w:val="left"/>
                    <w:textAlignment w:val="baseline"/>
                    <w:rPr>
                      <w:kern w:val="0"/>
                      <w:szCs w:val="22"/>
                    </w:rPr>
                  </w:pPr>
                  <w:r>
                    <w:rPr>
                      <w:kern w:val="0"/>
                      <w:szCs w:val="22"/>
                    </w:rPr>
                    <w:t>（5）配合环境监测站搞好监测工作。</w:t>
                  </w:r>
                </w:p>
              </w:tc>
              <w:tc>
                <w:tcPr>
                  <w:tcW w:w="667" w:type="pct"/>
                  <w:noWrap w:val="0"/>
                  <w:vAlign w:val="center"/>
                </w:tcPr>
                <w:p>
                  <w:pPr>
                    <w:pStyle w:val="287"/>
                    <w:adjustRightInd w:val="0"/>
                    <w:textAlignment w:val="baseline"/>
                    <w:rPr>
                      <w:rFonts w:hint="eastAsia"/>
                      <w:kern w:val="0"/>
                      <w:szCs w:val="22"/>
                    </w:rPr>
                  </w:pPr>
                  <w:r>
                    <w:rPr>
                      <w:rFonts w:hint="eastAsia"/>
                      <w:kern w:val="0"/>
                      <w:szCs w:val="22"/>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8" w:type="pct"/>
                  <w:noWrap w:val="0"/>
                  <w:vAlign w:val="center"/>
                </w:tcPr>
                <w:p>
                  <w:pPr>
                    <w:pStyle w:val="287"/>
                    <w:adjustRightInd w:val="0"/>
                    <w:textAlignment w:val="baseline"/>
                    <w:rPr>
                      <w:kern w:val="0"/>
                      <w:szCs w:val="22"/>
                    </w:rPr>
                  </w:pPr>
                  <w:r>
                    <w:rPr>
                      <w:kern w:val="0"/>
                      <w:szCs w:val="22"/>
                    </w:rPr>
                    <w:t>设计</w:t>
                  </w:r>
                </w:p>
              </w:tc>
              <w:tc>
                <w:tcPr>
                  <w:tcW w:w="3524" w:type="pct"/>
                  <w:noWrap w:val="0"/>
                  <w:vAlign w:val="center"/>
                </w:tcPr>
                <w:p>
                  <w:pPr>
                    <w:pStyle w:val="287"/>
                    <w:adjustRightInd w:val="0"/>
                    <w:jc w:val="left"/>
                    <w:textAlignment w:val="baseline"/>
                    <w:rPr>
                      <w:kern w:val="0"/>
                      <w:szCs w:val="22"/>
                    </w:rPr>
                  </w:pPr>
                  <w:r>
                    <w:rPr>
                      <w:kern w:val="0"/>
                      <w:szCs w:val="22"/>
                    </w:rPr>
                    <w:t>设计中应充分考虑批复后环评报告表中提出的污染防范设施和措施：</w:t>
                  </w:r>
                </w:p>
                <w:p>
                  <w:pPr>
                    <w:pStyle w:val="287"/>
                    <w:adjustRightInd w:val="0"/>
                    <w:jc w:val="left"/>
                    <w:textAlignment w:val="baseline"/>
                    <w:rPr>
                      <w:kern w:val="0"/>
                      <w:szCs w:val="22"/>
                    </w:rPr>
                  </w:pPr>
                  <w:r>
                    <w:rPr>
                      <w:kern w:val="0"/>
                      <w:szCs w:val="22"/>
                    </w:rPr>
                    <w:t>（1）根据环评报告表的要求补充与完善环境和风险防范设施；</w:t>
                  </w:r>
                </w:p>
                <w:p>
                  <w:pPr>
                    <w:pStyle w:val="287"/>
                    <w:adjustRightInd w:val="0"/>
                    <w:jc w:val="left"/>
                    <w:textAlignment w:val="baseline"/>
                    <w:rPr>
                      <w:kern w:val="0"/>
                      <w:szCs w:val="22"/>
                    </w:rPr>
                  </w:pPr>
                  <w:r>
                    <w:rPr>
                      <w:kern w:val="0"/>
                      <w:szCs w:val="22"/>
                    </w:rPr>
                    <w:t>（2）设计部门应充分调研，比较提出先进、合理的环境与风险防范设备和设施。</w:t>
                  </w:r>
                </w:p>
              </w:tc>
              <w:tc>
                <w:tcPr>
                  <w:tcW w:w="667" w:type="pct"/>
                  <w:noWrap w:val="0"/>
                  <w:vAlign w:val="center"/>
                </w:tcPr>
                <w:p>
                  <w:pPr>
                    <w:pStyle w:val="287"/>
                    <w:adjustRightInd w:val="0"/>
                    <w:jc w:val="both"/>
                    <w:textAlignment w:val="baseline"/>
                    <w:rPr>
                      <w:kern w:val="0"/>
                      <w:szCs w:val="22"/>
                    </w:rPr>
                  </w:pPr>
                  <w:r>
                    <w:rPr>
                      <w:kern w:val="0"/>
                      <w:szCs w:val="22"/>
                    </w:rPr>
                    <w:t>相关措施的补充与完善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8" w:type="pct"/>
                  <w:noWrap w:val="0"/>
                  <w:vAlign w:val="center"/>
                </w:tcPr>
                <w:p>
                  <w:pPr>
                    <w:pStyle w:val="287"/>
                    <w:adjustRightInd w:val="0"/>
                    <w:textAlignment w:val="baseline"/>
                    <w:rPr>
                      <w:kern w:val="0"/>
                      <w:szCs w:val="22"/>
                    </w:rPr>
                  </w:pPr>
                  <w:r>
                    <w:rPr>
                      <w:rFonts w:hint="eastAsia"/>
                      <w:kern w:val="0"/>
                      <w:szCs w:val="22"/>
                    </w:rPr>
                    <w:t>项目施工</w:t>
                  </w:r>
                  <w:r>
                    <w:rPr>
                      <w:kern w:val="0"/>
                      <w:szCs w:val="22"/>
                    </w:rPr>
                    <w:t>阶段</w:t>
                  </w:r>
                </w:p>
              </w:tc>
              <w:tc>
                <w:tcPr>
                  <w:tcW w:w="3524" w:type="pct"/>
                  <w:noWrap w:val="0"/>
                  <w:vAlign w:val="center"/>
                </w:tcPr>
                <w:p>
                  <w:pPr>
                    <w:pStyle w:val="287"/>
                    <w:numPr>
                      <w:ilvl w:val="0"/>
                      <w:numId w:val="12"/>
                    </w:numPr>
                    <w:adjustRightInd w:val="0"/>
                    <w:jc w:val="left"/>
                    <w:textAlignment w:val="baseline"/>
                    <w:rPr>
                      <w:kern w:val="0"/>
                      <w:szCs w:val="22"/>
                    </w:rPr>
                  </w:pPr>
                  <w:r>
                    <w:rPr>
                      <w:kern w:val="0"/>
                      <w:szCs w:val="22"/>
                    </w:rPr>
                    <w:t>施工单位必须认真遵守有关环保法规，依法履行防治污染，保护环境的各项义务。</w:t>
                  </w:r>
                </w:p>
                <w:p>
                  <w:pPr>
                    <w:pStyle w:val="287"/>
                    <w:numPr>
                      <w:ilvl w:val="0"/>
                      <w:numId w:val="12"/>
                    </w:numPr>
                    <w:adjustRightInd w:val="0"/>
                    <w:jc w:val="left"/>
                    <w:textAlignment w:val="baseline"/>
                    <w:rPr>
                      <w:kern w:val="0"/>
                      <w:szCs w:val="22"/>
                    </w:rPr>
                  </w:pPr>
                  <w:r>
                    <w:rPr>
                      <w:kern w:val="0"/>
                      <w:szCs w:val="22"/>
                    </w:rPr>
                    <w:t>施工单位必须加强施工人员的文明教育，禁止夜晚在施工现场发生大声喧哗、野蛮作业等人为的噪声干扰。</w:t>
                  </w:r>
                </w:p>
                <w:p>
                  <w:pPr>
                    <w:pStyle w:val="287"/>
                    <w:numPr>
                      <w:ilvl w:val="0"/>
                      <w:numId w:val="12"/>
                    </w:numPr>
                    <w:adjustRightInd w:val="0"/>
                    <w:jc w:val="left"/>
                    <w:textAlignment w:val="baseline"/>
                    <w:rPr>
                      <w:kern w:val="0"/>
                      <w:szCs w:val="22"/>
                    </w:rPr>
                  </w:pPr>
                  <w:r>
                    <w:rPr>
                      <w:kern w:val="0"/>
                      <w:szCs w:val="22"/>
                    </w:rPr>
                    <w:t>施工单位要有专人负责场地的环保工作，检查、落实有关防止扬尘、噪声措施。</w:t>
                  </w:r>
                </w:p>
                <w:p>
                  <w:pPr>
                    <w:pStyle w:val="287"/>
                    <w:numPr>
                      <w:ilvl w:val="0"/>
                      <w:numId w:val="12"/>
                    </w:numPr>
                    <w:adjustRightInd w:val="0"/>
                    <w:jc w:val="left"/>
                    <w:textAlignment w:val="baseline"/>
                    <w:rPr>
                      <w:kern w:val="0"/>
                      <w:szCs w:val="22"/>
                    </w:rPr>
                  </w:pPr>
                  <w:r>
                    <w:rPr>
                      <w:kern w:val="0"/>
                      <w:szCs w:val="22"/>
                    </w:rPr>
                    <w:t>市（区）环境保护行政主管部门对所辖行政区域内环境污染防治实施统一监督管理。施工单位必须在开工15日前向施工现场所在市（区）环境保护行政主管部门提出申报，经批准后方可施工，旋工期间应积极配合环保部门检查工作。</w:t>
                  </w:r>
                </w:p>
              </w:tc>
              <w:tc>
                <w:tcPr>
                  <w:tcW w:w="667" w:type="pct"/>
                  <w:noWrap w:val="0"/>
                  <w:vAlign w:val="center"/>
                </w:tcPr>
                <w:p>
                  <w:pPr>
                    <w:pStyle w:val="287"/>
                    <w:adjustRightInd w:val="0"/>
                    <w:textAlignment w:val="baseline"/>
                    <w:rPr>
                      <w:rFonts w:hint="eastAsia"/>
                      <w:kern w:val="0"/>
                      <w:szCs w:val="22"/>
                    </w:rPr>
                  </w:pPr>
                  <w:r>
                    <w:rPr>
                      <w:rFonts w:hint="eastAsia"/>
                      <w:kern w:val="0"/>
                      <w:szCs w:val="22"/>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8" w:type="pct"/>
                  <w:noWrap w:val="0"/>
                  <w:vAlign w:val="center"/>
                </w:tcPr>
                <w:p>
                  <w:pPr>
                    <w:pStyle w:val="287"/>
                    <w:adjustRightInd w:val="0"/>
                    <w:textAlignment w:val="baseline"/>
                    <w:rPr>
                      <w:kern w:val="0"/>
                      <w:szCs w:val="22"/>
                    </w:rPr>
                  </w:pPr>
                  <w:r>
                    <w:rPr>
                      <w:kern w:val="0"/>
                      <w:szCs w:val="22"/>
                    </w:rPr>
                    <w:t>生产运营阶段</w:t>
                  </w:r>
                </w:p>
              </w:tc>
              <w:tc>
                <w:tcPr>
                  <w:tcW w:w="3524" w:type="pct"/>
                  <w:noWrap w:val="0"/>
                  <w:vAlign w:val="center"/>
                </w:tcPr>
                <w:p>
                  <w:pPr>
                    <w:pStyle w:val="287"/>
                    <w:adjustRightInd w:val="0"/>
                    <w:jc w:val="left"/>
                    <w:textAlignment w:val="baseline"/>
                    <w:rPr>
                      <w:kern w:val="0"/>
                      <w:szCs w:val="22"/>
                    </w:rPr>
                  </w:pPr>
                  <w:r>
                    <w:rPr>
                      <w:kern w:val="0"/>
                      <w:szCs w:val="22"/>
                    </w:rPr>
                    <w:t>保证环境与风险防范设施的正常运行，主动接受地方和上级环保部门监督与检查，备有事故应急措施:</w:t>
                  </w:r>
                </w:p>
                <w:p>
                  <w:pPr>
                    <w:pStyle w:val="287"/>
                    <w:adjustRightInd w:val="0"/>
                    <w:jc w:val="left"/>
                    <w:textAlignment w:val="baseline"/>
                    <w:rPr>
                      <w:kern w:val="0"/>
                      <w:szCs w:val="22"/>
                    </w:rPr>
                  </w:pPr>
                  <w:r>
                    <w:rPr>
                      <w:kern w:val="0"/>
                      <w:szCs w:val="22"/>
                    </w:rPr>
                    <w:t>（1）有专人主动负责环保工作。</w:t>
                  </w:r>
                </w:p>
                <w:p>
                  <w:pPr>
                    <w:pStyle w:val="287"/>
                    <w:adjustRightInd w:val="0"/>
                    <w:jc w:val="left"/>
                    <w:textAlignment w:val="baseline"/>
                    <w:rPr>
                      <w:kern w:val="0"/>
                      <w:szCs w:val="22"/>
                    </w:rPr>
                  </w:pPr>
                  <w:r>
                    <w:rPr>
                      <w:kern w:val="0"/>
                      <w:szCs w:val="22"/>
                    </w:rPr>
                    <w:t>（2）负责环保工作的专人负责厂内环保设施的管理和维护。</w:t>
                  </w:r>
                </w:p>
                <w:p>
                  <w:pPr>
                    <w:pStyle w:val="287"/>
                    <w:adjustRightInd w:val="0"/>
                    <w:jc w:val="left"/>
                    <w:textAlignment w:val="baseline"/>
                    <w:rPr>
                      <w:kern w:val="0"/>
                      <w:szCs w:val="22"/>
                    </w:rPr>
                  </w:pPr>
                  <w:r>
                    <w:rPr>
                      <w:kern w:val="0"/>
                      <w:szCs w:val="22"/>
                    </w:rPr>
                    <w:t>（3）定期组织污染源和厂区环境监测。</w:t>
                  </w:r>
                </w:p>
                <w:p>
                  <w:pPr>
                    <w:pStyle w:val="287"/>
                    <w:adjustRightInd w:val="0"/>
                    <w:jc w:val="left"/>
                    <w:textAlignment w:val="baseline"/>
                    <w:rPr>
                      <w:kern w:val="0"/>
                      <w:szCs w:val="22"/>
                    </w:rPr>
                  </w:pPr>
                  <w:r>
                    <w:rPr>
                      <w:kern w:val="0"/>
                      <w:szCs w:val="22"/>
                    </w:rPr>
                    <w:t>（4）风险事故应急方案合理，应急设备设施齐备、完好。</w:t>
                  </w:r>
                </w:p>
              </w:tc>
              <w:tc>
                <w:tcPr>
                  <w:tcW w:w="667" w:type="pct"/>
                  <w:noWrap w:val="0"/>
                  <w:vAlign w:val="center"/>
                </w:tcPr>
                <w:p>
                  <w:pPr>
                    <w:pStyle w:val="287"/>
                    <w:adjustRightInd w:val="0"/>
                    <w:textAlignment w:val="baseline"/>
                    <w:rPr>
                      <w:rFonts w:hint="eastAsia"/>
                      <w:kern w:val="0"/>
                      <w:szCs w:val="22"/>
                    </w:rPr>
                  </w:pPr>
                  <w:r>
                    <w:rPr>
                      <w:rFonts w:hint="eastAsia"/>
                      <w:kern w:val="0"/>
                      <w:szCs w:val="22"/>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8" w:type="pct"/>
                  <w:noWrap w:val="0"/>
                  <w:vAlign w:val="center"/>
                </w:tcPr>
                <w:p>
                  <w:pPr>
                    <w:pStyle w:val="287"/>
                    <w:adjustRightInd w:val="0"/>
                    <w:textAlignment w:val="baseline"/>
                    <w:rPr>
                      <w:kern w:val="0"/>
                      <w:szCs w:val="22"/>
                    </w:rPr>
                  </w:pPr>
                  <w:r>
                    <w:rPr>
                      <w:kern w:val="0"/>
                      <w:szCs w:val="22"/>
                    </w:rPr>
                    <w:t>信息反馈和群众监督</w:t>
                  </w:r>
                </w:p>
              </w:tc>
              <w:tc>
                <w:tcPr>
                  <w:tcW w:w="3524" w:type="pct"/>
                  <w:noWrap w:val="0"/>
                  <w:vAlign w:val="center"/>
                </w:tcPr>
                <w:p>
                  <w:pPr>
                    <w:pStyle w:val="287"/>
                    <w:adjustRightInd w:val="0"/>
                    <w:jc w:val="left"/>
                    <w:textAlignment w:val="baseline"/>
                    <w:rPr>
                      <w:kern w:val="0"/>
                      <w:szCs w:val="22"/>
                    </w:rPr>
                  </w:pPr>
                  <w:r>
                    <w:rPr>
                      <w:kern w:val="0"/>
                      <w:szCs w:val="22"/>
                    </w:rPr>
                    <w:t>（1）及时反馈监测数据，加强群众监督，改进污染治理工作。</w:t>
                  </w:r>
                </w:p>
                <w:p>
                  <w:pPr>
                    <w:pStyle w:val="287"/>
                    <w:adjustRightInd w:val="0"/>
                    <w:jc w:val="left"/>
                    <w:textAlignment w:val="baseline"/>
                    <w:rPr>
                      <w:kern w:val="0"/>
                      <w:szCs w:val="22"/>
                    </w:rPr>
                  </w:pPr>
                  <w:r>
                    <w:rPr>
                      <w:kern w:val="0"/>
                      <w:szCs w:val="22"/>
                    </w:rPr>
                    <w:t>（2）建立奖惩制度，保证环境与风险防范设施正常运转。</w:t>
                  </w:r>
                </w:p>
                <w:p>
                  <w:pPr>
                    <w:pStyle w:val="287"/>
                    <w:adjustRightInd w:val="0"/>
                    <w:jc w:val="left"/>
                    <w:textAlignment w:val="baseline"/>
                    <w:rPr>
                      <w:kern w:val="0"/>
                      <w:szCs w:val="22"/>
                    </w:rPr>
                  </w:pPr>
                  <w:r>
                    <w:rPr>
                      <w:kern w:val="0"/>
                      <w:szCs w:val="22"/>
                    </w:rPr>
                    <w:t>（3）归纳整理监测数据，技术部门配合进行工艺改进。</w:t>
                  </w:r>
                </w:p>
                <w:p>
                  <w:pPr>
                    <w:pStyle w:val="287"/>
                    <w:adjustRightInd w:val="0"/>
                    <w:jc w:val="left"/>
                    <w:textAlignment w:val="baseline"/>
                    <w:rPr>
                      <w:kern w:val="0"/>
                      <w:szCs w:val="22"/>
                    </w:rPr>
                  </w:pPr>
                  <w:r>
                    <w:rPr>
                      <w:kern w:val="0"/>
                      <w:szCs w:val="22"/>
                    </w:rPr>
                    <w:t>（4）聘请附近群众为监督员，收集附近群众意见。</w:t>
                  </w:r>
                </w:p>
                <w:p>
                  <w:pPr>
                    <w:pStyle w:val="287"/>
                    <w:adjustRightInd w:val="0"/>
                    <w:jc w:val="left"/>
                    <w:textAlignment w:val="baseline"/>
                    <w:rPr>
                      <w:kern w:val="0"/>
                      <w:szCs w:val="22"/>
                    </w:rPr>
                  </w:pPr>
                  <w:r>
                    <w:rPr>
                      <w:kern w:val="0"/>
                      <w:szCs w:val="22"/>
                    </w:rPr>
                    <w:t>（5）组织项目验收并提出整改措施。</w:t>
                  </w:r>
                </w:p>
              </w:tc>
              <w:tc>
                <w:tcPr>
                  <w:tcW w:w="667" w:type="pct"/>
                  <w:noWrap w:val="0"/>
                  <w:vAlign w:val="center"/>
                </w:tcPr>
                <w:p>
                  <w:pPr>
                    <w:pStyle w:val="287"/>
                    <w:adjustRightInd w:val="0"/>
                    <w:textAlignment w:val="baseline"/>
                    <w:rPr>
                      <w:kern w:val="0"/>
                      <w:szCs w:val="22"/>
                    </w:rPr>
                  </w:pPr>
                </w:p>
                <w:p>
                  <w:pPr>
                    <w:pStyle w:val="287"/>
                    <w:adjustRightInd w:val="0"/>
                    <w:textAlignment w:val="baseline"/>
                    <w:rPr>
                      <w:rFonts w:hint="eastAsia"/>
                      <w:kern w:val="0"/>
                      <w:szCs w:val="22"/>
                    </w:rPr>
                  </w:pPr>
                  <w:r>
                    <w:rPr>
                      <w:rFonts w:hint="eastAsia"/>
                      <w:kern w:val="0"/>
                      <w:szCs w:val="22"/>
                    </w:rPr>
                    <w:t>/</w:t>
                  </w:r>
                </w:p>
                <w:p>
                  <w:pPr>
                    <w:pStyle w:val="287"/>
                    <w:adjustRightInd w:val="0"/>
                    <w:textAlignment w:val="baseline"/>
                    <w:rPr>
                      <w:kern w:val="0"/>
                      <w:szCs w:val="22"/>
                    </w:rPr>
                  </w:pPr>
                </w:p>
                <w:p>
                  <w:pPr>
                    <w:pStyle w:val="287"/>
                    <w:adjustRightInd w:val="0"/>
                    <w:textAlignment w:val="baseline"/>
                    <w:rPr>
                      <w:kern w:val="0"/>
                      <w:szCs w:val="22"/>
                    </w:rPr>
                  </w:pPr>
                </w:p>
                <w:p>
                  <w:pPr>
                    <w:pStyle w:val="287"/>
                    <w:adjustRightInd w:val="0"/>
                    <w:textAlignment w:val="baseline"/>
                    <w:rPr>
                      <w:kern w:val="0"/>
                      <w:szCs w:val="22"/>
                    </w:rPr>
                  </w:pPr>
                </w:p>
              </w:tc>
            </w:tr>
          </w:tbl>
          <w:p>
            <w:pPr>
              <w:pStyle w:val="72"/>
              <w:ind w:firstLine="482"/>
              <w:rPr>
                <w:rFonts w:hint="eastAsia"/>
                <w:b/>
                <w:bCs/>
              </w:rPr>
            </w:pPr>
            <w:r>
              <w:rPr>
                <w:rFonts w:hint="eastAsia"/>
                <w:b/>
                <w:bCs/>
              </w:rPr>
              <w:t>2、排污口设置及规范化要求</w:t>
            </w:r>
          </w:p>
          <w:p>
            <w:pPr>
              <w:pStyle w:val="72"/>
              <w:ind w:firstLine="480"/>
              <w:rPr>
                <w:rFonts w:hint="eastAsia"/>
              </w:rPr>
            </w:pPr>
            <w:r>
              <w:rPr>
                <w:rFonts w:hint="eastAsia"/>
              </w:rPr>
              <w:t>根据国家标准《环境保护图形标志——排放口（源）》的技术要求，中心所有排放口必须按照“便于采样、便于计量监测、便于日常现场监督检查”的原则和规范化要求，设置排污口标志牌。</w:t>
            </w:r>
          </w:p>
          <w:p>
            <w:pPr>
              <w:pStyle w:val="72"/>
              <w:ind w:firstLine="480"/>
              <w:rPr>
                <w:rFonts w:hint="eastAsia"/>
              </w:rPr>
            </w:pPr>
            <w:r>
              <w:rPr>
                <w:rFonts w:hint="eastAsia"/>
              </w:rPr>
              <w:t>①废水排放口</w:t>
            </w:r>
          </w:p>
          <w:p>
            <w:pPr>
              <w:pStyle w:val="72"/>
              <w:ind w:firstLine="480"/>
              <w:rPr>
                <w:rFonts w:hint="eastAsia"/>
              </w:rPr>
            </w:pPr>
            <w:r>
              <w:rPr>
                <w:rFonts w:hint="eastAsia"/>
              </w:rPr>
              <w:t>项目产生的综合废水经院内污水处理站处理后排入市政污水管网，并在污水处理站排水口应按规定设置取样及标识标牌。</w:t>
            </w:r>
          </w:p>
          <w:p>
            <w:pPr>
              <w:pStyle w:val="72"/>
              <w:ind w:firstLine="480"/>
              <w:rPr>
                <w:rFonts w:hint="eastAsia"/>
              </w:rPr>
            </w:pPr>
            <w:r>
              <w:rPr>
                <w:rFonts w:hint="eastAsia"/>
              </w:rPr>
              <w:t>②固体废物贮存（处置）场</w:t>
            </w:r>
          </w:p>
          <w:p>
            <w:pPr>
              <w:pStyle w:val="72"/>
              <w:ind w:firstLine="480"/>
              <w:rPr>
                <w:rFonts w:hint="eastAsia"/>
              </w:rPr>
            </w:pPr>
            <w:r>
              <w:rPr>
                <w:rFonts w:hint="eastAsia"/>
              </w:rPr>
              <w:t>医疗废物按照《医疗废物管理条例》（2010修正）、《医疗废物专用包装袋、容器和警示标志标准》相关要求进行预处理和包装，医疗废物于医疗废物暂存间暂存，最终交由资质单位处理。</w:t>
            </w:r>
          </w:p>
          <w:p>
            <w:pPr>
              <w:pStyle w:val="72"/>
              <w:ind w:firstLine="480"/>
              <w:rPr>
                <w:rFonts w:hint="eastAsia"/>
              </w:rPr>
            </w:pPr>
            <w:r>
              <w:rPr>
                <w:rFonts w:hint="eastAsia"/>
              </w:rPr>
              <w:t>医疗废物转移应按照《危险废物转移联单管理办法》规定，执行危险废物转移联单制度。禁止将医疗废物、危险废物混入生活垃圾中。医疗废物暂存间必须按照规范建设，采取重点防渗措施，并采取“三防”措施，设置“危险废物”、“医疗废物”、“请勿靠近”等标志、标牌。</w:t>
            </w:r>
          </w:p>
          <w:p>
            <w:pPr>
              <w:pStyle w:val="72"/>
              <w:ind w:firstLine="482"/>
              <w:rPr>
                <w:rFonts w:hint="eastAsia"/>
                <w:b/>
                <w:bCs/>
              </w:rPr>
            </w:pPr>
            <w:r>
              <w:rPr>
                <w:rFonts w:hint="eastAsia"/>
                <w:b/>
                <w:bCs/>
              </w:rPr>
              <w:t>3、监测计划</w:t>
            </w:r>
          </w:p>
          <w:p>
            <w:pPr>
              <w:pStyle w:val="72"/>
              <w:ind w:firstLine="480"/>
              <w:rPr>
                <w:rFonts w:hint="eastAsia"/>
              </w:rPr>
            </w:pPr>
            <w:r>
              <w:rPr>
                <w:rFonts w:hint="eastAsia"/>
              </w:rPr>
              <w:t>按国家《排污许可证申请与核发技术规范  医疗机构》（HJ1105-2020）要求，根据项目产污特点，业主应委托有监测资质的单位进行自行监测。本次评价建议监测计划如下表：</w:t>
            </w:r>
          </w:p>
          <w:p>
            <w:pPr>
              <w:jc w:val="center"/>
              <w:rPr>
                <w:rFonts w:hint="eastAsia"/>
                <w:b/>
                <w:bCs/>
                <w:kern w:val="0"/>
                <w:szCs w:val="21"/>
              </w:rPr>
            </w:pPr>
            <w:r>
              <w:rPr>
                <w:rFonts w:hint="eastAsia"/>
                <w:b/>
                <w:bCs/>
                <w:kern w:val="0"/>
                <w:szCs w:val="21"/>
              </w:rPr>
              <w:t>表4-</w:t>
            </w:r>
            <w:r>
              <w:rPr>
                <w:rFonts w:hint="eastAsia"/>
                <w:b/>
                <w:bCs/>
                <w:kern w:val="0"/>
                <w:szCs w:val="21"/>
                <w:lang w:val="en-US" w:eastAsia="zh-CN"/>
              </w:rPr>
              <w:t xml:space="preserve">27 </w:t>
            </w:r>
            <w:r>
              <w:rPr>
                <w:rFonts w:hint="eastAsia"/>
                <w:b/>
                <w:bCs/>
                <w:kern w:val="0"/>
                <w:szCs w:val="21"/>
              </w:rPr>
              <w:t xml:space="preserve"> 环境监测计划表</w:t>
            </w:r>
          </w:p>
          <w:tbl>
            <w:tblPr>
              <w:tblStyle w:val="41"/>
              <w:tblW w:w="811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64"/>
              <w:gridCol w:w="959"/>
              <w:gridCol w:w="1330"/>
              <w:gridCol w:w="1761"/>
              <w:gridCol w:w="1122"/>
              <w:gridCol w:w="638"/>
              <w:gridCol w:w="940"/>
              <w:gridCol w:w="70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07" w:hRule="atLeast"/>
                <w:jc w:val="center"/>
              </w:trPr>
              <w:tc>
                <w:tcPr>
                  <w:tcW w:w="999" w:type="pct"/>
                  <w:gridSpan w:val="2"/>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r>
                    <w:rPr>
                      <w:rFonts w:hint="default" w:ascii="Times New Roman" w:hAnsi="Times New Roman" w:cs="Times New Roman"/>
                      <w:bCs w:val="0"/>
                      <w:kern w:val="2"/>
                      <w:sz w:val="21"/>
                      <w:szCs w:val="21"/>
                      <w:lang w:eastAsia="zh-CN" w:bidi="ar-SA"/>
                    </w:rPr>
                    <w:t>监测点位</w:t>
                  </w:r>
                </w:p>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r>
                    <w:rPr>
                      <w:rFonts w:hint="default" w:ascii="Times New Roman" w:hAnsi="Times New Roman" w:cs="Times New Roman"/>
                      <w:bCs w:val="0"/>
                      <w:kern w:val="2"/>
                      <w:sz w:val="21"/>
                      <w:szCs w:val="21"/>
                      <w:lang w:eastAsia="zh-CN" w:bidi="ar-SA"/>
                    </w:rPr>
                    <w:t>名称</w:t>
                  </w:r>
                </w:p>
              </w:tc>
              <w:tc>
                <w:tcPr>
                  <w:tcW w:w="819" w:type="pct"/>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r>
                    <w:rPr>
                      <w:rFonts w:hint="default" w:ascii="Times New Roman" w:hAnsi="Times New Roman" w:cs="Times New Roman"/>
                      <w:bCs w:val="0"/>
                      <w:kern w:val="2"/>
                      <w:sz w:val="21"/>
                      <w:szCs w:val="21"/>
                      <w:lang w:eastAsia="zh-CN" w:bidi="ar-SA"/>
                    </w:rPr>
                    <w:t>监测指标</w:t>
                  </w:r>
                </w:p>
              </w:tc>
              <w:tc>
                <w:tcPr>
                  <w:tcW w:w="1084" w:type="pct"/>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r>
                    <w:rPr>
                      <w:rFonts w:hint="default" w:ascii="Times New Roman" w:hAnsi="Times New Roman" w:cs="Times New Roman"/>
                      <w:bCs w:val="0"/>
                      <w:kern w:val="2"/>
                      <w:sz w:val="21"/>
                      <w:szCs w:val="21"/>
                      <w:lang w:eastAsia="zh-CN" w:bidi="ar-SA"/>
                    </w:rPr>
                    <w:t>执行标准</w:t>
                  </w:r>
                </w:p>
              </w:tc>
              <w:tc>
                <w:tcPr>
                  <w:tcW w:w="691" w:type="pct"/>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r>
                    <w:rPr>
                      <w:rFonts w:hint="default" w:ascii="Times New Roman" w:hAnsi="Times New Roman" w:cs="Times New Roman"/>
                      <w:bCs w:val="0"/>
                      <w:kern w:val="2"/>
                      <w:sz w:val="21"/>
                      <w:szCs w:val="21"/>
                      <w:lang w:eastAsia="zh-CN" w:bidi="ar-SA"/>
                    </w:rPr>
                    <w:t>标准限值</w:t>
                  </w:r>
                </w:p>
              </w:tc>
              <w:tc>
                <w:tcPr>
                  <w:tcW w:w="393" w:type="pct"/>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r>
                    <w:rPr>
                      <w:rFonts w:hint="default" w:ascii="Times New Roman" w:hAnsi="Times New Roman" w:cs="Times New Roman"/>
                      <w:bCs w:val="0"/>
                      <w:kern w:val="2"/>
                      <w:sz w:val="21"/>
                      <w:szCs w:val="21"/>
                      <w:lang w:eastAsia="zh-CN" w:bidi="ar-SA"/>
                    </w:rPr>
                    <w:t>监测形式</w:t>
                  </w:r>
                </w:p>
              </w:tc>
              <w:tc>
                <w:tcPr>
                  <w:tcW w:w="579" w:type="pct"/>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r>
                    <w:rPr>
                      <w:rFonts w:hint="default" w:ascii="Times New Roman" w:hAnsi="Times New Roman" w:cs="Times New Roman"/>
                      <w:bCs w:val="0"/>
                      <w:kern w:val="2"/>
                      <w:sz w:val="21"/>
                      <w:szCs w:val="21"/>
                      <w:lang w:eastAsia="zh-CN" w:bidi="ar-SA"/>
                    </w:rPr>
                    <w:t>监测频次</w:t>
                  </w:r>
                </w:p>
              </w:tc>
              <w:tc>
                <w:tcPr>
                  <w:tcW w:w="433" w:type="pct"/>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r>
                    <w:rPr>
                      <w:rFonts w:hint="default" w:ascii="Times New Roman" w:hAnsi="Times New Roman" w:cs="Times New Roman"/>
                      <w:bCs w:val="0"/>
                      <w:kern w:val="2"/>
                      <w:sz w:val="21"/>
                      <w:szCs w:val="21"/>
                      <w:lang w:eastAsia="zh-CN" w:bidi="ar-SA"/>
                    </w:rPr>
                    <w:t>采样</w:t>
                  </w:r>
                </w:p>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r>
                    <w:rPr>
                      <w:rFonts w:hint="default" w:ascii="Times New Roman" w:hAnsi="Times New Roman" w:cs="Times New Roman"/>
                      <w:bCs w:val="0"/>
                      <w:kern w:val="2"/>
                      <w:sz w:val="21"/>
                      <w:szCs w:val="21"/>
                      <w:lang w:eastAsia="zh-CN" w:bidi="ar-SA"/>
                    </w:rPr>
                    <w:t>方法</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 w:hRule="atLeast"/>
                <w:jc w:val="center"/>
              </w:trPr>
              <w:tc>
                <w:tcPr>
                  <w:tcW w:w="409" w:type="pct"/>
                  <w:vMerge w:val="restart"/>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r>
                    <w:rPr>
                      <w:rFonts w:hint="default" w:ascii="Times New Roman" w:hAnsi="Times New Roman" w:cs="Times New Roman"/>
                      <w:bCs w:val="0"/>
                      <w:kern w:val="2"/>
                      <w:sz w:val="21"/>
                      <w:szCs w:val="21"/>
                      <w:lang w:eastAsia="zh-CN" w:bidi="ar-SA"/>
                    </w:rPr>
                    <w:t>无组织废气</w:t>
                  </w:r>
                </w:p>
              </w:tc>
              <w:tc>
                <w:tcPr>
                  <w:tcW w:w="590" w:type="pct"/>
                  <w:vMerge w:val="restar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污水处理站周边</w:t>
                  </w:r>
                </w:p>
              </w:tc>
              <w:tc>
                <w:tcPr>
                  <w:tcW w:w="819" w:type="pct"/>
                  <w:noWrap w:val="0"/>
                  <w:vAlign w:val="center"/>
                </w:tcPr>
                <w:p>
                  <w:pPr>
                    <w:adjustRightInd w:val="0"/>
                    <w:snapToGrid w:val="0"/>
                    <w:jc w:val="center"/>
                    <w:rPr>
                      <w:rFonts w:hint="default" w:ascii="Times New Roman" w:hAnsi="Times New Roman" w:cs="Times New Roman"/>
                      <w:bCs w:val="0"/>
                      <w:szCs w:val="21"/>
                    </w:rPr>
                  </w:pPr>
                  <w:r>
                    <w:rPr>
                      <w:rFonts w:hint="default" w:ascii="Times New Roman" w:hAnsi="Times New Roman" w:cs="Times New Roman"/>
                      <w:bCs w:val="0"/>
                      <w:szCs w:val="21"/>
                    </w:rPr>
                    <w:t>氨气</w:t>
                  </w:r>
                </w:p>
              </w:tc>
              <w:tc>
                <w:tcPr>
                  <w:tcW w:w="1084" w:type="pct"/>
                  <w:vMerge w:val="restart"/>
                  <w:noWrap w:val="0"/>
                  <w:vAlign w:val="center"/>
                </w:tcPr>
                <w:p>
                  <w:pPr>
                    <w:adjustRightInd w:val="0"/>
                    <w:snapToGrid w:val="0"/>
                    <w:jc w:val="center"/>
                    <w:rPr>
                      <w:rFonts w:ascii="Times New Roman" w:hAnsi="Times New Roman" w:cs="Times New Roman"/>
                      <w:bCs w:val="0"/>
                      <w:szCs w:val="21"/>
                    </w:rPr>
                  </w:pPr>
                  <w:r>
                    <w:rPr>
                      <w:rFonts w:hint="default" w:ascii="Times New Roman" w:hAnsi="Times New Roman" w:cs="Times New Roman"/>
                      <w:bCs w:val="0"/>
                      <w:szCs w:val="21"/>
                    </w:rPr>
                    <w:t>医疗机构水污染物排放标准（GB 18466-2005）</w:t>
                  </w:r>
                </w:p>
              </w:tc>
              <w:tc>
                <w:tcPr>
                  <w:tcW w:w="691" w:type="pct"/>
                  <w:noWrap w:val="0"/>
                  <w:vAlign w:val="center"/>
                </w:tcPr>
                <w:p>
                  <w:pPr>
                    <w:adjustRightInd w:val="0"/>
                    <w:snapToGrid w:val="0"/>
                    <w:jc w:val="center"/>
                    <w:rPr>
                      <w:rFonts w:hint="default" w:ascii="Times New Roman" w:hAnsi="Times New Roman" w:cs="Times New Roman"/>
                      <w:bCs w:val="0"/>
                      <w:szCs w:val="21"/>
                    </w:rPr>
                  </w:pPr>
                  <w:r>
                    <w:rPr>
                      <w:rFonts w:hint="default" w:ascii="Times New Roman" w:hAnsi="Times New Roman" w:cs="Times New Roman"/>
                      <w:bCs w:val="0"/>
                      <w:szCs w:val="21"/>
                    </w:rPr>
                    <w:t>1.0</w:t>
                  </w:r>
                  <w:r>
                    <w:rPr>
                      <w:rFonts w:hint="default" w:ascii="Times New Roman" w:hAnsi="Times New Roman" w:cs="Times New Roman"/>
                      <w:bCs w:val="0"/>
                      <w:kern w:val="2"/>
                      <w:sz w:val="21"/>
                      <w:szCs w:val="21"/>
                      <w:lang w:eastAsia="zh-CN" w:bidi="ar-SA"/>
                    </w:rPr>
                    <w:t>mg/m</w:t>
                  </w:r>
                  <w:r>
                    <w:rPr>
                      <w:rFonts w:hint="default" w:ascii="Times New Roman" w:hAnsi="Times New Roman" w:cs="Times New Roman"/>
                      <w:bCs w:val="0"/>
                      <w:kern w:val="2"/>
                      <w:sz w:val="21"/>
                      <w:szCs w:val="21"/>
                      <w:vertAlign w:val="superscript"/>
                      <w:lang w:eastAsia="zh-CN" w:bidi="ar-SA"/>
                    </w:rPr>
                    <w:t>3</w:t>
                  </w:r>
                </w:p>
              </w:tc>
              <w:tc>
                <w:tcPr>
                  <w:tcW w:w="39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c>
                <w:tcPr>
                  <w:tcW w:w="579"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1次/季度</w:t>
                  </w:r>
                </w:p>
              </w:tc>
              <w:tc>
                <w:tcPr>
                  <w:tcW w:w="43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09" w:type="pct"/>
                  <w:vMerge w:val="continue"/>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p>
              </w:tc>
              <w:tc>
                <w:tcPr>
                  <w:tcW w:w="590"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819" w:type="pct"/>
                  <w:noWrap w:val="0"/>
                  <w:vAlign w:val="center"/>
                </w:tcPr>
                <w:p>
                  <w:pPr>
                    <w:adjustRightInd w:val="0"/>
                    <w:snapToGrid w:val="0"/>
                    <w:jc w:val="center"/>
                    <w:rPr>
                      <w:rFonts w:hint="default" w:ascii="Times New Roman" w:hAnsi="Times New Roman" w:cs="Times New Roman"/>
                      <w:bCs w:val="0"/>
                      <w:szCs w:val="21"/>
                    </w:rPr>
                  </w:pPr>
                  <w:r>
                    <w:rPr>
                      <w:rFonts w:hint="default" w:ascii="Times New Roman" w:hAnsi="Times New Roman" w:cs="Times New Roman"/>
                      <w:bCs w:val="0"/>
                      <w:szCs w:val="21"/>
                    </w:rPr>
                    <w:t>硫化氢</w:t>
                  </w:r>
                </w:p>
              </w:tc>
              <w:tc>
                <w:tcPr>
                  <w:tcW w:w="1084" w:type="pct"/>
                  <w:vMerge w:val="continue"/>
                  <w:noWrap w:val="0"/>
                  <w:vAlign w:val="center"/>
                </w:tcPr>
                <w:p>
                  <w:pPr>
                    <w:adjustRightInd w:val="0"/>
                    <w:snapToGrid w:val="0"/>
                    <w:jc w:val="center"/>
                    <w:rPr>
                      <w:rFonts w:hint="default" w:ascii="Times New Roman" w:hAnsi="Times New Roman" w:cs="Times New Roman"/>
                      <w:bCs w:val="0"/>
                      <w:szCs w:val="21"/>
                    </w:rPr>
                  </w:pPr>
                </w:p>
              </w:tc>
              <w:tc>
                <w:tcPr>
                  <w:tcW w:w="691" w:type="pct"/>
                  <w:noWrap w:val="0"/>
                  <w:vAlign w:val="center"/>
                </w:tcPr>
                <w:p>
                  <w:pPr>
                    <w:adjustRightInd w:val="0"/>
                    <w:snapToGrid w:val="0"/>
                    <w:jc w:val="center"/>
                    <w:rPr>
                      <w:rFonts w:hint="default" w:ascii="Times New Roman" w:hAnsi="Times New Roman" w:cs="Times New Roman"/>
                      <w:bCs w:val="0"/>
                      <w:szCs w:val="21"/>
                    </w:rPr>
                  </w:pPr>
                  <w:r>
                    <w:rPr>
                      <w:rFonts w:hint="default" w:ascii="Times New Roman" w:hAnsi="Times New Roman" w:cs="Times New Roman"/>
                      <w:bCs w:val="0"/>
                      <w:szCs w:val="21"/>
                    </w:rPr>
                    <w:t>0.03</w:t>
                  </w:r>
                  <w:r>
                    <w:rPr>
                      <w:rFonts w:hint="default" w:ascii="Times New Roman" w:hAnsi="Times New Roman" w:cs="Times New Roman"/>
                      <w:bCs w:val="0"/>
                      <w:kern w:val="2"/>
                      <w:sz w:val="21"/>
                      <w:szCs w:val="21"/>
                      <w:lang w:eastAsia="zh-CN" w:bidi="ar-SA"/>
                    </w:rPr>
                    <w:t>mg/m</w:t>
                  </w:r>
                  <w:r>
                    <w:rPr>
                      <w:rFonts w:hint="default" w:ascii="Times New Roman" w:hAnsi="Times New Roman" w:cs="Times New Roman"/>
                      <w:bCs w:val="0"/>
                      <w:kern w:val="2"/>
                      <w:sz w:val="21"/>
                      <w:szCs w:val="21"/>
                      <w:vertAlign w:val="superscript"/>
                      <w:lang w:eastAsia="zh-CN" w:bidi="ar-SA"/>
                    </w:rPr>
                    <w:t>3</w:t>
                  </w:r>
                </w:p>
              </w:tc>
              <w:tc>
                <w:tcPr>
                  <w:tcW w:w="39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c>
                <w:tcPr>
                  <w:tcW w:w="579"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1次/季度</w:t>
                  </w:r>
                </w:p>
              </w:tc>
              <w:tc>
                <w:tcPr>
                  <w:tcW w:w="43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40" w:hRule="atLeast"/>
                <w:jc w:val="center"/>
              </w:trPr>
              <w:tc>
                <w:tcPr>
                  <w:tcW w:w="409" w:type="pct"/>
                  <w:vMerge w:val="continue"/>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p>
              </w:tc>
              <w:tc>
                <w:tcPr>
                  <w:tcW w:w="590"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819" w:type="pct"/>
                  <w:noWrap w:val="0"/>
                  <w:vAlign w:val="center"/>
                </w:tcPr>
                <w:p>
                  <w:pPr>
                    <w:adjustRightInd w:val="0"/>
                    <w:snapToGrid w:val="0"/>
                    <w:jc w:val="center"/>
                    <w:rPr>
                      <w:rFonts w:hint="default" w:ascii="Times New Roman" w:hAnsi="Times New Roman" w:cs="Times New Roman"/>
                      <w:bCs w:val="0"/>
                      <w:szCs w:val="21"/>
                    </w:rPr>
                  </w:pPr>
                  <w:r>
                    <w:rPr>
                      <w:rFonts w:hint="default" w:ascii="Times New Roman" w:hAnsi="Times New Roman" w:cs="Times New Roman"/>
                      <w:bCs w:val="0"/>
                      <w:szCs w:val="21"/>
                    </w:rPr>
                    <w:t>臭气浓度</w:t>
                  </w:r>
                </w:p>
              </w:tc>
              <w:tc>
                <w:tcPr>
                  <w:tcW w:w="1084" w:type="pct"/>
                  <w:vMerge w:val="continue"/>
                  <w:noWrap w:val="0"/>
                  <w:vAlign w:val="center"/>
                </w:tcPr>
                <w:p>
                  <w:pPr>
                    <w:adjustRightInd w:val="0"/>
                    <w:snapToGrid w:val="0"/>
                    <w:jc w:val="center"/>
                    <w:rPr>
                      <w:rFonts w:hint="default" w:ascii="Times New Roman" w:hAnsi="Times New Roman" w:cs="Times New Roman"/>
                      <w:bCs w:val="0"/>
                      <w:szCs w:val="21"/>
                    </w:rPr>
                  </w:pPr>
                </w:p>
              </w:tc>
              <w:tc>
                <w:tcPr>
                  <w:tcW w:w="691" w:type="pct"/>
                  <w:noWrap w:val="0"/>
                  <w:vAlign w:val="center"/>
                </w:tcPr>
                <w:p>
                  <w:pPr>
                    <w:adjustRightInd w:val="0"/>
                    <w:snapToGrid w:val="0"/>
                    <w:jc w:val="center"/>
                    <w:rPr>
                      <w:rFonts w:hint="default" w:ascii="Times New Roman" w:hAnsi="Times New Roman" w:cs="Times New Roman"/>
                      <w:bCs w:val="0"/>
                      <w:szCs w:val="21"/>
                    </w:rPr>
                  </w:pPr>
                  <w:r>
                    <w:rPr>
                      <w:rFonts w:hint="default" w:ascii="Times New Roman" w:hAnsi="Times New Roman" w:cs="Times New Roman"/>
                      <w:bCs w:val="0"/>
                      <w:szCs w:val="21"/>
                    </w:rPr>
                    <w:t>10</w:t>
                  </w:r>
                </w:p>
              </w:tc>
              <w:tc>
                <w:tcPr>
                  <w:tcW w:w="39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c>
                <w:tcPr>
                  <w:tcW w:w="579"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1次/季度</w:t>
                  </w:r>
                </w:p>
              </w:tc>
              <w:tc>
                <w:tcPr>
                  <w:tcW w:w="43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40" w:hRule="atLeast"/>
                <w:jc w:val="center"/>
              </w:trPr>
              <w:tc>
                <w:tcPr>
                  <w:tcW w:w="409" w:type="pct"/>
                  <w:vMerge w:val="continue"/>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p>
              </w:tc>
              <w:tc>
                <w:tcPr>
                  <w:tcW w:w="590"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819" w:type="pct"/>
                  <w:noWrap w:val="0"/>
                  <w:vAlign w:val="center"/>
                </w:tcPr>
                <w:p>
                  <w:pPr>
                    <w:adjustRightInd w:val="0"/>
                    <w:snapToGrid w:val="0"/>
                    <w:jc w:val="center"/>
                    <w:rPr>
                      <w:rFonts w:hint="eastAsia" w:ascii="Times New Roman" w:hAnsi="Times New Roman" w:eastAsia="宋体" w:cs="Times New Roman"/>
                      <w:bCs w:val="0"/>
                      <w:szCs w:val="21"/>
                      <w:lang w:eastAsia="zh-CN"/>
                    </w:rPr>
                  </w:pPr>
                  <w:r>
                    <w:rPr>
                      <w:rFonts w:hint="eastAsia" w:ascii="Times New Roman" w:hAnsi="Times New Roman" w:cs="Times New Roman"/>
                      <w:bCs w:val="0"/>
                      <w:szCs w:val="21"/>
                      <w:lang w:eastAsia="zh-CN"/>
                    </w:rPr>
                    <w:t>甲烷</w:t>
                  </w:r>
                </w:p>
              </w:tc>
              <w:tc>
                <w:tcPr>
                  <w:tcW w:w="1084" w:type="pct"/>
                  <w:vMerge w:val="continue"/>
                  <w:noWrap w:val="0"/>
                  <w:vAlign w:val="center"/>
                </w:tcPr>
                <w:p>
                  <w:pPr>
                    <w:adjustRightInd w:val="0"/>
                    <w:snapToGrid w:val="0"/>
                    <w:jc w:val="center"/>
                    <w:rPr>
                      <w:rFonts w:hint="default" w:ascii="Times New Roman" w:hAnsi="Times New Roman" w:cs="Times New Roman"/>
                      <w:bCs w:val="0"/>
                      <w:szCs w:val="21"/>
                    </w:rPr>
                  </w:pPr>
                </w:p>
              </w:tc>
              <w:tc>
                <w:tcPr>
                  <w:tcW w:w="691" w:type="pct"/>
                  <w:noWrap w:val="0"/>
                  <w:vAlign w:val="center"/>
                </w:tcPr>
                <w:p>
                  <w:pPr>
                    <w:adjustRightInd w:val="0"/>
                    <w:snapToGrid w:val="0"/>
                    <w:jc w:val="center"/>
                    <w:rPr>
                      <w:rFonts w:hint="default" w:ascii="Times New Roman" w:hAnsi="Times New Roman" w:eastAsia="宋体" w:cs="Times New Roman"/>
                      <w:bCs w:val="0"/>
                      <w:szCs w:val="21"/>
                      <w:lang w:val="en-US" w:eastAsia="zh-CN"/>
                    </w:rPr>
                  </w:pPr>
                  <w:r>
                    <w:rPr>
                      <w:rFonts w:hint="eastAsia" w:ascii="Times New Roman" w:hAnsi="Times New Roman" w:cs="Times New Roman"/>
                      <w:bCs w:val="0"/>
                      <w:szCs w:val="21"/>
                      <w:lang w:val="en-US" w:eastAsia="zh-CN"/>
                    </w:rPr>
                    <w:t>1%</w:t>
                  </w:r>
                </w:p>
              </w:tc>
              <w:tc>
                <w:tcPr>
                  <w:tcW w:w="393" w:type="pct"/>
                  <w:noWrap w:val="0"/>
                  <w:vAlign w:val="center"/>
                </w:tcPr>
                <w:p>
                  <w:pPr>
                    <w:pStyle w:val="289"/>
                    <w:adjustRightInd w:val="0"/>
                    <w:snapToGrid w:val="0"/>
                    <w:spacing w:after="0" w:line="240" w:lineRule="auto"/>
                    <w:ind w:left="0" w:leftChars="0"/>
                    <w:jc w:val="center"/>
                    <w:rPr>
                      <w:rFonts w:hint="default" w:ascii="Times New Roman" w:hAnsi="Times New Roman" w:eastAsia="宋体" w:cs="Times New Roman"/>
                      <w:bCs w:val="0"/>
                      <w:kern w:val="2"/>
                      <w:sz w:val="21"/>
                      <w:szCs w:val="21"/>
                      <w:lang w:val="en-US" w:eastAsia="zh-CN" w:bidi="ar-SA"/>
                    </w:rPr>
                  </w:pPr>
                  <w:r>
                    <w:rPr>
                      <w:rFonts w:hint="default" w:ascii="Times New Roman" w:hAnsi="Times New Roman" w:cs="Times New Roman"/>
                      <w:bCs w:val="0"/>
                      <w:kern w:val="2"/>
                      <w:sz w:val="21"/>
                      <w:szCs w:val="21"/>
                      <w:lang w:eastAsia="zh-CN"/>
                    </w:rPr>
                    <w:t>手工</w:t>
                  </w:r>
                </w:p>
              </w:tc>
              <w:tc>
                <w:tcPr>
                  <w:tcW w:w="579" w:type="pct"/>
                  <w:noWrap w:val="0"/>
                  <w:vAlign w:val="center"/>
                </w:tcPr>
                <w:p>
                  <w:pPr>
                    <w:pStyle w:val="289"/>
                    <w:adjustRightInd w:val="0"/>
                    <w:snapToGrid w:val="0"/>
                    <w:spacing w:after="0" w:line="240" w:lineRule="auto"/>
                    <w:ind w:left="0" w:leftChars="0"/>
                    <w:jc w:val="center"/>
                    <w:rPr>
                      <w:rFonts w:hint="default" w:ascii="Times New Roman" w:hAnsi="Times New Roman" w:eastAsia="宋体" w:cs="Times New Roman"/>
                      <w:bCs w:val="0"/>
                      <w:kern w:val="2"/>
                      <w:sz w:val="21"/>
                      <w:szCs w:val="21"/>
                      <w:lang w:val="en-US" w:eastAsia="zh-CN" w:bidi="ar-SA"/>
                    </w:rPr>
                  </w:pPr>
                  <w:r>
                    <w:rPr>
                      <w:rFonts w:hint="default" w:ascii="Times New Roman" w:hAnsi="Times New Roman" w:cs="Times New Roman"/>
                      <w:bCs w:val="0"/>
                      <w:kern w:val="2"/>
                      <w:sz w:val="21"/>
                      <w:szCs w:val="21"/>
                      <w:lang w:eastAsia="zh-CN"/>
                    </w:rPr>
                    <w:t>1次/季度</w:t>
                  </w:r>
                </w:p>
              </w:tc>
              <w:tc>
                <w:tcPr>
                  <w:tcW w:w="433" w:type="pct"/>
                  <w:noWrap w:val="0"/>
                  <w:vAlign w:val="center"/>
                </w:tcPr>
                <w:p>
                  <w:pPr>
                    <w:pStyle w:val="289"/>
                    <w:adjustRightInd w:val="0"/>
                    <w:snapToGrid w:val="0"/>
                    <w:spacing w:after="0" w:line="240" w:lineRule="auto"/>
                    <w:ind w:left="0" w:leftChars="0"/>
                    <w:jc w:val="center"/>
                    <w:rPr>
                      <w:rFonts w:hint="default" w:ascii="Times New Roman" w:hAnsi="Times New Roman" w:eastAsia="宋体" w:cs="Times New Roman"/>
                      <w:bCs w:val="0"/>
                      <w:kern w:val="2"/>
                      <w:sz w:val="21"/>
                      <w:szCs w:val="21"/>
                      <w:lang w:val="en-US" w:eastAsia="zh-CN" w:bidi="ar-SA"/>
                    </w:rPr>
                  </w:pPr>
                  <w:r>
                    <w:rPr>
                      <w:rFonts w:hint="default" w:ascii="Times New Roman" w:hAnsi="Times New Roman" w:cs="Times New Roman"/>
                      <w:bCs w:val="0"/>
                      <w:kern w:val="2"/>
                      <w:sz w:val="21"/>
                      <w:szCs w:val="21"/>
                      <w:lang w:eastAsia="zh-CN"/>
                    </w:rPr>
                    <w:t>手工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40" w:hRule="atLeast"/>
                <w:jc w:val="center"/>
              </w:trPr>
              <w:tc>
                <w:tcPr>
                  <w:tcW w:w="409" w:type="pct"/>
                  <w:vMerge w:val="continue"/>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p>
              </w:tc>
              <w:tc>
                <w:tcPr>
                  <w:tcW w:w="590"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819" w:type="pct"/>
                  <w:noWrap w:val="0"/>
                  <w:vAlign w:val="center"/>
                </w:tcPr>
                <w:p>
                  <w:pPr>
                    <w:adjustRightInd w:val="0"/>
                    <w:snapToGrid w:val="0"/>
                    <w:jc w:val="center"/>
                    <w:rPr>
                      <w:rFonts w:hint="eastAsia" w:ascii="Times New Roman" w:hAnsi="Times New Roman" w:eastAsia="宋体" w:cs="Times New Roman"/>
                      <w:bCs w:val="0"/>
                      <w:szCs w:val="21"/>
                      <w:lang w:eastAsia="zh-CN"/>
                    </w:rPr>
                  </w:pPr>
                  <w:r>
                    <w:rPr>
                      <w:rFonts w:hint="eastAsia" w:ascii="Times New Roman" w:hAnsi="Times New Roman" w:cs="Times New Roman"/>
                      <w:bCs w:val="0"/>
                      <w:szCs w:val="21"/>
                      <w:lang w:eastAsia="zh-CN"/>
                    </w:rPr>
                    <w:t>氯气</w:t>
                  </w:r>
                </w:p>
              </w:tc>
              <w:tc>
                <w:tcPr>
                  <w:tcW w:w="1084" w:type="pct"/>
                  <w:vMerge w:val="continue"/>
                  <w:noWrap w:val="0"/>
                  <w:vAlign w:val="center"/>
                </w:tcPr>
                <w:p>
                  <w:pPr>
                    <w:adjustRightInd w:val="0"/>
                    <w:snapToGrid w:val="0"/>
                    <w:jc w:val="center"/>
                    <w:rPr>
                      <w:rFonts w:hint="default" w:ascii="Times New Roman" w:hAnsi="Times New Roman" w:cs="Times New Roman"/>
                      <w:bCs w:val="0"/>
                      <w:szCs w:val="21"/>
                    </w:rPr>
                  </w:pPr>
                </w:p>
              </w:tc>
              <w:tc>
                <w:tcPr>
                  <w:tcW w:w="691" w:type="pct"/>
                  <w:noWrap w:val="0"/>
                  <w:vAlign w:val="center"/>
                </w:tcPr>
                <w:p>
                  <w:pPr>
                    <w:adjustRightInd w:val="0"/>
                    <w:snapToGrid w:val="0"/>
                    <w:jc w:val="center"/>
                    <w:rPr>
                      <w:rFonts w:hint="default" w:ascii="Times New Roman" w:hAnsi="Times New Roman" w:eastAsia="宋体" w:cs="Times New Roman"/>
                      <w:bCs w:val="0"/>
                      <w:szCs w:val="21"/>
                      <w:lang w:val="en-US" w:eastAsia="zh-CN"/>
                    </w:rPr>
                  </w:pPr>
                  <w:r>
                    <w:rPr>
                      <w:rFonts w:hint="eastAsia" w:ascii="Times New Roman" w:hAnsi="Times New Roman" w:cs="Times New Roman"/>
                      <w:bCs w:val="0"/>
                      <w:szCs w:val="21"/>
                      <w:lang w:val="en-US" w:eastAsia="zh-CN"/>
                    </w:rPr>
                    <w:t>0.1</w:t>
                  </w:r>
                  <w:r>
                    <w:rPr>
                      <w:rFonts w:hint="default" w:ascii="Times New Roman" w:hAnsi="Times New Roman" w:cs="Times New Roman"/>
                      <w:bCs w:val="0"/>
                      <w:kern w:val="2"/>
                      <w:sz w:val="21"/>
                      <w:szCs w:val="21"/>
                      <w:lang w:eastAsia="zh-CN" w:bidi="ar-SA"/>
                    </w:rPr>
                    <w:t>mg/m</w:t>
                  </w:r>
                  <w:r>
                    <w:rPr>
                      <w:rFonts w:hint="default" w:ascii="Times New Roman" w:hAnsi="Times New Roman" w:cs="Times New Roman"/>
                      <w:bCs w:val="0"/>
                      <w:kern w:val="2"/>
                      <w:sz w:val="21"/>
                      <w:szCs w:val="21"/>
                      <w:vertAlign w:val="superscript"/>
                      <w:lang w:eastAsia="zh-CN" w:bidi="ar-SA"/>
                    </w:rPr>
                    <w:t>3</w:t>
                  </w:r>
                </w:p>
              </w:tc>
              <w:tc>
                <w:tcPr>
                  <w:tcW w:w="393" w:type="pct"/>
                  <w:noWrap w:val="0"/>
                  <w:vAlign w:val="center"/>
                </w:tcPr>
                <w:p>
                  <w:pPr>
                    <w:pStyle w:val="289"/>
                    <w:adjustRightInd w:val="0"/>
                    <w:snapToGrid w:val="0"/>
                    <w:spacing w:after="0" w:line="240" w:lineRule="auto"/>
                    <w:ind w:left="0" w:leftChars="0"/>
                    <w:jc w:val="center"/>
                    <w:rPr>
                      <w:rFonts w:hint="default" w:ascii="Times New Roman" w:hAnsi="Times New Roman" w:eastAsia="宋体" w:cs="Times New Roman"/>
                      <w:bCs w:val="0"/>
                      <w:kern w:val="2"/>
                      <w:sz w:val="21"/>
                      <w:szCs w:val="21"/>
                      <w:lang w:val="en-US" w:eastAsia="zh-CN" w:bidi="ar-SA"/>
                    </w:rPr>
                  </w:pPr>
                  <w:r>
                    <w:rPr>
                      <w:rFonts w:hint="default" w:ascii="Times New Roman" w:hAnsi="Times New Roman" w:cs="Times New Roman"/>
                      <w:bCs w:val="0"/>
                      <w:kern w:val="2"/>
                      <w:sz w:val="21"/>
                      <w:szCs w:val="21"/>
                      <w:lang w:eastAsia="zh-CN"/>
                    </w:rPr>
                    <w:t>手工</w:t>
                  </w:r>
                </w:p>
              </w:tc>
              <w:tc>
                <w:tcPr>
                  <w:tcW w:w="579" w:type="pct"/>
                  <w:noWrap w:val="0"/>
                  <w:vAlign w:val="center"/>
                </w:tcPr>
                <w:p>
                  <w:pPr>
                    <w:pStyle w:val="289"/>
                    <w:adjustRightInd w:val="0"/>
                    <w:snapToGrid w:val="0"/>
                    <w:spacing w:after="0" w:line="240" w:lineRule="auto"/>
                    <w:ind w:left="0" w:leftChars="0"/>
                    <w:jc w:val="center"/>
                    <w:rPr>
                      <w:rFonts w:hint="default" w:ascii="Times New Roman" w:hAnsi="Times New Roman" w:eastAsia="宋体" w:cs="Times New Roman"/>
                      <w:bCs w:val="0"/>
                      <w:kern w:val="2"/>
                      <w:sz w:val="21"/>
                      <w:szCs w:val="21"/>
                      <w:lang w:val="en-US" w:eastAsia="zh-CN" w:bidi="ar-SA"/>
                    </w:rPr>
                  </w:pPr>
                  <w:r>
                    <w:rPr>
                      <w:rFonts w:hint="default" w:ascii="Times New Roman" w:hAnsi="Times New Roman" w:cs="Times New Roman"/>
                      <w:bCs w:val="0"/>
                      <w:kern w:val="2"/>
                      <w:sz w:val="21"/>
                      <w:szCs w:val="21"/>
                      <w:lang w:eastAsia="zh-CN"/>
                    </w:rPr>
                    <w:t>1次/季度</w:t>
                  </w:r>
                </w:p>
              </w:tc>
              <w:tc>
                <w:tcPr>
                  <w:tcW w:w="433" w:type="pct"/>
                  <w:noWrap w:val="0"/>
                  <w:vAlign w:val="center"/>
                </w:tcPr>
                <w:p>
                  <w:pPr>
                    <w:pStyle w:val="289"/>
                    <w:adjustRightInd w:val="0"/>
                    <w:snapToGrid w:val="0"/>
                    <w:spacing w:after="0" w:line="240" w:lineRule="auto"/>
                    <w:ind w:left="0" w:leftChars="0"/>
                    <w:jc w:val="center"/>
                    <w:rPr>
                      <w:rFonts w:hint="default" w:ascii="Times New Roman" w:hAnsi="Times New Roman" w:eastAsia="宋体" w:cs="Times New Roman"/>
                      <w:bCs w:val="0"/>
                      <w:kern w:val="2"/>
                      <w:sz w:val="21"/>
                      <w:szCs w:val="21"/>
                      <w:lang w:val="en-US" w:eastAsia="zh-CN" w:bidi="ar-SA"/>
                    </w:rPr>
                  </w:pPr>
                  <w:r>
                    <w:rPr>
                      <w:rFonts w:hint="default" w:ascii="Times New Roman" w:hAnsi="Times New Roman" w:cs="Times New Roman"/>
                      <w:bCs w:val="0"/>
                      <w:kern w:val="2"/>
                      <w:sz w:val="21"/>
                      <w:szCs w:val="21"/>
                      <w:lang w:eastAsia="zh-CN"/>
                    </w:rPr>
                    <w:t>手工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7" w:hRule="atLeast"/>
                <w:jc w:val="center"/>
              </w:trPr>
              <w:tc>
                <w:tcPr>
                  <w:tcW w:w="409" w:type="pct"/>
                  <w:vMerge w:val="restart"/>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r>
                    <w:rPr>
                      <w:rFonts w:hint="default" w:ascii="Times New Roman" w:hAnsi="Times New Roman" w:cs="Times New Roman"/>
                      <w:bCs w:val="0"/>
                      <w:kern w:val="2"/>
                      <w:sz w:val="21"/>
                      <w:szCs w:val="21"/>
                      <w:lang w:eastAsia="zh-CN" w:bidi="ar-SA"/>
                    </w:rPr>
                    <w:t>废水</w:t>
                  </w:r>
                </w:p>
              </w:tc>
              <w:tc>
                <w:tcPr>
                  <w:tcW w:w="590" w:type="pct"/>
                  <w:vMerge w:val="restar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污水处理站出水口</w:t>
                  </w:r>
                </w:p>
              </w:tc>
              <w:tc>
                <w:tcPr>
                  <w:tcW w:w="819" w:type="pct"/>
                  <w:noWrap w:val="0"/>
                  <w:vAlign w:val="center"/>
                </w:tcPr>
                <w:p>
                  <w:pPr>
                    <w:adjustRightInd w:val="0"/>
                    <w:snapToGrid w:val="0"/>
                    <w:jc w:val="center"/>
                    <w:rPr>
                      <w:rFonts w:hint="default" w:ascii="Times New Roman" w:hAnsi="Times New Roman" w:cs="Times New Roman"/>
                      <w:bCs w:val="0"/>
                      <w:szCs w:val="21"/>
                    </w:rPr>
                  </w:pPr>
                  <w:r>
                    <w:rPr>
                      <w:rFonts w:hint="default" w:ascii="Times New Roman" w:hAnsi="Times New Roman" w:cs="Times New Roman"/>
                      <w:bCs w:val="0"/>
                      <w:szCs w:val="21"/>
                    </w:rPr>
                    <w:t>流量</w:t>
                  </w:r>
                </w:p>
              </w:tc>
              <w:tc>
                <w:tcPr>
                  <w:tcW w:w="1084" w:type="pct"/>
                  <w:vMerge w:val="restart"/>
                  <w:noWrap w:val="0"/>
                  <w:vAlign w:val="center"/>
                </w:tcPr>
                <w:p>
                  <w:pPr>
                    <w:adjustRightInd w:val="0"/>
                    <w:snapToGrid w:val="0"/>
                    <w:jc w:val="center"/>
                    <w:rPr>
                      <w:rFonts w:ascii="Times New Roman" w:hAnsi="Times New Roman" w:cs="Times New Roman"/>
                      <w:bCs w:val="0"/>
                      <w:szCs w:val="21"/>
                    </w:rPr>
                  </w:pPr>
                  <w:r>
                    <w:rPr>
                      <w:rFonts w:hint="default" w:ascii="Times New Roman" w:hAnsi="Times New Roman" w:cs="Times New Roman"/>
                      <w:bCs w:val="0"/>
                      <w:szCs w:val="21"/>
                    </w:rPr>
                    <w:t>医疗机构水污染物排放标准（GB 18466-2005）表2中预处理标准</w:t>
                  </w:r>
                </w:p>
              </w:tc>
              <w:tc>
                <w:tcPr>
                  <w:tcW w:w="691" w:type="pct"/>
                  <w:noWrap w:val="0"/>
                  <w:vAlign w:val="center"/>
                </w:tcPr>
                <w:p>
                  <w:pPr>
                    <w:adjustRightInd w:val="0"/>
                    <w:snapToGrid w:val="0"/>
                    <w:jc w:val="center"/>
                    <w:rPr>
                      <w:rFonts w:ascii="Times New Roman" w:hAnsi="Times New Roman" w:cs="Times New Roman"/>
                      <w:bCs w:val="0"/>
                      <w:szCs w:val="21"/>
                    </w:rPr>
                  </w:pPr>
                  <w:r>
                    <w:rPr>
                      <w:rFonts w:hint="default" w:ascii="Times New Roman" w:hAnsi="Times New Roman" w:cs="Times New Roman"/>
                      <w:bCs w:val="0"/>
                      <w:szCs w:val="21"/>
                    </w:rPr>
                    <w:t>/</w:t>
                  </w:r>
                </w:p>
              </w:tc>
              <w:tc>
                <w:tcPr>
                  <w:tcW w:w="39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自动</w:t>
                  </w:r>
                </w:p>
              </w:tc>
              <w:tc>
                <w:tcPr>
                  <w:tcW w:w="579"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自动</w:t>
                  </w:r>
                </w:p>
              </w:tc>
              <w:tc>
                <w:tcPr>
                  <w:tcW w:w="43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38" w:hRule="atLeast"/>
                <w:jc w:val="center"/>
              </w:trPr>
              <w:tc>
                <w:tcPr>
                  <w:tcW w:w="409" w:type="pct"/>
                  <w:vMerge w:val="continue"/>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p>
              </w:tc>
              <w:tc>
                <w:tcPr>
                  <w:tcW w:w="590"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819" w:type="pct"/>
                  <w:noWrap w:val="0"/>
                  <w:vAlign w:val="center"/>
                </w:tcPr>
                <w:p>
                  <w:pPr>
                    <w:jc w:val="center"/>
                    <w:rPr>
                      <w:rFonts w:hint="default" w:ascii="Times New Roman" w:hAnsi="Times New Roman" w:cs="Times New Roman"/>
                      <w:bCs w:val="0"/>
                      <w:szCs w:val="21"/>
                    </w:rPr>
                  </w:pPr>
                  <w:r>
                    <w:rPr>
                      <w:iCs/>
                      <w:szCs w:val="21"/>
                    </w:rPr>
                    <w:t>pH</w:t>
                  </w:r>
                </w:p>
              </w:tc>
              <w:tc>
                <w:tcPr>
                  <w:tcW w:w="1084" w:type="pct"/>
                  <w:vMerge w:val="continue"/>
                  <w:noWrap w:val="0"/>
                  <w:vAlign w:val="center"/>
                </w:tcPr>
                <w:p>
                  <w:pPr>
                    <w:adjustRightInd w:val="0"/>
                    <w:snapToGrid w:val="0"/>
                    <w:jc w:val="center"/>
                    <w:rPr>
                      <w:rFonts w:hint="default" w:ascii="Times New Roman" w:hAnsi="Times New Roman" w:cs="Times New Roman"/>
                      <w:bCs w:val="0"/>
                      <w:szCs w:val="21"/>
                    </w:rPr>
                  </w:pPr>
                </w:p>
              </w:tc>
              <w:tc>
                <w:tcPr>
                  <w:tcW w:w="691" w:type="pct"/>
                  <w:noWrap w:val="0"/>
                  <w:vAlign w:val="center"/>
                </w:tcPr>
                <w:p>
                  <w:pPr>
                    <w:jc w:val="center"/>
                    <w:rPr>
                      <w:rFonts w:hint="default"/>
                      <w:iCs/>
                      <w:kern w:val="2"/>
                      <w:sz w:val="21"/>
                      <w:szCs w:val="21"/>
                      <w:lang w:val="en-US" w:eastAsia="zh-CN" w:bidi="ar-SA"/>
                    </w:rPr>
                  </w:pPr>
                  <w:r>
                    <w:rPr>
                      <w:iCs/>
                      <w:szCs w:val="21"/>
                    </w:rPr>
                    <w:t>6-9</w:t>
                  </w:r>
                </w:p>
              </w:tc>
              <w:tc>
                <w:tcPr>
                  <w:tcW w:w="39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c>
                <w:tcPr>
                  <w:tcW w:w="579"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1次/12时</w:t>
                  </w:r>
                </w:p>
              </w:tc>
              <w:tc>
                <w:tcPr>
                  <w:tcW w:w="43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09" w:type="pct"/>
                  <w:vMerge w:val="continue"/>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p>
              </w:tc>
              <w:tc>
                <w:tcPr>
                  <w:tcW w:w="590"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819" w:type="pct"/>
                  <w:noWrap w:val="0"/>
                  <w:vAlign w:val="center"/>
                </w:tcPr>
                <w:p>
                  <w:pPr>
                    <w:jc w:val="center"/>
                    <w:rPr>
                      <w:rFonts w:hint="default" w:ascii="Times New Roman" w:hAnsi="Times New Roman" w:cs="Times New Roman"/>
                      <w:bCs w:val="0"/>
                      <w:szCs w:val="21"/>
                    </w:rPr>
                  </w:pPr>
                  <w:r>
                    <w:rPr>
                      <w:rFonts w:hint="eastAsia"/>
                      <w:iCs/>
                      <w:szCs w:val="21"/>
                    </w:rPr>
                    <w:t>色度</w:t>
                  </w:r>
                </w:p>
              </w:tc>
              <w:tc>
                <w:tcPr>
                  <w:tcW w:w="1084" w:type="pct"/>
                  <w:vMerge w:val="continue"/>
                  <w:noWrap w:val="0"/>
                  <w:vAlign w:val="center"/>
                </w:tcPr>
                <w:p>
                  <w:pPr>
                    <w:adjustRightInd w:val="0"/>
                    <w:snapToGrid w:val="0"/>
                    <w:jc w:val="center"/>
                    <w:rPr>
                      <w:rFonts w:hint="default" w:ascii="Times New Roman" w:hAnsi="Times New Roman" w:cs="Times New Roman"/>
                      <w:bCs w:val="0"/>
                      <w:szCs w:val="21"/>
                    </w:rPr>
                  </w:pPr>
                </w:p>
              </w:tc>
              <w:tc>
                <w:tcPr>
                  <w:tcW w:w="691" w:type="pct"/>
                  <w:noWrap w:val="0"/>
                  <w:vAlign w:val="center"/>
                </w:tcPr>
                <w:p>
                  <w:pPr>
                    <w:jc w:val="center"/>
                    <w:rPr>
                      <w:rFonts w:hint="default"/>
                      <w:iCs/>
                      <w:kern w:val="2"/>
                      <w:sz w:val="21"/>
                      <w:szCs w:val="21"/>
                      <w:lang w:val="en-US" w:eastAsia="zh-CN" w:bidi="ar-SA"/>
                    </w:rPr>
                  </w:pPr>
                  <w:r>
                    <w:rPr>
                      <w:rFonts w:hint="eastAsia"/>
                      <w:iCs/>
                      <w:szCs w:val="21"/>
                    </w:rPr>
                    <w:t>-</w:t>
                  </w:r>
                </w:p>
              </w:tc>
              <w:tc>
                <w:tcPr>
                  <w:tcW w:w="39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c>
                <w:tcPr>
                  <w:tcW w:w="579"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eastAsia" w:ascii="Times New Roman" w:hAnsi="Times New Roman" w:cs="Times New Roman"/>
                      <w:bCs w:val="0"/>
                      <w:kern w:val="2"/>
                      <w:sz w:val="21"/>
                      <w:szCs w:val="21"/>
                      <w:lang w:val="en-US" w:eastAsia="zh-CN"/>
                    </w:rPr>
                    <w:t>-</w:t>
                  </w:r>
                </w:p>
              </w:tc>
              <w:tc>
                <w:tcPr>
                  <w:tcW w:w="43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09" w:type="pct"/>
                  <w:vMerge w:val="continue"/>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p>
              </w:tc>
              <w:tc>
                <w:tcPr>
                  <w:tcW w:w="590"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819" w:type="pct"/>
                  <w:noWrap w:val="0"/>
                  <w:vAlign w:val="center"/>
                </w:tcPr>
                <w:p>
                  <w:pPr>
                    <w:jc w:val="center"/>
                    <w:rPr>
                      <w:rFonts w:hint="default" w:ascii="Times New Roman" w:hAnsi="Times New Roman" w:cs="Times New Roman"/>
                      <w:bCs w:val="0"/>
                      <w:szCs w:val="21"/>
                    </w:rPr>
                  </w:pPr>
                  <w:r>
                    <w:rPr>
                      <w:rFonts w:hint="eastAsia"/>
                      <w:iCs/>
                      <w:szCs w:val="21"/>
                    </w:rPr>
                    <w:t>悬浮物</w:t>
                  </w:r>
                </w:p>
              </w:tc>
              <w:tc>
                <w:tcPr>
                  <w:tcW w:w="1084" w:type="pct"/>
                  <w:vMerge w:val="continue"/>
                  <w:noWrap w:val="0"/>
                  <w:vAlign w:val="center"/>
                </w:tcPr>
                <w:p>
                  <w:pPr>
                    <w:adjustRightInd w:val="0"/>
                    <w:snapToGrid w:val="0"/>
                    <w:jc w:val="center"/>
                    <w:rPr>
                      <w:rFonts w:hint="default" w:ascii="Times New Roman" w:hAnsi="Times New Roman" w:cs="Times New Roman"/>
                      <w:bCs w:val="0"/>
                      <w:szCs w:val="21"/>
                    </w:rPr>
                  </w:pPr>
                </w:p>
              </w:tc>
              <w:tc>
                <w:tcPr>
                  <w:tcW w:w="691" w:type="pct"/>
                  <w:noWrap w:val="0"/>
                  <w:vAlign w:val="center"/>
                </w:tcPr>
                <w:p>
                  <w:pPr>
                    <w:jc w:val="center"/>
                    <w:rPr>
                      <w:rFonts w:hint="default"/>
                      <w:iCs/>
                      <w:kern w:val="2"/>
                      <w:sz w:val="21"/>
                      <w:szCs w:val="21"/>
                      <w:lang w:val="en-US" w:eastAsia="zh-CN" w:bidi="ar-SA"/>
                    </w:rPr>
                  </w:pPr>
                  <w:r>
                    <w:rPr>
                      <w:rFonts w:hint="eastAsia"/>
                      <w:iCs/>
                      <w:szCs w:val="21"/>
                    </w:rPr>
                    <w:t>60</w:t>
                  </w:r>
                </w:p>
              </w:tc>
              <w:tc>
                <w:tcPr>
                  <w:tcW w:w="39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c>
                <w:tcPr>
                  <w:tcW w:w="579"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1次/周</w:t>
                  </w:r>
                </w:p>
              </w:tc>
              <w:tc>
                <w:tcPr>
                  <w:tcW w:w="43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8" w:hRule="atLeast"/>
                <w:jc w:val="center"/>
              </w:trPr>
              <w:tc>
                <w:tcPr>
                  <w:tcW w:w="409" w:type="pct"/>
                  <w:vMerge w:val="continue"/>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p>
              </w:tc>
              <w:tc>
                <w:tcPr>
                  <w:tcW w:w="590"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819" w:type="pct"/>
                  <w:noWrap w:val="0"/>
                  <w:vAlign w:val="center"/>
                </w:tcPr>
                <w:p>
                  <w:pPr>
                    <w:jc w:val="center"/>
                    <w:rPr>
                      <w:rFonts w:hint="default" w:ascii="Times New Roman" w:hAnsi="Times New Roman" w:cs="Times New Roman"/>
                      <w:bCs w:val="0"/>
                      <w:szCs w:val="21"/>
                    </w:rPr>
                  </w:pPr>
                  <w:r>
                    <w:rPr>
                      <w:iCs/>
                      <w:szCs w:val="21"/>
                    </w:rPr>
                    <w:t>BOD</w:t>
                  </w:r>
                  <w:r>
                    <w:rPr>
                      <w:iCs/>
                      <w:szCs w:val="21"/>
                      <w:vertAlign w:val="subscript"/>
                    </w:rPr>
                    <w:t>5</w:t>
                  </w:r>
                </w:p>
              </w:tc>
              <w:tc>
                <w:tcPr>
                  <w:tcW w:w="1084" w:type="pct"/>
                  <w:vMerge w:val="continue"/>
                  <w:noWrap w:val="0"/>
                  <w:vAlign w:val="center"/>
                </w:tcPr>
                <w:p>
                  <w:pPr>
                    <w:adjustRightInd w:val="0"/>
                    <w:snapToGrid w:val="0"/>
                    <w:jc w:val="center"/>
                    <w:rPr>
                      <w:rFonts w:hint="default" w:ascii="Times New Roman" w:hAnsi="Times New Roman" w:cs="Times New Roman"/>
                      <w:bCs w:val="0"/>
                      <w:szCs w:val="21"/>
                    </w:rPr>
                  </w:pPr>
                </w:p>
              </w:tc>
              <w:tc>
                <w:tcPr>
                  <w:tcW w:w="691" w:type="pct"/>
                  <w:noWrap w:val="0"/>
                  <w:vAlign w:val="center"/>
                </w:tcPr>
                <w:p>
                  <w:pPr>
                    <w:jc w:val="center"/>
                    <w:rPr>
                      <w:rFonts w:hint="default"/>
                      <w:iCs/>
                      <w:kern w:val="2"/>
                      <w:sz w:val="21"/>
                      <w:szCs w:val="21"/>
                      <w:lang w:val="en-US" w:eastAsia="zh-CN" w:bidi="ar-SA"/>
                    </w:rPr>
                  </w:pPr>
                  <w:r>
                    <w:rPr>
                      <w:rFonts w:hint="eastAsia"/>
                      <w:iCs/>
                      <w:szCs w:val="21"/>
                    </w:rPr>
                    <w:t>100</w:t>
                  </w:r>
                </w:p>
              </w:tc>
              <w:tc>
                <w:tcPr>
                  <w:tcW w:w="39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c>
                <w:tcPr>
                  <w:tcW w:w="579"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1次/季度</w:t>
                  </w:r>
                </w:p>
              </w:tc>
              <w:tc>
                <w:tcPr>
                  <w:tcW w:w="43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1" w:hRule="atLeast"/>
                <w:jc w:val="center"/>
              </w:trPr>
              <w:tc>
                <w:tcPr>
                  <w:tcW w:w="409" w:type="pct"/>
                  <w:vMerge w:val="continue"/>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p>
              </w:tc>
              <w:tc>
                <w:tcPr>
                  <w:tcW w:w="590"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819" w:type="pct"/>
                  <w:noWrap w:val="0"/>
                  <w:vAlign w:val="center"/>
                </w:tcPr>
                <w:p>
                  <w:pPr>
                    <w:jc w:val="center"/>
                    <w:rPr>
                      <w:rFonts w:hint="default" w:ascii="Times New Roman" w:hAnsi="Times New Roman" w:cs="Times New Roman"/>
                      <w:bCs w:val="0"/>
                      <w:szCs w:val="21"/>
                    </w:rPr>
                  </w:pPr>
                  <w:r>
                    <w:rPr>
                      <w:iCs/>
                      <w:szCs w:val="21"/>
                    </w:rPr>
                    <w:t>COD</w:t>
                  </w:r>
                  <w:r>
                    <w:rPr>
                      <w:iCs/>
                      <w:szCs w:val="21"/>
                      <w:vertAlign w:val="subscript"/>
                    </w:rPr>
                    <w:t>cr</w:t>
                  </w:r>
                </w:p>
              </w:tc>
              <w:tc>
                <w:tcPr>
                  <w:tcW w:w="1084" w:type="pct"/>
                  <w:vMerge w:val="continue"/>
                  <w:noWrap w:val="0"/>
                  <w:vAlign w:val="center"/>
                </w:tcPr>
                <w:p>
                  <w:pPr>
                    <w:adjustRightInd w:val="0"/>
                    <w:snapToGrid w:val="0"/>
                    <w:jc w:val="center"/>
                    <w:rPr>
                      <w:rFonts w:hint="default" w:ascii="Times New Roman" w:hAnsi="Times New Roman" w:cs="Times New Roman"/>
                      <w:bCs w:val="0"/>
                      <w:szCs w:val="21"/>
                    </w:rPr>
                  </w:pPr>
                </w:p>
              </w:tc>
              <w:tc>
                <w:tcPr>
                  <w:tcW w:w="691" w:type="pct"/>
                  <w:noWrap w:val="0"/>
                  <w:vAlign w:val="center"/>
                </w:tcPr>
                <w:p>
                  <w:pPr>
                    <w:jc w:val="center"/>
                    <w:rPr>
                      <w:rFonts w:hint="default"/>
                      <w:iCs/>
                      <w:kern w:val="2"/>
                      <w:sz w:val="21"/>
                      <w:szCs w:val="21"/>
                      <w:lang w:val="en-US" w:eastAsia="zh-CN" w:bidi="ar-SA"/>
                    </w:rPr>
                  </w:pPr>
                  <w:r>
                    <w:rPr>
                      <w:rFonts w:hint="eastAsia"/>
                      <w:iCs/>
                      <w:szCs w:val="21"/>
                    </w:rPr>
                    <w:t>250</w:t>
                  </w:r>
                </w:p>
              </w:tc>
              <w:tc>
                <w:tcPr>
                  <w:tcW w:w="39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c>
                <w:tcPr>
                  <w:tcW w:w="579"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1次/</w:t>
                  </w:r>
                  <w:r>
                    <w:rPr>
                      <w:rFonts w:hint="eastAsia" w:ascii="Times New Roman" w:hAnsi="Times New Roman" w:cs="Times New Roman"/>
                      <w:bCs w:val="0"/>
                      <w:kern w:val="2"/>
                      <w:sz w:val="21"/>
                      <w:szCs w:val="21"/>
                      <w:lang w:eastAsia="zh-CN"/>
                    </w:rPr>
                    <w:t>周</w:t>
                  </w:r>
                </w:p>
              </w:tc>
              <w:tc>
                <w:tcPr>
                  <w:tcW w:w="43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01" w:hRule="atLeast"/>
                <w:jc w:val="center"/>
              </w:trPr>
              <w:tc>
                <w:tcPr>
                  <w:tcW w:w="409" w:type="pct"/>
                  <w:vMerge w:val="continue"/>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p>
              </w:tc>
              <w:tc>
                <w:tcPr>
                  <w:tcW w:w="590"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819" w:type="pct"/>
                  <w:noWrap w:val="0"/>
                  <w:vAlign w:val="center"/>
                </w:tcPr>
                <w:p>
                  <w:pPr>
                    <w:jc w:val="center"/>
                    <w:rPr>
                      <w:rFonts w:hint="default" w:ascii="Times New Roman" w:hAnsi="Times New Roman" w:cs="Times New Roman"/>
                      <w:bCs w:val="0"/>
                      <w:szCs w:val="21"/>
                    </w:rPr>
                  </w:pPr>
                  <w:r>
                    <w:rPr>
                      <w:rFonts w:hint="eastAsia"/>
                      <w:iCs/>
                      <w:szCs w:val="21"/>
                    </w:rPr>
                    <w:t>粪大肠菌群数</w:t>
                  </w:r>
                </w:p>
              </w:tc>
              <w:tc>
                <w:tcPr>
                  <w:tcW w:w="1084" w:type="pct"/>
                  <w:vMerge w:val="continue"/>
                  <w:noWrap w:val="0"/>
                  <w:vAlign w:val="center"/>
                </w:tcPr>
                <w:p>
                  <w:pPr>
                    <w:adjustRightInd w:val="0"/>
                    <w:snapToGrid w:val="0"/>
                    <w:jc w:val="center"/>
                    <w:rPr>
                      <w:rFonts w:hint="default" w:ascii="Times New Roman" w:hAnsi="Times New Roman" w:cs="Times New Roman"/>
                      <w:bCs w:val="0"/>
                      <w:szCs w:val="21"/>
                    </w:rPr>
                  </w:pPr>
                </w:p>
              </w:tc>
              <w:tc>
                <w:tcPr>
                  <w:tcW w:w="691" w:type="pct"/>
                  <w:noWrap w:val="0"/>
                  <w:vAlign w:val="center"/>
                </w:tcPr>
                <w:p>
                  <w:pPr>
                    <w:jc w:val="center"/>
                    <w:rPr>
                      <w:rFonts w:hint="default" w:eastAsia="宋体"/>
                      <w:iCs/>
                      <w:kern w:val="2"/>
                      <w:sz w:val="21"/>
                      <w:szCs w:val="21"/>
                      <w:lang w:val="en-US" w:eastAsia="zh-CN" w:bidi="ar-SA"/>
                    </w:rPr>
                  </w:pPr>
                  <w:r>
                    <w:rPr>
                      <w:rFonts w:hint="eastAsia"/>
                      <w:iCs/>
                      <w:szCs w:val="21"/>
                    </w:rPr>
                    <w:t>5000</w:t>
                  </w:r>
                  <w:r>
                    <w:rPr>
                      <w:rFonts w:hint="eastAsia"/>
                      <w:iCs/>
                      <w:szCs w:val="21"/>
                      <w:lang w:eastAsia="zh-CN"/>
                    </w:rPr>
                    <w:t>（</w:t>
                  </w:r>
                  <w:r>
                    <w:rPr>
                      <w:rFonts w:hint="eastAsia"/>
                      <w:iCs/>
                      <w:szCs w:val="21"/>
                    </w:rPr>
                    <w:t>MPN/L</w:t>
                  </w:r>
                  <w:r>
                    <w:rPr>
                      <w:rFonts w:hint="eastAsia"/>
                      <w:iCs/>
                      <w:szCs w:val="21"/>
                      <w:lang w:eastAsia="zh-CN"/>
                    </w:rPr>
                    <w:t>）</w:t>
                  </w:r>
                </w:p>
              </w:tc>
              <w:tc>
                <w:tcPr>
                  <w:tcW w:w="39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c>
                <w:tcPr>
                  <w:tcW w:w="579"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1次/</w:t>
                  </w:r>
                  <w:r>
                    <w:rPr>
                      <w:rFonts w:hint="eastAsia" w:ascii="Times New Roman" w:hAnsi="Times New Roman" w:cs="Times New Roman"/>
                      <w:bCs w:val="0"/>
                      <w:kern w:val="2"/>
                      <w:sz w:val="21"/>
                      <w:szCs w:val="21"/>
                      <w:lang w:eastAsia="zh-CN"/>
                    </w:rPr>
                    <w:t>月</w:t>
                  </w:r>
                </w:p>
              </w:tc>
              <w:tc>
                <w:tcPr>
                  <w:tcW w:w="43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5" w:hRule="atLeast"/>
                <w:jc w:val="center"/>
              </w:trPr>
              <w:tc>
                <w:tcPr>
                  <w:tcW w:w="409" w:type="pct"/>
                  <w:vMerge w:val="continue"/>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p>
              </w:tc>
              <w:tc>
                <w:tcPr>
                  <w:tcW w:w="590"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819" w:type="pct"/>
                  <w:noWrap w:val="0"/>
                  <w:vAlign w:val="center"/>
                </w:tcPr>
                <w:p>
                  <w:pPr>
                    <w:jc w:val="center"/>
                    <w:rPr>
                      <w:rFonts w:hint="default" w:ascii="Times New Roman" w:hAnsi="Times New Roman" w:cs="Times New Roman"/>
                      <w:bCs w:val="0"/>
                      <w:szCs w:val="21"/>
                    </w:rPr>
                  </w:pPr>
                  <w:r>
                    <w:rPr>
                      <w:rFonts w:hint="eastAsia"/>
                      <w:caps/>
                      <w:szCs w:val="21"/>
                    </w:rPr>
                    <w:t>总余氯</w:t>
                  </w:r>
                </w:p>
              </w:tc>
              <w:tc>
                <w:tcPr>
                  <w:tcW w:w="1084" w:type="pct"/>
                  <w:vMerge w:val="continue"/>
                  <w:noWrap w:val="0"/>
                  <w:vAlign w:val="center"/>
                </w:tcPr>
                <w:p>
                  <w:pPr>
                    <w:adjustRightInd w:val="0"/>
                    <w:snapToGrid w:val="0"/>
                    <w:jc w:val="center"/>
                    <w:rPr>
                      <w:rFonts w:hint="default" w:ascii="Times New Roman" w:hAnsi="Times New Roman" w:cs="Times New Roman"/>
                      <w:bCs w:val="0"/>
                      <w:szCs w:val="21"/>
                    </w:rPr>
                  </w:pPr>
                </w:p>
              </w:tc>
              <w:tc>
                <w:tcPr>
                  <w:tcW w:w="691" w:type="pct"/>
                  <w:noWrap w:val="0"/>
                  <w:vAlign w:val="center"/>
                </w:tcPr>
                <w:p>
                  <w:pPr>
                    <w:jc w:val="center"/>
                    <w:rPr>
                      <w:rFonts w:hint="default"/>
                      <w:iCs/>
                      <w:kern w:val="2"/>
                      <w:sz w:val="21"/>
                      <w:szCs w:val="21"/>
                      <w:lang w:val="en-US" w:eastAsia="zh-CN" w:bidi="ar-SA"/>
                    </w:rPr>
                  </w:pPr>
                  <w:r>
                    <w:rPr>
                      <w:rFonts w:hint="eastAsia"/>
                      <w:iCs/>
                      <w:szCs w:val="21"/>
                    </w:rPr>
                    <w:t>2-8</w:t>
                  </w:r>
                </w:p>
              </w:tc>
              <w:tc>
                <w:tcPr>
                  <w:tcW w:w="39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c>
                <w:tcPr>
                  <w:tcW w:w="579"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eastAsia" w:ascii="Times New Roman" w:hAnsi="Times New Roman" w:cs="Times New Roman"/>
                      <w:bCs w:val="0"/>
                      <w:kern w:val="2"/>
                      <w:sz w:val="21"/>
                      <w:szCs w:val="21"/>
                      <w:lang w:val="en-US" w:eastAsia="zh-CN"/>
                    </w:rPr>
                    <w:t>-</w:t>
                  </w:r>
                </w:p>
              </w:tc>
              <w:tc>
                <w:tcPr>
                  <w:tcW w:w="43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4" w:hRule="atLeast"/>
                <w:jc w:val="center"/>
              </w:trPr>
              <w:tc>
                <w:tcPr>
                  <w:tcW w:w="409" w:type="pct"/>
                  <w:vMerge w:val="continue"/>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p>
              </w:tc>
              <w:tc>
                <w:tcPr>
                  <w:tcW w:w="590"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819" w:type="pct"/>
                  <w:noWrap w:val="0"/>
                  <w:vAlign w:val="center"/>
                </w:tcPr>
                <w:p>
                  <w:pPr>
                    <w:jc w:val="center"/>
                    <w:rPr>
                      <w:rFonts w:hint="default" w:ascii="Times New Roman" w:hAnsi="Times New Roman" w:cs="Times New Roman"/>
                      <w:bCs w:val="0"/>
                      <w:szCs w:val="21"/>
                    </w:rPr>
                  </w:pPr>
                  <w:r>
                    <w:rPr>
                      <w:rFonts w:hint="eastAsia"/>
                      <w:caps/>
                      <w:szCs w:val="21"/>
                      <w:lang w:eastAsia="zh-CN"/>
                    </w:rPr>
                    <w:t>肠道致病菌</w:t>
                  </w:r>
                </w:p>
              </w:tc>
              <w:tc>
                <w:tcPr>
                  <w:tcW w:w="1084" w:type="pct"/>
                  <w:vMerge w:val="continue"/>
                  <w:noWrap w:val="0"/>
                  <w:vAlign w:val="center"/>
                </w:tcPr>
                <w:p>
                  <w:pPr>
                    <w:adjustRightInd w:val="0"/>
                    <w:snapToGrid w:val="0"/>
                    <w:jc w:val="center"/>
                    <w:rPr>
                      <w:rFonts w:hint="default" w:ascii="Times New Roman" w:hAnsi="Times New Roman" w:cs="Times New Roman"/>
                      <w:bCs w:val="0"/>
                      <w:szCs w:val="21"/>
                    </w:rPr>
                  </w:pPr>
                </w:p>
              </w:tc>
              <w:tc>
                <w:tcPr>
                  <w:tcW w:w="691" w:type="pct"/>
                  <w:noWrap w:val="0"/>
                  <w:vAlign w:val="center"/>
                </w:tcPr>
                <w:p>
                  <w:pPr>
                    <w:jc w:val="center"/>
                    <w:rPr>
                      <w:rFonts w:hint="default" w:eastAsia="宋体"/>
                      <w:iCs/>
                      <w:kern w:val="2"/>
                      <w:sz w:val="21"/>
                      <w:szCs w:val="21"/>
                      <w:lang w:val="en-US" w:eastAsia="zh-CN" w:bidi="ar-SA"/>
                    </w:rPr>
                  </w:pPr>
                  <w:r>
                    <w:rPr>
                      <w:rFonts w:hint="eastAsia"/>
                      <w:iCs/>
                      <w:szCs w:val="21"/>
                      <w:lang w:val="en-US" w:eastAsia="zh-CN"/>
                    </w:rPr>
                    <w:t>-</w:t>
                  </w:r>
                </w:p>
              </w:tc>
              <w:tc>
                <w:tcPr>
                  <w:tcW w:w="39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c>
                <w:tcPr>
                  <w:tcW w:w="579"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eastAsia" w:ascii="Times New Roman" w:hAnsi="Times New Roman" w:cs="Times New Roman"/>
                      <w:bCs w:val="0"/>
                      <w:kern w:val="2"/>
                      <w:sz w:val="21"/>
                      <w:szCs w:val="21"/>
                      <w:lang w:val="en-US" w:eastAsia="zh-CN"/>
                    </w:rPr>
                    <w:t>-</w:t>
                  </w:r>
                </w:p>
              </w:tc>
              <w:tc>
                <w:tcPr>
                  <w:tcW w:w="433"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4" w:hRule="atLeast"/>
                <w:jc w:val="center"/>
              </w:trPr>
              <w:tc>
                <w:tcPr>
                  <w:tcW w:w="409" w:type="pct"/>
                  <w:vMerge w:val="continue"/>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p>
              </w:tc>
              <w:tc>
                <w:tcPr>
                  <w:tcW w:w="590"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819" w:type="pct"/>
                  <w:noWrap w:val="0"/>
                  <w:vAlign w:val="center"/>
                </w:tcPr>
                <w:p>
                  <w:pPr>
                    <w:jc w:val="center"/>
                    <w:rPr>
                      <w:rFonts w:hint="default" w:ascii="Times New Roman" w:hAnsi="Times New Roman" w:cs="Times New Roman"/>
                      <w:bCs w:val="0"/>
                      <w:szCs w:val="21"/>
                    </w:rPr>
                  </w:pPr>
                  <w:r>
                    <w:rPr>
                      <w:rFonts w:hint="eastAsia"/>
                      <w:caps/>
                      <w:szCs w:val="21"/>
                      <w:lang w:eastAsia="zh-CN"/>
                    </w:rPr>
                    <w:t>肠道病毒</w:t>
                  </w:r>
                </w:p>
              </w:tc>
              <w:tc>
                <w:tcPr>
                  <w:tcW w:w="1084" w:type="pct"/>
                  <w:vMerge w:val="continue"/>
                  <w:noWrap w:val="0"/>
                  <w:vAlign w:val="center"/>
                </w:tcPr>
                <w:p>
                  <w:pPr>
                    <w:adjustRightInd w:val="0"/>
                    <w:snapToGrid w:val="0"/>
                    <w:jc w:val="center"/>
                    <w:rPr>
                      <w:rFonts w:hint="default" w:ascii="Times New Roman" w:hAnsi="Times New Roman" w:cs="Times New Roman"/>
                      <w:bCs w:val="0"/>
                      <w:szCs w:val="21"/>
                    </w:rPr>
                  </w:pPr>
                </w:p>
              </w:tc>
              <w:tc>
                <w:tcPr>
                  <w:tcW w:w="691" w:type="pct"/>
                  <w:noWrap w:val="0"/>
                  <w:vAlign w:val="center"/>
                </w:tcPr>
                <w:p>
                  <w:pPr>
                    <w:jc w:val="center"/>
                    <w:rPr>
                      <w:rFonts w:hint="default" w:eastAsia="宋体"/>
                      <w:iCs/>
                      <w:kern w:val="2"/>
                      <w:sz w:val="21"/>
                      <w:szCs w:val="21"/>
                      <w:lang w:val="en-US" w:eastAsia="zh-CN" w:bidi="ar-SA"/>
                    </w:rPr>
                  </w:pPr>
                  <w:r>
                    <w:rPr>
                      <w:rFonts w:hint="eastAsia"/>
                      <w:iCs/>
                      <w:szCs w:val="21"/>
                      <w:lang w:val="en-US" w:eastAsia="zh-CN"/>
                    </w:rPr>
                    <w:t>-</w:t>
                  </w:r>
                </w:p>
              </w:tc>
              <w:tc>
                <w:tcPr>
                  <w:tcW w:w="393" w:type="pct"/>
                  <w:noWrap w:val="0"/>
                  <w:vAlign w:val="center"/>
                </w:tcPr>
                <w:p>
                  <w:pPr>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c>
                <w:tcPr>
                  <w:tcW w:w="579"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val="en-US" w:eastAsia="zh-CN"/>
                    </w:rPr>
                  </w:pPr>
                  <w:r>
                    <w:rPr>
                      <w:rFonts w:hint="eastAsia" w:ascii="Times New Roman" w:hAnsi="Times New Roman" w:cs="Times New Roman"/>
                      <w:bCs w:val="0"/>
                      <w:kern w:val="2"/>
                      <w:sz w:val="21"/>
                      <w:szCs w:val="21"/>
                      <w:lang w:val="en-US" w:eastAsia="zh-CN"/>
                    </w:rPr>
                    <w:t>-</w:t>
                  </w:r>
                </w:p>
              </w:tc>
              <w:tc>
                <w:tcPr>
                  <w:tcW w:w="433" w:type="pct"/>
                  <w:noWrap w:val="0"/>
                  <w:vAlign w:val="center"/>
                </w:tcPr>
                <w:p>
                  <w:pPr>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4" w:hRule="atLeast"/>
                <w:jc w:val="center"/>
              </w:trPr>
              <w:tc>
                <w:tcPr>
                  <w:tcW w:w="409" w:type="pct"/>
                  <w:vMerge w:val="continue"/>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p>
              </w:tc>
              <w:tc>
                <w:tcPr>
                  <w:tcW w:w="590"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819" w:type="pct"/>
                  <w:noWrap w:val="0"/>
                  <w:vAlign w:val="center"/>
                </w:tcPr>
                <w:p>
                  <w:pPr>
                    <w:jc w:val="center"/>
                    <w:rPr>
                      <w:rFonts w:hint="default" w:ascii="Times New Roman" w:hAnsi="Times New Roman" w:cs="Times New Roman"/>
                      <w:bCs w:val="0"/>
                      <w:szCs w:val="21"/>
                    </w:rPr>
                  </w:pPr>
                  <w:r>
                    <w:rPr>
                      <w:rFonts w:hint="eastAsia"/>
                      <w:caps/>
                      <w:szCs w:val="21"/>
                      <w:lang w:eastAsia="zh-CN"/>
                    </w:rPr>
                    <w:t>氨氮</w:t>
                  </w:r>
                </w:p>
              </w:tc>
              <w:tc>
                <w:tcPr>
                  <w:tcW w:w="1084" w:type="pct"/>
                  <w:vMerge w:val="continue"/>
                  <w:noWrap w:val="0"/>
                  <w:vAlign w:val="center"/>
                </w:tcPr>
                <w:p>
                  <w:pPr>
                    <w:adjustRightInd w:val="0"/>
                    <w:snapToGrid w:val="0"/>
                    <w:jc w:val="center"/>
                    <w:rPr>
                      <w:rFonts w:hint="default" w:ascii="Times New Roman" w:hAnsi="Times New Roman" w:cs="Times New Roman"/>
                      <w:bCs w:val="0"/>
                      <w:szCs w:val="21"/>
                    </w:rPr>
                  </w:pPr>
                </w:p>
              </w:tc>
              <w:tc>
                <w:tcPr>
                  <w:tcW w:w="691" w:type="pct"/>
                  <w:noWrap w:val="0"/>
                  <w:vAlign w:val="center"/>
                </w:tcPr>
                <w:p>
                  <w:pPr>
                    <w:jc w:val="center"/>
                    <w:rPr>
                      <w:rFonts w:hint="default" w:eastAsia="宋体"/>
                      <w:iCs/>
                      <w:kern w:val="2"/>
                      <w:sz w:val="21"/>
                      <w:szCs w:val="21"/>
                      <w:lang w:val="en-US" w:eastAsia="zh-CN" w:bidi="ar-SA"/>
                    </w:rPr>
                  </w:pPr>
                  <w:r>
                    <w:rPr>
                      <w:rFonts w:hint="eastAsia"/>
                      <w:iCs/>
                      <w:szCs w:val="21"/>
                      <w:lang w:val="en-US" w:eastAsia="zh-CN"/>
                    </w:rPr>
                    <w:t>-</w:t>
                  </w:r>
                </w:p>
              </w:tc>
              <w:tc>
                <w:tcPr>
                  <w:tcW w:w="393" w:type="pct"/>
                  <w:noWrap w:val="0"/>
                  <w:vAlign w:val="center"/>
                </w:tcPr>
                <w:p>
                  <w:pPr>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c>
                <w:tcPr>
                  <w:tcW w:w="579" w:type="pc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val="en-US" w:eastAsia="zh-CN"/>
                    </w:rPr>
                  </w:pPr>
                  <w:r>
                    <w:rPr>
                      <w:rFonts w:hint="eastAsia" w:ascii="Times New Roman" w:hAnsi="Times New Roman" w:cs="Times New Roman"/>
                      <w:bCs w:val="0"/>
                      <w:kern w:val="2"/>
                      <w:sz w:val="21"/>
                      <w:szCs w:val="21"/>
                      <w:lang w:val="en-US" w:eastAsia="zh-CN"/>
                    </w:rPr>
                    <w:t>-</w:t>
                  </w:r>
                </w:p>
              </w:tc>
              <w:tc>
                <w:tcPr>
                  <w:tcW w:w="433" w:type="pct"/>
                  <w:noWrap w:val="0"/>
                  <w:vAlign w:val="center"/>
                </w:tcPr>
                <w:p>
                  <w:pPr>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4" w:hRule="atLeast"/>
                <w:jc w:val="center"/>
              </w:trPr>
              <w:tc>
                <w:tcPr>
                  <w:tcW w:w="409" w:type="pct"/>
                  <w:vMerge w:val="continue"/>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p>
              </w:tc>
              <w:tc>
                <w:tcPr>
                  <w:tcW w:w="590"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819" w:type="pct"/>
                  <w:noWrap w:val="0"/>
                  <w:vAlign w:val="center"/>
                </w:tcPr>
                <w:p>
                  <w:pPr>
                    <w:jc w:val="center"/>
                    <w:rPr>
                      <w:rFonts w:hint="eastAsia"/>
                      <w:caps/>
                      <w:szCs w:val="21"/>
                      <w:lang w:eastAsia="zh-CN"/>
                    </w:rPr>
                  </w:pPr>
                  <w:r>
                    <w:rPr>
                      <w:rFonts w:hint="eastAsia"/>
                      <w:caps/>
                      <w:szCs w:val="21"/>
                      <w:lang w:eastAsia="zh-CN"/>
                    </w:rPr>
                    <w:t>动植物油</w:t>
                  </w:r>
                </w:p>
              </w:tc>
              <w:tc>
                <w:tcPr>
                  <w:tcW w:w="1084" w:type="pct"/>
                  <w:vMerge w:val="continue"/>
                  <w:noWrap w:val="0"/>
                  <w:vAlign w:val="center"/>
                </w:tcPr>
                <w:p>
                  <w:pPr>
                    <w:adjustRightInd w:val="0"/>
                    <w:snapToGrid w:val="0"/>
                    <w:jc w:val="center"/>
                    <w:rPr>
                      <w:rFonts w:hint="default" w:ascii="Times New Roman" w:hAnsi="Times New Roman" w:cs="Times New Roman"/>
                      <w:bCs w:val="0"/>
                      <w:szCs w:val="21"/>
                    </w:rPr>
                  </w:pPr>
                </w:p>
              </w:tc>
              <w:tc>
                <w:tcPr>
                  <w:tcW w:w="691" w:type="pct"/>
                  <w:noWrap w:val="0"/>
                  <w:vAlign w:val="center"/>
                </w:tcPr>
                <w:p>
                  <w:pPr>
                    <w:jc w:val="center"/>
                    <w:rPr>
                      <w:rFonts w:hint="default" w:eastAsia="宋体"/>
                      <w:iCs/>
                      <w:kern w:val="2"/>
                      <w:sz w:val="21"/>
                      <w:szCs w:val="21"/>
                      <w:lang w:val="en-US" w:eastAsia="zh-CN" w:bidi="ar-SA"/>
                    </w:rPr>
                  </w:pPr>
                  <w:r>
                    <w:rPr>
                      <w:rFonts w:hint="eastAsia"/>
                      <w:iCs/>
                      <w:szCs w:val="21"/>
                      <w:lang w:val="en-US" w:eastAsia="zh-CN"/>
                    </w:rPr>
                    <w:t>20</w:t>
                  </w:r>
                </w:p>
              </w:tc>
              <w:tc>
                <w:tcPr>
                  <w:tcW w:w="393" w:type="pct"/>
                  <w:noWrap w:val="0"/>
                  <w:vAlign w:val="center"/>
                </w:tcPr>
                <w:p>
                  <w:pPr>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c>
                <w:tcPr>
                  <w:tcW w:w="579" w:type="pct"/>
                  <w:noWrap w:val="0"/>
                  <w:vAlign w:val="center"/>
                </w:tcPr>
                <w:p>
                  <w:pPr>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1次/季度</w:t>
                  </w:r>
                </w:p>
              </w:tc>
              <w:tc>
                <w:tcPr>
                  <w:tcW w:w="433" w:type="pct"/>
                  <w:noWrap w:val="0"/>
                  <w:vAlign w:val="center"/>
                </w:tcPr>
                <w:p>
                  <w:pPr>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4" w:hRule="atLeast"/>
                <w:jc w:val="center"/>
              </w:trPr>
              <w:tc>
                <w:tcPr>
                  <w:tcW w:w="409" w:type="pct"/>
                  <w:vMerge w:val="continue"/>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p>
              </w:tc>
              <w:tc>
                <w:tcPr>
                  <w:tcW w:w="590"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819" w:type="pct"/>
                  <w:noWrap w:val="0"/>
                  <w:vAlign w:val="center"/>
                </w:tcPr>
                <w:p>
                  <w:pPr>
                    <w:jc w:val="center"/>
                    <w:rPr>
                      <w:rFonts w:hint="eastAsia"/>
                      <w:caps/>
                      <w:szCs w:val="21"/>
                      <w:lang w:eastAsia="zh-CN"/>
                    </w:rPr>
                  </w:pPr>
                  <w:r>
                    <w:rPr>
                      <w:rFonts w:hint="eastAsia"/>
                      <w:caps/>
                      <w:szCs w:val="21"/>
                      <w:lang w:eastAsia="zh-CN"/>
                    </w:rPr>
                    <w:t>石油类</w:t>
                  </w:r>
                </w:p>
              </w:tc>
              <w:tc>
                <w:tcPr>
                  <w:tcW w:w="1084" w:type="pct"/>
                  <w:vMerge w:val="continue"/>
                  <w:noWrap w:val="0"/>
                  <w:vAlign w:val="center"/>
                </w:tcPr>
                <w:p>
                  <w:pPr>
                    <w:adjustRightInd w:val="0"/>
                    <w:snapToGrid w:val="0"/>
                    <w:jc w:val="center"/>
                    <w:rPr>
                      <w:rFonts w:hint="default" w:ascii="Times New Roman" w:hAnsi="Times New Roman" w:cs="Times New Roman"/>
                      <w:bCs w:val="0"/>
                      <w:szCs w:val="21"/>
                    </w:rPr>
                  </w:pPr>
                </w:p>
              </w:tc>
              <w:tc>
                <w:tcPr>
                  <w:tcW w:w="691" w:type="pct"/>
                  <w:noWrap w:val="0"/>
                  <w:vAlign w:val="center"/>
                </w:tcPr>
                <w:p>
                  <w:pPr>
                    <w:jc w:val="center"/>
                    <w:rPr>
                      <w:rFonts w:hint="default" w:eastAsia="宋体"/>
                      <w:iCs/>
                      <w:kern w:val="2"/>
                      <w:sz w:val="21"/>
                      <w:szCs w:val="21"/>
                      <w:lang w:val="en-US" w:eastAsia="zh-CN" w:bidi="ar-SA"/>
                    </w:rPr>
                  </w:pPr>
                  <w:r>
                    <w:rPr>
                      <w:rFonts w:hint="eastAsia"/>
                      <w:iCs/>
                      <w:szCs w:val="21"/>
                      <w:lang w:val="en-US" w:eastAsia="zh-CN"/>
                    </w:rPr>
                    <w:t>20</w:t>
                  </w:r>
                </w:p>
              </w:tc>
              <w:tc>
                <w:tcPr>
                  <w:tcW w:w="393" w:type="pct"/>
                  <w:noWrap w:val="0"/>
                  <w:vAlign w:val="center"/>
                </w:tcPr>
                <w:p>
                  <w:pPr>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c>
                <w:tcPr>
                  <w:tcW w:w="579" w:type="pct"/>
                  <w:noWrap w:val="0"/>
                  <w:vAlign w:val="center"/>
                </w:tcPr>
                <w:p>
                  <w:pPr>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1次/季度</w:t>
                  </w:r>
                </w:p>
              </w:tc>
              <w:tc>
                <w:tcPr>
                  <w:tcW w:w="433" w:type="pct"/>
                  <w:noWrap w:val="0"/>
                  <w:vAlign w:val="center"/>
                </w:tcPr>
                <w:p>
                  <w:pPr>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4" w:hRule="atLeast"/>
                <w:jc w:val="center"/>
              </w:trPr>
              <w:tc>
                <w:tcPr>
                  <w:tcW w:w="409" w:type="pct"/>
                  <w:vMerge w:val="continue"/>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p>
              </w:tc>
              <w:tc>
                <w:tcPr>
                  <w:tcW w:w="590"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819" w:type="pct"/>
                  <w:noWrap w:val="0"/>
                  <w:vAlign w:val="center"/>
                </w:tcPr>
                <w:p>
                  <w:pPr>
                    <w:jc w:val="center"/>
                    <w:rPr>
                      <w:rFonts w:hint="eastAsia"/>
                      <w:caps/>
                      <w:szCs w:val="21"/>
                      <w:lang w:eastAsia="zh-CN"/>
                    </w:rPr>
                  </w:pPr>
                  <w:r>
                    <w:rPr>
                      <w:rFonts w:hint="eastAsia"/>
                      <w:caps/>
                      <w:szCs w:val="21"/>
                      <w:lang w:eastAsia="zh-CN"/>
                    </w:rPr>
                    <w:t>阴离子表面活性剂</w:t>
                  </w:r>
                </w:p>
              </w:tc>
              <w:tc>
                <w:tcPr>
                  <w:tcW w:w="1084" w:type="pct"/>
                  <w:vMerge w:val="continue"/>
                  <w:noWrap w:val="0"/>
                  <w:vAlign w:val="center"/>
                </w:tcPr>
                <w:p>
                  <w:pPr>
                    <w:adjustRightInd w:val="0"/>
                    <w:snapToGrid w:val="0"/>
                    <w:jc w:val="center"/>
                    <w:rPr>
                      <w:rFonts w:hint="default" w:ascii="Times New Roman" w:hAnsi="Times New Roman" w:cs="Times New Roman"/>
                      <w:bCs w:val="0"/>
                      <w:szCs w:val="21"/>
                    </w:rPr>
                  </w:pPr>
                </w:p>
              </w:tc>
              <w:tc>
                <w:tcPr>
                  <w:tcW w:w="691" w:type="pct"/>
                  <w:noWrap w:val="0"/>
                  <w:vAlign w:val="center"/>
                </w:tcPr>
                <w:p>
                  <w:pPr>
                    <w:jc w:val="center"/>
                    <w:rPr>
                      <w:rFonts w:hint="default" w:eastAsia="宋体"/>
                      <w:iCs/>
                      <w:kern w:val="2"/>
                      <w:sz w:val="21"/>
                      <w:szCs w:val="21"/>
                      <w:lang w:val="en-US" w:eastAsia="zh-CN" w:bidi="ar-SA"/>
                    </w:rPr>
                  </w:pPr>
                  <w:r>
                    <w:rPr>
                      <w:rFonts w:hint="eastAsia"/>
                      <w:iCs/>
                      <w:szCs w:val="21"/>
                      <w:lang w:val="en-US" w:eastAsia="zh-CN"/>
                    </w:rPr>
                    <w:t>10</w:t>
                  </w:r>
                </w:p>
              </w:tc>
              <w:tc>
                <w:tcPr>
                  <w:tcW w:w="393" w:type="pct"/>
                  <w:noWrap w:val="0"/>
                  <w:vAlign w:val="center"/>
                </w:tcPr>
                <w:p>
                  <w:pPr>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c>
                <w:tcPr>
                  <w:tcW w:w="579" w:type="pct"/>
                  <w:noWrap w:val="0"/>
                  <w:vAlign w:val="center"/>
                </w:tcPr>
                <w:p>
                  <w:pPr>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1次/季度</w:t>
                  </w:r>
                </w:p>
              </w:tc>
              <w:tc>
                <w:tcPr>
                  <w:tcW w:w="433" w:type="pct"/>
                  <w:noWrap w:val="0"/>
                  <w:vAlign w:val="center"/>
                </w:tcPr>
                <w:p>
                  <w:pPr>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4" w:hRule="atLeast"/>
                <w:jc w:val="center"/>
              </w:trPr>
              <w:tc>
                <w:tcPr>
                  <w:tcW w:w="409" w:type="pct"/>
                  <w:vMerge w:val="continue"/>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p>
              </w:tc>
              <w:tc>
                <w:tcPr>
                  <w:tcW w:w="590"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819" w:type="pct"/>
                  <w:noWrap w:val="0"/>
                  <w:vAlign w:val="center"/>
                </w:tcPr>
                <w:p>
                  <w:pPr>
                    <w:jc w:val="center"/>
                    <w:rPr>
                      <w:rFonts w:hint="eastAsia"/>
                      <w:caps/>
                      <w:szCs w:val="21"/>
                      <w:lang w:eastAsia="zh-CN"/>
                    </w:rPr>
                  </w:pPr>
                  <w:r>
                    <w:rPr>
                      <w:rFonts w:hint="eastAsia"/>
                      <w:caps/>
                      <w:szCs w:val="21"/>
                      <w:lang w:eastAsia="zh-CN"/>
                    </w:rPr>
                    <w:t>挥发酚</w:t>
                  </w:r>
                </w:p>
              </w:tc>
              <w:tc>
                <w:tcPr>
                  <w:tcW w:w="1084" w:type="pct"/>
                  <w:vMerge w:val="continue"/>
                  <w:noWrap w:val="0"/>
                  <w:vAlign w:val="center"/>
                </w:tcPr>
                <w:p>
                  <w:pPr>
                    <w:adjustRightInd w:val="0"/>
                    <w:snapToGrid w:val="0"/>
                    <w:jc w:val="center"/>
                    <w:rPr>
                      <w:rFonts w:hint="default" w:ascii="Times New Roman" w:hAnsi="Times New Roman" w:cs="Times New Roman"/>
                      <w:bCs w:val="0"/>
                      <w:szCs w:val="21"/>
                    </w:rPr>
                  </w:pPr>
                </w:p>
              </w:tc>
              <w:tc>
                <w:tcPr>
                  <w:tcW w:w="691" w:type="pct"/>
                  <w:noWrap w:val="0"/>
                  <w:vAlign w:val="center"/>
                </w:tcPr>
                <w:p>
                  <w:pPr>
                    <w:jc w:val="center"/>
                    <w:rPr>
                      <w:rFonts w:hint="default" w:eastAsia="宋体"/>
                      <w:iCs/>
                      <w:kern w:val="2"/>
                      <w:sz w:val="21"/>
                      <w:szCs w:val="21"/>
                      <w:lang w:val="en-US" w:eastAsia="zh-CN" w:bidi="ar-SA"/>
                    </w:rPr>
                  </w:pPr>
                  <w:r>
                    <w:rPr>
                      <w:rFonts w:hint="eastAsia"/>
                      <w:iCs/>
                      <w:szCs w:val="21"/>
                      <w:lang w:val="en-US" w:eastAsia="zh-CN"/>
                    </w:rPr>
                    <w:t>1.0</w:t>
                  </w:r>
                </w:p>
              </w:tc>
              <w:tc>
                <w:tcPr>
                  <w:tcW w:w="393" w:type="pct"/>
                  <w:noWrap w:val="0"/>
                  <w:vAlign w:val="center"/>
                </w:tcPr>
                <w:p>
                  <w:pPr>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c>
                <w:tcPr>
                  <w:tcW w:w="579" w:type="pct"/>
                  <w:noWrap w:val="0"/>
                  <w:vAlign w:val="center"/>
                </w:tcPr>
                <w:p>
                  <w:pPr>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1次/季度</w:t>
                  </w:r>
                </w:p>
              </w:tc>
              <w:tc>
                <w:tcPr>
                  <w:tcW w:w="433" w:type="pct"/>
                  <w:noWrap w:val="0"/>
                  <w:vAlign w:val="center"/>
                </w:tcPr>
                <w:p>
                  <w:pPr>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4" w:hRule="atLeast"/>
                <w:jc w:val="center"/>
              </w:trPr>
              <w:tc>
                <w:tcPr>
                  <w:tcW w:w="409" w:type="pct"/>
                  <w:vMerge w:val="continue"/>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p>
              </w:tc>
              <w:tc>
                <w:tcPr>
                  <w:tcW w:w="590"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819" w:type="pct"/>
                  <w:noWrap w:val="0"/>
                  <w:vAlign w:val="center"/>
                </w:tcPr>
                <w:p>
                  <w:pPr>
                    <w:jc w:val="center"/>
                    <w:rPr>
                      <w:rFonts w:hint="eastAsia"/>
                      <w:caps/>
                      <w:szCs w:val="21"/>
                      <w:lang w:eastAsia="zh-CN"/>
                    </w:rPr>
                  </w:pPr>
                  <w:r>
                    <w:rPr>
                      <w:rFonts w:hint="eastAsia"/>
                      <w:caps/>
                      <w:szCs w:val="21"/>
                      <w:lang w:eastAsia="zh-CN"/>
                    </w:rPr>
                    <w:t>总氰化物</w:t>
                  </w:r>
                </w:p>
              </w:tc>
              <w:tc>
                <w:tcPr>
                  <w:tcW w:w="1084" w:type="pct"/>
                  <w:vMerge w:val="continue"/>
                  <w:noWrap w:val="0"/>
                  <w:vAlign w:val="center"/>
                </w:tcPr>
                <w:p>
                  <w:pPr>
                    <w:adjustRightInd w:val="0"/>
                    <w:snapToGrid w:val="0"/>
                    <w:jc w:val="center"/>
                    <w:rPr>
                      <w:rFonts w:hint="default" w:ascii="Times New Roman" w:hAnsi="Times New Roman" w:cs="Times New Roman"/>
                      <w:bCs w:val="0"/>
                      <w:szCs w:val="21"/>
                    </w:rPr>
                  </w:pPr>
                </w:p>
              </w:tc>
              <w:tc>
                <w:tcPr>
                  <w:tcW w:w="691" w:type="pct"/>
                  <w:noWrap w:val="0"/>
                  <w:vAlign w:val="center"/>
                </w:tcPr>
                <w:p>
                  <w:pPr>
                    <w:jc w:val="center"/>
                    <w:rPr>
                      <w:rFonts w:hint="default" w:eastAsia="宋体"/>
                      <w:iCs/>
                      <w:kern w:val="2"/>
                      <w:sz w:val="21"/>
                      <w:szCs w:val="21"/>
                      <w:lang w:val="en-US" w:eastAsia="zh-CN" w:bidi="ar-SA"/>
                    </w:rPr>
                  </w:pPr>
                  <w:r>
                    <w:rPr>
                      <w:rFonts w:hint="eastAsia"/>
                      <w:iCs/>
                      <w:szCs w:val="21"/>
                      <w:lang w:val="en-US" w:eastAsia="zh-CN"/>
                    </w:rPr>
                    <w:t>0.5</w:t>
                  </w:r>
                </w:p>
              </w:tc>
              <w:tc>
                <w:tcPr>
                  <w:tcW w:w="393" w:type="pct"/>
                  <w:noWrap w:val="0"/>
                  <w:vAlign w:val="center"/>
                </w:tcPr>
                <w:p>
                  <w:pPr>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c>
                <w:tcPr>
                  <w:tcW w:w="579" w:type="pct"/>
                  <w:noWrap w:val="0"/>
                  <w:vAlign w:val="center"/>
                </w:tcPr>
                <w:p>
                  <w:pPr>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1次/季度</w:t>
                  </w:r>
                </w:p>
              </w:tc>
              <w:tc>
                <w:tcPr>
                  <w:tcW w:w="433" w:type="pct"/>
                  <w:noWrap w:val="0"/>
                  <w:vAlign w:val="center"/>
                </w:tcPr>
                <w:p>
                  <w:pPr>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手工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2" w:hRule="atLeast"/>
                <w:jc w:val="center"/>
              </w:trPr>
              <w:tc>
                <w:tcPr>
                  <w:tcW w:w="409" w:type="pct"/>
                  <w:vMerge w:val="restart"/>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r>
                    <w:rPr>
                      <w:rFonts w:hint="default" w:ascii="Times New Roman" w:hAnsi="Times New Roman" w:cs="Times New Roman"/>
                      <w:bCs w:val="0"/>
                      <w:kern w:val="2"/>
                      <w:sz w:val="21"/>
                      <w:szCs w:val="21"/>
                      <w:lang w:eastAsia="zh-CN" w:bidi="ar-SA"/>
                    </w:rPr>
                    <w:t>噪声</w:t>
                  </w:r>
                </w:p>
              </w:tc>
              <w:tc>
                <w:tcPr>
                  <w:tcW w:w="590" w:type="pct"/>
                  <w:vMerge w:val="restart"/>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场界四周</w:t>
                  </w:r>
                </w:p>
              </w:tc>
              <w:tc>
                <w:tcPr>
                  <w:tcW w:w="819" w:type="pct"/>
                  <w:vMerge w:val="restart"/>
                  <w:noWrap w:val="0"/>
                  <w:vAlign w:val="center"/>
                </w:tcPr>
                <w:p>
                  <w:pPr>
                    <w:adjustRightInd w:val="0"/>
                    <w:snapToGrid w:val="0"/>
                    <w:jc w:val="center"/>
                    <w:rPr>
                      <w:rFonts w:hint="default" w:ascii="Times New Roman" w:hAnsi="Times New Roman" w:cs="Times New Roman"/>
                      <w:bCs w:val="0"/>
                      <w:szCs w:val="21"/>
                    </w:rPr>
                  </w:pPr>
                  <w:r>
                    <w:rPr>
                      <w:rFonts w:hint="default" w:ascii="Times New Roman" w:hAnsi="Times New Roman" w:cs="Times New Roman"/>
                      <w:bCs w:val="0"/>
                      <w:szCs w:val="21"/>
                    </w:rPr>
                    <w:t>场界噪声</w:t>
                  </w:r>
                </w:p>
              </w:tc>
              <w:tc>
                <w:tcPr>
                  <w:tcW w:w="1084" w:type="pct"/>
                  <w:vMerge w:val="restart"/>
                  <w:noWrap w:val="0"/>
                  <w:vAlign w:val="center"/>
                </w:tcPr>
                <w:p>
                  <w:pPr>
                    <w:adjustRightInd w:val="0"/>
                    <w:snapToGrid w:val="0"/>
                    <w:jc w:val="center"/>
                    <w:rPr>
                      <w:rFonts w:hint="default" w:ascii="Times New Roman" w:hAnsi="Times New Roman" w:cs="Times New Roman"/>
                      <w:bCs w:val="0"/>
                      <w:szCs w:val="21"/>
                    </w:rPr>
                  </w:pPr>
                  <w:r>
                    <w:rPr>
                      <w:szCs w:val="21"/>
                    </w:rPr>
                    <w:t>《工业企业厂界环境噪声排放标准》(GBl2348-2008)2类标准</w:t>
                  </w:r>
                </w:p>
              </w:tc>
              <w:tc>
                <w:tcPr>
                  <w:tcW w:w="691" w:type="pct"/>
                  <w:noWrap w:val="0"/>
                  <w:vAlign w:val="center"/>
                </w:tcPr>
                <w:p>
                  <w:pPr>
                    <w:adjustRightInd w:val="0"/>
                    <w:snapToGrid w:val="0"/>
                    <w:jc w:val="center"/>
                    <w:rPr>
                      <w:szCs w:val="21"/>
                    </w:rPr>
                  </w:pPr>
                  <w:r>
                    <w:rPr>
                      <w:rFonts w:hint="default"/>
                      <w:szCs w:val="21"/>
                    </w:rPr>
                    <w:t>昼间60</w:t>
                  </w:r>
                  <w:r>
                    <w:rPr>
                      <w:szCs w:val="21"/>
                    </w:rPr>
                    <w:t>dB(A)</w:t>
                  </w:r>
                </w:p>
              </w:tc>
              <w:tc>
                <w:tcPr>
                  <w:tcW w:w="393" w:type="pct"/>
                  <w:vMerge w:val="restart"/>
                  <w:noWrap w:val="0"/>
                  <w:vAlign w:val="center"/>
                </w:tcPr>
                <w:p>
                  <w:pPr>
                    <w:adjustRightInd w:val="0"/>
                    <w:snapToGrid w:val="0"/>
                    <w:jc w:val="center"/>
                    <w:rPr>
                      <w:rFonts w:hint="default"/>
                      <w:szCs w:val="21"/>
                    </w:rPr>
                  </w:pPr>
                  <w:r>
                    <w:rPr>
                      <w:rFonts w:hint="default"/>
                      <w:szCs w:val="21"/>
                    </w:rPr>
                    <w:t>手工</w:t>
                  </w:r>
                </w:p>
              </w:tc>
              <w:tc>
                <w:tcPr>
                  <w:tcW w:w="579" w:type="pct"/>
                  <w:vMerge w:val="restart"/>
                  <w:noWrap w:val="0"/>
                  <w:vAlign w:val="center"/>
                </w:tcPr>
                <w:p>
                  <w:pPr>
                    <w:pStyle w:val="289"/>
                    <w:adjustRightInd w:val="0"/>
                    <w:snapToGrid w:val="0"/>
                    <w:spacing w:after="0" w:line="240" w:lineRule="auto"/>
                    <w:ind w:left="0"/>
                    <w:jc w:val="center"/>
                    <w:rPr>
                      <w:rFonts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1次/季度</w:t>
                  </w:r>
                </w:p>
              </w:tc>
              <w:tc>
                <w:tcPr>
                  <w:tcW w:w="433" w:type="pct"/>
                  <w:vMerge w:val="restart"/>
                  <w:noWrap w:val="0"/>
                  <w:vAlign w:val="center"/>
                </w:tcPr>
                <w:p>
                  <w:pPr>
                    <w:pStyle w:val="289"/>
                    <w:adjustRightInd w:val="0"/>
                    <w:snapToGrid w:val="0"/>
                    <w:spacing w:after="0" w:line="240" w:lineRule="auto"/>
                    <w:ind w:left="0"/>
                    <w:jc w:val="center"/>
                    <w:rPr>
                      <w:rFonts w:ascii="Times New Roman" w:hAnsi="Times New Roman" w:cs="Times New Roman"/>
                      <w:bCs w:val="0"/>
                      <w:kern w:val="2"/>
                      <w:sz w:val="21"/>
                      <w:szCs w:val="21"/>
                      <w:lang w:eastAsia="zh-CN"/>
                    </w:rPr>
                  </w:pPr>
                  <w:r>
                    <w:rPr>
                      <w:rFonts w:hint="default" w:ascii="Times New Roman" w:hAnsi="Times New Roman" w:cs="Times New Roman"/>
                      <w:bCs w:val="0"/>
                      <w:kern w:val="2"/>
                      <w:sz w:val="21"/>
                      <w:szCs w:val="21"/>
                      <w:lang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15" w:hRule="atLeast"/>
                <w:jc w:val="center"/>
              </w:trPr>
              <w:tc>
                <w:tcPr>
                  <w:tcW w:w="409" w:type="pct"/>
                  <w:vMerge w:val="continue"/>
                  <w:noWrap w:val="0"/>
                  <w:vAlign w:val="center"/>
                </w:tcPr>
                <w:p>
                  <w:pPr>
                    <w:pStyle w:val="288"/>
                    <w:adjustRightInd w:val="0"/>
                    <w:snapToGrid w:val="0"/>
                    <w:spacing w:after="0" w:line="240" w:lineRule="auto"/>
                    <w:ind w:left="0"/>
                    <w:jc w:val="center"/>
                    <w:rPr>
                      <w:rFonts w:hint="default" w:ascii="Times New Roman" w:hAnsi="Times New Roman" w:cs="Times New Roman"/>
                      <w:bCs w:val="0"/>
                      <w:kern w:val="2"/>
                      <w:sz w:val="21"/>
                      <w:szCs w:val="21"/>
                      <w:lang w:eastAsia="zh-CN" w:bidi="ar-SA"/>
                    </w:rPr>
                  </w:pPr>
                </w:p>
              </w:tc>
              <w:tc>
                <w:tcPr>
                  <w:tcW w:w="590"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819" w:type="pct"/>
                  <w:vMerge w:val="continue"/>
                  <w:noWrap w:val="0"/>
                  <w:vAlign w:val="center"/>
                </w:tcPr>
                <w:p>
                  <w:pPr>
                    <w:adjustRightInd w:val="0"/>
                    <w:snapToGrid w:val="0"/>
                    <w:jc w:val="center"/>
                    <w:rPr>
                      <w:rFonts w:hint="default" w:ascii="Times New Roman" w:hAnsi="Times New Roman" w:cs="Times New Roman"/>
                      <w:bCs w:val="0"/>
                      <w:szCs w:val="21"/>
                    </w:rPr>
                  </w:pPr>
                </w:p>
              </w:tc>
              <w:tc>
                <w:tcPr>
                  <w:tcW w:w="1084" w:type="pct"/>
                  <w:vMerge w:val="continue"/>
                  <w:noWrap w:val="0"/>
                  <w:vAlign w:val="center"/>
                </w:tcPr>
                <w:p>
                  <w:pPr>
                    <w:adjustRightInd w:val="0"/>
                    <w:snapToGrid w:val="0"/>
                    <w:jc w:val="center"/>
                    <w:rPr>
                      <w:szCs w:val="21"/>
                    </w:rPr>
                  </w:pPr>
                </w:p>
              </w:tc>
              <w:tc>
                <w:tcPr>
                  <w:tcW w:w="691" w:type="pct"/>
                  <w:noWrap w:val="0"/>
                  <w:vAlign w:val="center"/>
                </w:tcPr>
                <w:p>
                  <w:pPr>
                    <w:adjustRightInd w:val="0"/>
                    <w:snapToGrid w:val="0"/>
                    <w:jc w:val="center"/>
                    <w:rPr>
                      <w:rFonts w:ascii="Times New Roman" w:hAnsi="Times New Roman" w:cs="Times New Roman"/>
                      <w:bCs w:val="0"/>
                      <w:szCs w:val="21"/>
                    </w:rPr>
                  </w:pPr>
                  <w:r>
                    <w:rPr>
                      <w:rFonts w:hint="default" w:ascii="Times New Roman" w:hAnsi="Times New Roman" w:cs="Times New Roman"/>
                      <w:bCs w:val="0"/>
                      <w:szCs w:val="21"/>
                    </w:rPr>
                    <w:t>夜间50</w:t>
                  </w:r>
                  <w:r>
                    <w:rPr>
                      <w:rFonts w:hint="default"/>
                      <w:szCs w:val="21"/>
                    </w:rPr>
                    <w:t>dB(A)</w:t>
                  </w:r>
                </w:p>
              </w:tc>
              <w:tc>
                <w:tcPr>
                  <w:tcW w:w="393"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579"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c>
                <w:tcPr>
                  <w:tcW w:w="433" w:type="pct"/>
                  <w:vMerge w:val="continue"/>
                  <w:noWrap w:val="0"/>
                  <w:vAlign w:val="center"/>
                </w:tcPr>
                <w:p>
                  <w:pPr>
                    <w:pStyle w:val="289"/>
                    <w:adjustRightInd w:val="0"/>
                    <w:snapToGrid w:val="0"/>
                    <w:spacing w:after="0" w:line="240" w:lineRule="auto"/>
                    <w:ind w:left="0"/>
                    <w:jc w:val="center"/>
                    <w:rPr>
                      <w:rFonts w:hint="default" w:ascii="Times New Roman" w:hAnsi="Times New Roman" w:cs="Times New Roman"/>
                      <w:bCs w:val="0"/>
                      <w:kern w:val="2"/>
                      <w:sz w:val="21"/>
                      <w:szCs w:val="21"/>
                      <w:lang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5000" w:type="pct"/>
                  <w:gridSpan w:val="8"/>
                  <w:noWrap w:val="0"/>
                  <w:vAlign w:val="center"/>
                </w:tcPr>
                <w:p>
                  <w:pPr>
                    <w:adjustRightInd w:val="0"/>
                    <w:snapToGrid w:val="0"/>
                    <w:ind w:firstLine="0" w:firstLineChars="0"/>
                    <w:jc w:val="center"/>
                    <w:rPr>
                      <w:rFonts w:hint="default" w:ascii="Times New Roman" w:hAnsi="Times New Roman" w:cs="Times New Roman"/>
                      <w:bCs w:val="0"/>
                      <w:szCs w:val="21"/>
                    </w:rPr>
                  </w:pPr>
                  <w:r>
                    <w:rPr>
                      <w:rFonts w:hint="default" w:ascii="Times New Roman" w:hAnsi="Times New Roman" w:cs="Times New Roman"/>
                      <w:bCs w:val="0"/>
                      <w:szCs w:val="21"/>
                    </w:rPr>
                    <w:t>另外，在发生污染事故性排放时，应及时组织对相关排放点进行检测和跟踪。</w:t>
                  </w:r>
                </w:p>
              </w:tc>
            </w:tr>
          </w:tbl>
          <w:p>
            <w:pPr>
              <w:pStyle w:val="72"/>
              <w:ind w:firstLine="0" w:firstLineChars="0"/>
              <w:rPr>
                <w:rFonts w:hint="eastAsia"/>
                <w:b/>
                <w:bCs/>
              </w:rPr>
            </w:pPr>
            <w:r>
              <w:rPr>
                <w:rFonts w:hint="eastAsia"/>
                <w:b/>
                <w:bCs/>
              </w:rPr>
              <w:t>九、</w:t>
            </w:r>
            <w:r>
              <w:rPr>
                <w:rFonts w:hint="eastAsia"/>
                <w:b/>
                <w:color w:val="000000"/>
              </w:rPr>
              <w:t>改扩建项目“三本账”分析</w:t>
            </w:r>
          </w:p>
          <w:p>
            <w:pPr>
              <w:pStyle w:val="185"/>
              <w:ind w:firstLine="480"/>
              <w:rPr>
                <w:rFonts w:hint="eastAsia"/>
                <w:color w:val="000000"/>
              </w:rPr>
            </w:pPr>
            <w:r>
              <w:rPr>
                <w:rFonts w:hint="eastAsia"/>
                <w:color w:val="000000"/>
              </w:rPr>
              <w:t>本项目建设是在原有占地范围内，门诊</w:t>
            </w:r>
            <w:r>
              <w:rPr>
                <w:rFonts w:hint="eastAsia"/>
                <w:color w:val="000000"/>
                <w:lang w:eastAsia="zh-CN"/>
              </w:rPr>
              <w:t>楼（</w:t>
            </w:r>
            <w:r>
              <w:rPr>
                <w:rFonts w:hint="eastAsia"/>
                <w:color w:val="000000"/>
                <w:lang w:val="en-US" w:eastAsia="zh-CN"/>
              </w:rPr>
              <w:t>1号楼</w:t>
            </w:r>
            <w:r>
              <w:rPr>
                <w:rFonts w:hint="eastAsia"/>
                <w:color w:val="000000"/>
                <w:lang w:eastAsia="zh-CN"/>
              </w:rPr>
              <w:t>）和住院楼（</w:t>
            </w:r>
            <w:r>
              <w:rPr>
                <w:rFonts w:hint="eastAsia"/>
                <w:color w:val="000000"/>
                <w:lang w:val="en-US" w:eastAsia="zh-CN"/>
              </w:rPr>
              <w:t>2号楼</w:t>
            </w:r>
            <w:r>
              <w:rPr>
                <w:rFonts w:hint="eastAsia"/>
                <w:color w:val="000000"/>
                <w:lang w:eastAsia="zh-CN"/>
              </w:rPr>
              <w:t>）</w:t>
            </w:r>
            <w:r>
              <w:rPr>
                <w:rFonts w:hint="eastAsia"/>
                <w:color w:val="000000"/>
              </w:rPr>
              <w:t>内扩建床位1</w:t>
            </w:r>
            <w:r>
              <w:rPr>
                <w:rFonts w:hint="eastAsia"/>
                <w:color w:val="000000"/>
                <w:lang w:val="en-US" w:eastAsia="zh-CN"/>
              </w:rPr>
              <w:t>10</w:t>
            </w:r>
            <w:r>
              <w:rPr>
                <w:rFonts w:hint="eastAsia"/>
                <w:color w:val="000000"/>
              </w:rPr>
              <w:t>张，不新增占地。</w:t>
            </w:r>
          </w:p>
          <w:p>
            <w:pPr>
              <w:pStyle w:val="185"/>
              <w:ind w:firstLine="480"/>
              <w:rPr>
                <w:rFonts w:hint="eastAsia"/>
                <w:color w:val="000000"/>
              </w:rPr>
            </w:pPr>
            <w:r>
              <w:rPr>
                <w:rFonts w:hint="eastAsia"/>
                <w:color w:val="000000"/>
              </w:rPr>
              <w:t>改扩建“三本帐”算法：改扩建前排放量－“以新带老”消减量+改扩建部分排放量=改扩建完成后总排放量。</w:t>
            </w:r>
          </w:p>
          <w:p>
            <w:pPr>
              <w:spacing w:line="360" w:lineRule="auto"/>
              <w:ind w:firstLine="424" w:firstLineChars="177"/>
              <w:rPr>
                <w:color w:val="000000"/>
                <w:sz w:val="24"/>
              </w:rPr>
            </w:pPr>
            <w:r>
              <w:rPr>
                <w:color w:val="000000"/>
                <w:sz w:val="24"/>
              </w:rPr>
              <w:t>本项目</w:t>
            </w:r>
            <w:r>
              <w:rPr>
                <w:rFonts w:hint="eastAsia"/>
                <w:color w:val="000000"/>
                <w:sz w:val="24"/>
              </w:rPr>
              <w:t>扩建</w:t>
            </w:r>
            <w:r>
              <w:rPr>
                <w:color w:val="000000"/>
                <w:sz w:val="24"/>
              </w:rPr>
              <w:t>前后污染情况变化见下表：</w:t>
            </w:r>
          </w:p>
          <w:p>
            <w:pPr>
              <w:ind w:firstLine="426" w:firstLineChars="177"/>
              <w:jc w:val="center"/>
              <w:rPr>
                <w:rFonts w:hint="eastAsia"/>
                <w:b/>
                <w:color w:val="000000"/>
                <w:szCs w:val="21"/>
                <w:highlight w:val="none"/>
              </w:rPr>
            </w:pPr>
            <w:r>
              <w:rPr>
                <w:rFonts w:hint="eastAsia"/>
                <w:b/>
                <w:color w:val="000000"/>
                <w:szCs w:val="21"/>
                <w:highlight w:val="none"/>
              </w:rPr>
              <w:t>表4-2</w:t>
            </w:r>
            <w:r>
              <w:rPr>
                <w:rFonts w:hint="eastAsia"/>
                <w:b/>
                <w:color w:val="000000"/>
                <w:szCs w:val="21"/>
                <w:highlight w:val="none"/>
                <w:lang w:val="en-US" w:eastAsia="zh-CN"/>
              </w:rPr>
              <w:t>8</w:t>
            </w:r>
            <w:r>
              <w:rPr>
                <w:rFonts w:hint="eastAsia"/>
                <w:b/>
                <w:color w:val="000000"/>
                <w:szCs w:val="21"/>
                <w:highlight w:val="none"/>
              </w:rPr>
              <w:t xml:space="preserve"> 项目主要污染物改建前后“三本账”一览表</w:t>
            </w:r>
            <w:r>
              <w:rPr>
                <w:b/>
                <w:color w:val="000000"/>
                <w:szCs w:val="21"/>
                <w:highlight w:val="none"/>
              </w:rPr>
              <w:t xml:space="preserve">    </w:t>
            </w:r>
            <w:r>
              <w:rPr>
                <w:rFonts w:hint="eastAsia"/>
                <w:b/>
                <w:color w:val="000000"/>
                <w:szCs w:val="21"/>
                <w:highlight w:val="none"/>
              </w:rPr>
              <w:t>单位：</w:t>
            </w:r>
            <w:r>
              <w:rPr>
                <w:b/>
                <w:color w:val="000000"/>
                <w:szCs w:val="21"/>
                <w:highlight w:val="none"/>
              </w:rPr>
              <w:t>t/a</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627"/>
              <w:gridCol w:w="1015"/>
              <w:gridCol w:w="1303"/>
              <w:gridCol w:w="1177"/>
              <w:gridCol w:w="1089"/>
              <w:gridCol w:w="11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6" w:hRule="atLeast"/>
                <w:jc w:val="center"/>
              </w:trPr>
              <w:tc>
                <w:tcPr>
                  <w:tcW w:w="437" w:type="pct"/>
                  <w:noWrap w:val="0"/>
                  <w:vAlign w:val="center"/>
                </w:tcPr>
                <w:p>
                  <w:pPr>
                    <w:jc w:val="center"/>
                    <w:rPr>
                      <w:color w:val="000000"/>
                      <w:szCs w:val="21"/>
                    </w:rPr>
                  </w:pPr>
                  <w:r>
                    <w:rPr>
                      <w:color w:val="000000"/>
                      <w:szCs w:val="21"/>
                    </w:rPr>
                    <w:t>污染源</w:t>
                  </w:r>
                </w:p>
              </w:tc>
              <w:tc>
                <w:tcPr>
                  <w:tcW w:w="1004" w:type="pct"/>
                  <w:noWrap w:val="0"/>
                  <w:vAlign w:val="center"/>
                </w:tcPr>
                <w:p>
                  <w:pPr>
                    <w:jc w:val="center"/>
                    <w:rPr>
                      <w:color w:val="000000"/>
                      <w:szCs w:val="21"/>
                    </w:rPr>
                  </w:pPr>
                  <w:r>
                    <w:rPr>
                      <w:color w:val="000000"/>
                      <w:szCs w:val="21"/>
                    </w:rPr>
                    <w:t>污染物</w:t>
                  </w:r>
                </w:p>
              </w:tc>
              <w:tc>
                <w:tcPr>
                  <w:tcW w:w="626" w:type="pct"/>
                  <w:noWrap w:val="0"/>
                  <w:vAlign w:val="center"/>
                </w:tcPr>
                <w:p>
                  <w:pPr>
                    <w:jc w:val="center"/>
                    <w:rPr>
                      <w:color w:val="000000"/>
                      <w:szCs w:val="21"/>
                    </w:rPr>
                  </w:pPr>
                  <w:r>
                    <w:rPr>
                      <w:rFonts w:hint="eastAsia"/>
                      <w:color w:val="000000"/>
                      <w:szCs w:val="21"/>
                    </w:rPr>
                    <w:t>扩建</w:t>
                  </w:r>
                  <w:r>
                    <w:rPr>
                      <w:color w:val="000000"/>
                      <w:szCs w:val="21"/>
                    </w:rPr>
                    <w:t>前排放量</w:t>
                  </w:r>
                </w:p>
              </w:tc>
              <w:tc>
                <w:tcPr>
                  <w:tcW w:w="804" w:type="pct"/>
                  <w:noWrap w:val="0"/>
                  <w:vAlign w:val="center"/>
                </w:tcPr>
                <w:p>
                  <w:pPr>
                    <w:jc w:val="center"/>
                    <w:rPr>
                      <w:color w:val="000000"/>
                      <w:szCs w:val="21"/>
                    </w:rPr>
                  </w:pPr>
                  <w:r>
                    <w:rPr>
                      <w:rFonts w:hint="eastAsia"/>
                      <w:color w:val="000000"/>
                      <w:szCs w:val="21"/>
                    </w:rPr>
                    <w:t>扩建部分</w:t>
                  </w:r>
                  <w:r>
                    <w:rPr>
                      <w:color w:val="000000"/>
                      <w:szCs w:val="21"/>
                    </w:rPr>
                    <w:t>排放量</w:t>
                  </w:r>
                </w:p>
              </w:tc>
              <w:tc>
                <w:tcPr>
                  <w:tcW w:w="726" w:type="pct"/>
                  <w:noWrap w:val="0"/>
                  <w:vAlign w:val="center"/>
                </w:tcPr>
                <w:p>
                  <w:pPr>
                    <w:jc w:val="center"/>
                    <w:rPr>
                      <w:color w:val="000000"/>
                      <w:szCs w:val="21"/>
                    </w:rPr>
                  </w:pPr>
                  <w:r>
                    <w:rPr>
                      <w:color w:val="000000"/>
                      <w:szCs w:val="21"/>
                    </w:rPr>
                    <w:t>“以新带老”消减量</w:t>
                  </w:r>
                </w:p>
              </w:tc>
              <w:tc>
                <w:tcPr>
                  <w:tcW w:w="672" w:type="pct"/>
                  <w:noWrap w:val="0"/>
                  <w:vAlign w:val="center"/>
                </w:tcPr>
                <w:p>
                  <w:pPr>
                    <w:jc w:val="center"/>
                    <w:rPr>
                      <w:color w:val="000000"/>
                      <w:szCs w:val="21"/>
                    </w:rPr>
                  </w:pPr>
                  <w:r>
                    <w:rPr>
                      <w:rFonts w:hint="eastAsia"/>
                      <w:color w:val="000000"/>
                      <w:szCs w:val="21"/>
                    </w:rPr>
                    <w:t>扩建</w:t>
                  </w:r>
                  <w:r>
                    <w:rPr>
                      <w:color w:val="000000"/>
                      <w:szCs w:val="21"/>
                    </w:rPr>
                    <w:t>后总排放量</w:t>
                  </w:r>
                </w:p>
              </w:tc>
              <w:tc>
                <w:tcPr>
                  <w:tcW w:w="728" w:type="pct"/>
                  <w:noWrap w:val="0"/>
                  <w:vAlign w:val="center"/>
                </w:tcPr>
                <w:p>
                  <w:pPr>
                    <w:jc w:val="center"/>
                    <w:rPr>
                      <w:color w:val="000000"/>
                      <w:szCs w:val="21"/>
                    </w:rPr>
                  </w:pPr>
                  <w:r>
                    <w:rPr>
                      <w:color w:val="000000"/>
                      <w:szCs w:val="21"/>
                    </w:rPr>
                    <w:t>增减量变化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vMerge w:val="restart"/>
                  <w:noWrap w:val="0"/>
                  <w:vAlign w:val="center"/>
                </w:tcPr>
                <w:p>
                  <w:pPr>
                    <w:jc w:val="center"/>
                    <w:rPr>
                      <w:color w:val="000000"/>
                      <w:szCs w:val="21"/>
                    </w:rPr>
                  </w:pPr>
                  <w:r>
                    <w:rPr>
                      <w:color w:val="000000"/>
                      <w:szCs w:val="21"/>
                    </w:rPr>
                    <w:t>废水</w:t>
                  </w:r>
                </w:p>
              </w:tc>
              <w:tc>
                <w:tcPr>
                  <w:tcW w:w="1004" w:type="pct"/>
                  <w:noWrap w:val="0"/>
                  <w:vAlign w:val="center"/>
                </w:tcPr>
                <w:p>
                  <w:pPr>
                    <w:jc w:val="center"/>
                    <w:rPr>
                      <w:color w:val="000000"/>
                      <w:szCs w:val="21"/>
                    </w:rPr>
                  </w:pPr>
                  <w:r>
                    <w:rPr>
                      <w:color w:val="000000"/>
                      <w:szCs w:val="21"/>
                    </w:rPr>
                    <w:t>废水量</w:t>
                  </w:r>
                </w:p>
              </w:tc>
              <w:tc>
                <w:tcPr>
                  <w:tcW w:w="626" w:type="pct"/>
                  <w:noWrap w:val="0"/>
                  <w:vAlign w:val="center"/>
                </w:tcPr>
                <w:p>
                  <w:pPr>
                    <w:jc w:val="center"/>
                    <w:rPr>
                      <w:rFonts w:hint="default" w:eastAsia="宋体"/>
                      <w:color w:val="000000"/>
                      <w:szCs w:val="21"/>
                      <w:lang w:val="en-US" w:eastAsia="zh-CN"/>
                    </w:rPr>
                  </w:pPr>
                  <w:r>
                    <w:rPr>
                      <w:rFonts w:hint="eastAsia"/>
                      <w:color w:val="000000"/>
                      <w:szCs w:val="21"/>
                      <w:lang w:val="en-US" w:eastAsia="zh-CN"/>
                    </w:rPr>
                    <w:t>6762.72</w:t>
                  </w:r>
                </w:p>
              </w:tc>
              <w:tc>
                <w:tcPr>
                  <w:tcW w:w="804" w:type="pct"/>
                  <w:noWrap w:val="0"/>
                  <w:vAlign w:val="center"/>
                </w:tcPr>
                <w:p>
                  <w:pPr>
                    <w:jc w:val="center"/>
                    <w:rPr>
                      <w:rFonts w:hint="default" w:eastAsia="宋体"/>
                      <w:color w:val="000000"/>
                      <w:szCs w:val="21"/>
                      <w:lang w:val="en-US" w:eastAsia="zh-CN"/>
                    </w:rPr>
                  </w:pPr>
                  <w:r>
                    <w:rPr>
                      <w:rFonts w:hint="eastAsia"/>
                      <w:color w:val="000000"/>
                      <w:szCs w:val="21"/>
                      <w:lang w:val="en-US" w:eastAsia="zh-CN"/>
                    </w:rPr>
                    <w:t>10698.88</w:t>
                  </w:r>
                </w:p>
              </w:tc>
              <w:tc>
                <w:tcPr>
                  <w:tcW w:w="726" w:type="pct"/>
                  <w:noWrap w:val="0"/>
                  <w:vAlign w:val="center"/>
                </w:tcPr>
                <w:p>
                  <w:pPr>
                    <w:jc w:val="center"/>
                    <w:rPr>
                      <w:rFonts w:hint="eastAsia"/>
                      <w:color w:val="000000"/>
                      <w:szCs w:val="21"/>
                    </w:rPr>
                  </w:pPr>
                  <w:r>
                    <w:rPr>
                      <w:rFonts w:hint="eastAsia"/>
                      <w:color w:val="000000"/>
                      <w:szCs w:val="21"/>
                    </w:rPr>
                    <w:t>0</w:t>
                  </w:r>
                </w:p>
              </w:tc>
              <w:tc>
                <w:tcPr>
                  <w:tcW w:w="672" w:type="pct"/>
                  <w:noWrap w:val="0"/>
                  <w:vAlign w:val="center"/>
                </w:tcPr>
                <w:p>
                  <w:pPr>
                    <w:pStyle w:val="185"/>
                    <w:spacing w:line="240" w:lineRule="auto"/>
                    <w:ind w:left="0" w:leftChars="0" w:firstLine="0" w:firstLineChars="0"/>
                    <w:jc w:val="center"/>
                    <w:rPr>
                      <w:rFonts w:hint="default" w:eastAsia="宋体"/>
                      <w:color w:val="000000"/>
                      <w:szCs w:val="21"/>
                      <w:lang w:val="en-US" w:eastAsia="zh-CN"/>
                    </w:rPr>
                  </w:pPr>
                  <w:r>
                    <w:rPr>
                      <w:rFonts w:hint="eastAsia" w:ascii="Times New Roman" w:hAnsi="Times New Roman" w:eastAsia="宋体"/>
                      <w:b w:val="0"/>
                      <w:bCs/>
                      <w:color w:val="000000"/>
                      <w:sz w:val="21"/>
                      <w:szCs w:val="21"/>
                      <w:vertAlign w:val="baseline"/>
                      <w:lang w:val="en-US" w:eastAsia="zh-CN"/>
                    </w:rPr>
                    <w:t>17461.6</w:t>
                  </w:r>
                </w:p>
              </w:tc>
              <w:tc>
                <w:tcPr>
                  <w:tcW w:w="728" w:type="pct"/>
                  <w:noWrap w:val="0"/>
                  <w:vAlign w:val="center"/>
                </w:tcPr>
                <w:p>
                  <w:pPr>
                    <w:jc w:val="center"/>
                    <w:rPr>
                      <w:rFonts w:hint="default" w:eastAsia="宋体"/>
                      <w:color w:val="000000"/>
                      <w:szCs w:val="21"/>
                      <w:lang w:val="en-US" w:eastAsia="zh-CN"/>
                    </w:rPr>
                  </w:pPr>
                  <w:r>
                    <w:rPr>
                      <w:rFonts w:hint="eastAsia"/>
                      <w:color w:val="000000"/>
                      <w:szCs w:val="21"/>
                    </w:rPr>
                    <w:t>+</w:t>
                  </w:r>
                  <w:r>
                    <w:rPr>
                      <w:rFonts w:hint="eastAsia"/>
                      <w:color w:val="000000"/>
                      <w:szCs w:val="21"/>
                      <w:lang w:val="en-US" w:eastAsia="zh-CN"/>
                    </w:rPr>
                    <w:t>10698.88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vMerge w:val="continue"/>
                  <w:noWrap w:val="0"/>
                  <w:vAlign w:val="center"/>
                </w:tcPr>
                <w:p>
                  <w:pPr>
                    <w:jc w:val="center"/>
                    <w:rPr>
                      <w:color w:val="000000"/>
                      <w:szCs w:val="21"/>
                    </w:rPr>
                  </w:pPr>
                </w:p>
              </w:tc>
              <w:tc>
                <w:tcPr>
                  <w:tcW w:w="1004" w:type="pct"/>
                  <w:noWrap w:val="0"/>
                  <w:vAlign w:val="center"/>
                </w:tcPr>
                <w:p>
                  <w:pPr>
                    <w:widowControl/>
                    <w:jc w:val="center"/>
                    <w:textAlignment w:val="center"/>
                    <w:rPr>
                      <w:color w:val="000000"/>
                      <w:kern w:val="2"/>
                      <w:sz w:val="21"/>
                      <w:szCs w:val="21"/>
                      <w:lang w:val="en-US" w:eastAsia="zh-CN" w:bidi="ar-SA"/>
                    </w:rPr>
                  </w:pPr>
                  <w:r>
                    <w:rPr>
                      <w:kern w:val="0"/>
                      <w:sz w:val="21"/>
                      <w:szCs w:val="21"/>
                      <w:lang w:bidi="ar"/>
                    </w:rPr>
                    <w:t>COD</w:t>
                  </w:r>
                </w:p>
              </w:tc>
              <w:tc>
                <w:tcPr>
                  <w:tcW w:w="626" w:type="pct"/>
                  <w:noWrap w:val="0"/>
                  <w:vAlign w:val="center"/>
                </w:tcPr>
                <w:p>
                  <w:pPr>
                    <w:jc w:val="center"/>
                    <w:rPr>
                      <w:rFonts w:hint="default" w:eastAsia="宋体"/>
                      <w:color w:val="000000"/>
                      <w:kern w:val="2"/>
                      <w:sz w:val="21"/>
                      <w:szCs w:val="21"/>
                      <w:lang w:val="en-US" w:eastAsia="zh-CN" w:bidi="ar-SA"/>
                    </w:rPr>
                  </w:pPr>
                  <w:r>
                    <w:rPr>
                      <w:rFonts w:hint="eastAsia" w:eastAsia="宋体"/>
                      <w:color w:val="000000"/>
                      <w:szCs w:val="21"/>
                      <w:lang w:val="en-US" w:eastAsia="zh-CN"/>
                    </w:rPr>
                    <w:t>1.6907</w:t>
                  </w:r>
                </w:p>
              </w:tc>
              <w:tc>
                <w:tcPr>
                  <w:tcW w:w="804" w:type="pct"/>
                  <w:noWrap w:val="0"/>
                  <w:vAlign w:val="center"/>
                </w:tcPr>
                <w:p>
                  <w:pPr>
                    <w:jc w:val="center"/>
                    <w:rPr>
                      <w:rFonts w:hint="eastAsia"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2.6747</w:t>
                  </w:r>
                </w:p>
              </w:tc>
              <w:tc>
                <w:tcPr>
                  <w:tcW w:w="726" w:type="pct"/>
                  <w:noWrap w:val="0"/>
                  <w:vAlign w:val="center"/>
                </w:tcPr>
                <w:p>
                  <w:pPr>
                    <w:jc w:val="center"/>
                    <w:rPr>
                      <w:rFonts w:hint="eastAsia"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w:t>
                  </w:r>
                </w:p>
              </w:tc>
              <w:tc>
                <w:tcPr>
                  <w:tcW w:w="672" w:type="pct"/>
                  <w:noWrap w:val="0"/>
                  <w:vAlign w:val="center"/>
                </w:tcPr>
                <w:p>
                  <w:pPr>
                    <w:pStyle w:val="185"/>
                    <w:spacing w:line="240" w:lineRule="auto"/>
                    <w:ind w:left="0" w:leftChars="0" w:firstLine="0" w:firstLineChars="0"/>
                    <w:jc w:val="center"/>
                    <w:rPr>
                      <w:rFonts w:hint="eastAsia"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4.3654</w:t>
                  </w:r>
                </w:p>
              </w:tc>
              <w:tc>
                <w:tcPr>
                  <w:tcW w:w="728" w:type="pct"/>
                  <w:noWrap w:val="0"/>
                  <w:vAlign w:val="center"/>
                </w:tcPr>
                <w:p>
                  <w:pPr>
                    <w:jc w:val="center"/>
                    <w:rPr>
                      <w:rFonts w:hint="eastAsia"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+2.6747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vMerge w:val="continue"/>
                  <w:noWrap w:val="0"/>
                  <w:vAlign w:val="center"/>
                </w:tcPr>
                <w:p>
                  <w:pPr>
                    <w:jc w:val="center"/>
                    <w:rPr>
                      <w:rFonts w:hint="eastAsia" w:ascii="Times New Roman" w:hAnsi="Times New Roman" w:eastAsia="宋体"/>
                      <w:b w:val="0"/>
                      <w:bCs/>
                      <w:color w:val="000000"/>
                      <w:sz w:val="21"/>
                      <w:szCs w:val="21"/>
                      <w:vertAlign w:val="baseline"/>
                      <w:lang w:val="en-US" w:eastAsia="zh-CN"/>
                    </w:rPr>
                  </w:pPr>
                </w:p>
              </w:tc>
              <w:tc>
                <w:tcPr>
                  <w:tcW w:w="1004" w:type="pct"/>
                  <w:noWrap w:val="0"/>
                  <w:vAlign w:val="center"/>
                </w:tcPr>
                <w:p>
                  <w:pPr>
                    <w:jc w:val="center"/>
                    <w:rPr>
                      <w:rFonts w:hint="eastAsia"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BOD5</w:t>
                  </w:r>
                </w:p>
              </w:tc>
              <w:tc>
                <w:tcPr>
                  <w:tcW w:w="626" w:type="pct"/>
                  <w:noWrap w:val="0"/>
                  <w:vAlign w:val="center"/>
                </w:tcPr>
                <w:p>
                  <w:pPr>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0.6763</w:t>
                  </w:r>
                </w:p>
              </w:tc>
              <w:tc>
                <w:tcPr>
                  <w:tcW w:w="804" w:type="pct"/>
                  <w:noWrap w:val="0"/>
                  <w:vAlign w:val="center"/>
                </w:tcPr>
                <w:p>
                  <w:pPr>
                    <w:jc w:val="center"/>
                    <w:rPr>
                      <w:rFonts w:hint="eastAsia"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1.0699</w:t>
                  </w:r>
                </w:p>
              </w:tc>
              <w:tc>
                <w:tcPr>
                  <w:tcW w:w="726" w:type="pct"/>
                  <w:noWrap w:val="0"/>
                  <w:vAlign w:val="center"/>
                </w:tcPr>
                <w:p>
                  <w:pPr>
                    <w:jc w:val="center"/>
                    <w:rPr>
                      <w:rFonts w:hint="eastAsia"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w:t>
                  </w:r>
                </w:p>
              </w:tc>
              <w:tc>
                <w:tcPr>
                  <w:tcW w:w="672" w:type="pct"/>
                  <w:noWrap w:val="0"/>
                  <w:vAlign w:val="center"/>
                </w:tcPr>
                <w:p>
                  <w:pPr>
                    <w:pStyle w:val="185"/>
                    <w:spacing w:line="240" w:lineRule="auto"/>
                    <w:ind w:left="0" w:leftChars="0" w:firstLine="0" w:firstLineChars="0"/>
                    <w:jc w:val="center"/>
                    <w:rPr>
                      <w:rFonts w:hint="eastAsia"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1.7462</w:t>
                  </w:r>
                </w:p>
              </w:tc>
              <w:tc>
                <w:tcPr>
                  <w:tcW w:w="728" w:type="pct"/>
                  <w:noWrap w:val="0"/>
                  <w:vAlign w:val="center"/>
                </w:tcPr>
                <w:p>
                  <w:pPr>
                    <w:jc w:val="center"/>
                    <w:rPr>
                      <w:rFonts w:hint="eastAsia"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+1.0699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vMerge w:val="continue"/>
                  <w:noWrap w:val="0"/>
                  <w:vAlign w:val="center"/>
                </w:tcPr>
                <w:p>
                  <w:pPr>
                    <w:jc w:val="center"/>
                    <w:rPr>
                      <w:rFonts w:hint="eastAsia" w:ascii="Times New Roman" w:hAnsi="Times New Roman" w:eastAsia="宋体"/>
                      <w:b w:val="0"/>
                      <w:bCs/>
                      <w:color w:val="000000"/>
                      <w:sz w:val="21"/>
                      <w:szCs w:val="21"/>
                      <w:vertAlign w:val="baseline"/>
                      <w:lang w:val="en-US" w:eastAsia="zh-CN"/>
                    </w:rPr>
                  </w:pPr>
                </w:p>
              </w:tc>
              <w:tc>
                <w:tcPr>
                  <w:tcW w:w="1004" w:type="pct"/>
                  <w:noWrap w:val="0"/>
                  <w:vAlign w:val="center"/>
                </w:tcPr>
                <w:p>
                  <w:pPr>
                    <w:jc w:val="center"/>
                    <w:rPr>
                      <w:rFonts w:hint="eastAsia"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SS</w:t>
                  </w:r>
                </w:p>
              </w:tc>
              <w:tc>
                <w:tcPr>
                  <w:tcW w:w="626" w:type="pct"/>
                  <w:noWrap w:val="0"/>
                  <w:vAlign w:val="center"/>
                </w:tcPr>
                <w:p>
                  <w:pPr>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0.4058</w:t>
                  </w:r>
                </w:p>
              </w:tc>
              <w:tc>
                <w:tcPr>
                  <w:tcW w:w="804" w:type="pct"/>
                  <w:noWrap w:val="0"/>
                  <w:vAlign w:val="center"/>
                </w:tcPr>
                <w:p>
                  <w:pPr>
                    <w:jc w:val="center"/>
                    <w:rPr>
                      <w:rFonts w:hint="eastAsia"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0.6419</w:t>
                  </w:r>
                </w:p>
              </w:tc>
              <w:tc>
                <w:tcPr>
                  <w:tcW w:w="726" w:type="pct"/>
                  <w:noWrap w:val="0"/>
                  <w:vAlign w:val="center"/>
                </w:tcPr>
                <w:p>
                  <w:pPr>
                    <w:jc w:val="center"/>
                    <w:rPr>
                      <w:rFonts w:hint="eastAsia"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w:t>
                  </w:r>
                </w:p>
              </w:tc>
              <w:tc>
                <w:tcPr>
                  <w:tcW w:w="672" w:type="pct"/>
                  <w:noWrap w:val="0"/>
                  <w:vAlign w:val="center"/>
                </w:tcPr>
                <w:p>
                  <w:pPr>
                    <w:pStyle w:val="185"/>
                    <w:spacing w:line="240" w:lineRule="auto"/>
                    <w:ind w:left="0" w:leftChars="0" w:firstLine="0" w:firstLineChars="0"/>
                    <w:jc w:val="center"/>
                    <w:rPr>
                      <w:rFonts w:hint="eastAsia"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1.0477</w:t>
                  </w:r>
                </w:p>
              </w:tc>
              <w:tc>
                <w:tcPr>
                  <w:tcW w:w="728" w:type="pct"/>
                  <w:noWrap w:val="0"/>
                  <w:vAlign w:val="center"/>
                </w:tcPr>
                <w:p>
                  <w:pPr>
                    <w:jc w:val="center"/>
                    <w:rPr>
                      <w:rFonts w:hint="eastAsia"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+0.6419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vMerge w:val="continue"/>
                  <w:noWrap w:val="0"/>
                  <w:vAlign w:val="center"/>
                </w:tcPr>
                <w:p>
                  <w:pPr>
                    <w:jc w:val="center"/>
                    <w:rPr>
                      <w:rFonts w:hint="eastAsia" w:ascii="Times New Roman" w:hAnsi="Times New Roman" w:eastAsia="宋体"/>
                      <w:b w:val="0"/>
                      <w:bCs/>
                      <w:color w:val="000000"/>
                      <w:sz w:val="21"/>
                      <w:szCs w:val="21"/>
                      <w:vertAlign w:val="baseline"/>
                      <w:lang w:val="en-US" w:eastAsia="zh-CN"/>
                    </w:rPr>
                  </w:pPr>
                </w:p>
              </w:tc>
              <w:tc>
                <w:tcPr>
                  <w:tcW w:w="1004" w:type="pct"/>
                  <w:noWrap w:val="0"/>
                  <w:vAlign w:val="center"/>
                </w:tcPr>
                <w:p>
                  <w:pPr>
                    <w:jc w:val="center"/>
                    <w:rPr>
                      <w:rFonts w:hint="eastAsia"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NH3-N</w:t>
                  </w:r>
                </w:p>
              </w:tc>
              <w:tc>
                <w:tcPr>
                  <w:tcW w:w="626" w:type="pct"/>
                  <w:noWrap w:val="0"/>
                  <w:vAlign w:val="center"/>
                </w:tcPr>
                <w:p>
                  <w:pPr>
                    <w:jc w:val="center"/>
                    <w:rPr>
                      <w:rFonts w:hint="default"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0.3040</w:t>
                  </w:r>
                </w:p>
              </w:tc>
              <w:tc>
                <w:tcPr>
                  <w:tcW w:w="804" w:type="pct"/>
                  <w:noWrap w:val="0"/>
                  <w:vAlign w:val="center"/>
                </w:tcPr>
                <w:p>
                  <w:pPr>
                    <w:jc w:val="center"/>
                    <w:rPr>
                      <w:rFonts w:hint="eastAsia" w:ascii="Times New Roman" w:hAnsi="Times New Roman" w:eastAsia="宋体"/>
                      <w:b w:val="0"/>
                      <w:bCs/>
                      <w:color w:val="000000"/>
                      <w:sz w:val="21"/>
                      <w:szCs w:val="21"/>
                      <w:vertAlign w:val="baseline"/>
                      <w:lang w:val="en-US" w:eastAsia="zh-CN"/>
                    </w:rPr>
                  </w:pPr>
                  <w:r>
                    <w:rPr>
                      <w:rFonts w:hint="eastAsia" w:ascii="Times New Roman" w:hAnsi="Times New Roman" w:eastAsia="宋体"/>
                      <w:b w:val="0"/>
                      <w:bCs/>
                      <w:color w:val="000000"/>
                      <w:sz w:val="21"/>
                      <w:szCs w:val="21"/>
                      <w:vertAlign w:val="baseline"/>
                      <w:lang w:val="en-US" w:eastAsia="zh-CN"/>
                    </w:rPr>
                    <w:t>0.4814</w:t>
                  </w:r>
                </w:p>
              </w:tc>
              <w:tc>
                <w:tcPr>
                  <w:tcW w:w="726" w:type="pct"/>
                  <w:noWrap w:val="0"/>
                  <w:vAlign w:val="center"/>
                </w:tcPr>
                <w:p>
                  <w:pPr>
                    <w:jc w:val="center"/>
                    <w:rPr>
                      <w:rFonts w:hint="eastAsia"/>
                      <w:color w:val="000000"/>
                      <w:kern w:val="2"/>
                      <w:sz w:val="21"/>
                      <w:szCs w:val="21"/>
                      <w:lang w:val="en-US" w:eastAsia="zh-CN" w:bidi="ar-SA"/>
                    </w:rPr>
                  </w:pPr>
                  <w:r>
                    <w:rPr>
                      <w:rFonts w:hint="eastAsia"/>
                      <w:color w:val="000000"/>
                      <w:szCs w:val="21"/>
                    </w:rPr>
                    <w:t>0</w:t>
                  </w:r>
                </w:p>
              </w:tc>
              <w:tc>
                <w:tcPr>
                  <w:tcW w:w="672" w:type="pct"/>
                  <w:noWrap w:val="0"/>
                  <w:vAlign w:val="center"/>
                </w:tcPr>
                <w:p>
                  <w:pPr>
                    <w:pStyle w:val="185"/>
                    <w:spacing w:line="240" w:lineRule="auto"/>
                    <w:ind w:left="0" w:leftChars="0" w:firstLine="0" w:firstLineChars="0"/>
                    <w:jc w:val="center"/>
                    <w:rPr>
                      <w:rFonts w:hint="default" w:eastAsia="宋体"/>
                      <w:color w:val="000000"/>
                      <w:kern w:val="2"/>
                      <w:sz w:val="24"/>
                      <w:szCs w:val="21"/>
                      <w:lang w:val="en-US" w:eastAsia="zh-CN" w:bidi="ar-SA"/>
                    </w:rPr>
                  </w:pPr>
                  <w:r>
                    <w:rPr>
                      <w:rFonts w:hint="eastAsia" w:ascii="Times New Roman" w:hAnsi="Times New Roman" w:eastAsia="宋体"/>
                      <w:b w:val="0"/>
                      <w:bCs/>
                      <w:color w:val="000000"/>
                      <w:sz w:val="21"/>
                      <w:szCs w:val="21"/>
                      <w:vertAlign w:val="baseline"/>
                      <w:lang w:val="en-US" w:eastAsia="zh-CN"/>
                    </w:rPr>
                    <w:t>0.7858</w:t>
                  </w:r>
                </w:p>
              </w:tc>
              <w:tc>
                <w:tcPr>
                  <w:tcW w:w="728" w:type="pct"/>
                  <w:noWrap w:val="0"/>
                  <w:vAlign w:val="center"/>
                </w:tcPr>
                <w:p>
                  <w:pPr>
                    <w:jc w:val="center"/>
                    <w:rPr>
                      <w:rFonts w:hint="default" w:eastAsia="宋体"/>
                      <w:color w:val="000000"/>
                      <w:kern w:val="2"/>
                      <w:sz w:val="24"/>
                      <w:szCs w:val="21"/>
                      <w:lang w:val="en-US" w:eastAsia="zh-CN" w:bidi="ar-SA"/>
                    </w:rPr>
                  </w:pPr>
                  <w:r>
                    <w:rPr>
                      <w:rFonts w:hint="eastAsia" w:ascii="Times New Roman" w:hAnsi="Times New Roman" w:eastAsia="宋体"/>
                      <w:b w:val="0"/>
                      <w:bCs/>
                      <w:color w:val="000000"/>
                      <w:sz w:val="21"/>
                      <w:szCs w:val="21"/>
                      <w:vertAlign w:val="baseline"/>
                      <w:lang w:val="en-US" w:eastAsia="zh-CN"/>
                    </w:rPr>
                    <w:t>+0.4814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437" w:type="pct"/>
                  <w:vMerge w:val="restart"/>
                  <w:noWrap w:val="0"/>
                  <w:vAlign w:val="center"/>
                </w:tcPr>
                <w:p>
                  <w:pPr>
                    <w:widowControl/>
                    <w:jc w:val="center"/>
                    <w:rPr>
                      <w:rFonts w:hint="eastAsia"/>
                      <w:color w:val="000000"/>
                      <w:szCs w:val="21"/>
                    </w:rPr>
                  </w:pPr>
                  <w:r>
                    <w:rPr>
                      <w:rFonts w:hint="eastAsia"/>
                      <w:color w:val="000000"/>
                      <w:szCs w:val="21"/>
                    </w:rPr>
                    <w:t>废气</w:t>
                  </w:r>
                </w:p>
              </w:tc>
              <w:tc>
                <w:tcPr>
                  <w:tcW w:w="1004" w:type="pct"/>
                  <w:noWrap w:val="0"/>
                  <w:vAlign w:val="center"/>
                </w:tcPr>
                <w:p>
                  <w:pPr>
                    <w:pStyle w:val="94"/>
                    <w:spacing w:beforeLines="0" w:afterLines="0" w:line="240" w:lineRule="auto"/>
                    <w:ind w:left="840" w:hanging="420"/>
                    <w:rPr>
                      <w:rFonts w:ascii="Times New Roman"/>
                      <w:snapToGrid w:val="0"/>
                      <w:color w:val="000000"/>
                      <w:kern w:val="21"/>
                      <w:szCs w:val="21"/>
                    </w:rPr>
                  </w:pPr>
                  <w:r>
                    <w:rPr>
                      <w:rFonts w:hint="eastAsia" w:ascii="Times New Roman" w:hAnsi="宋体"/>
                      <w:snapToGrid w:val="0"/>
                      <w:color w:val="000000"/>
                      <w:kern w:val="21"/>
                      <w:szCs w:val="21"/>
                    </w:rPr>
                    <w:t>NH</w:t>
                  </w:r>
                  <w:r>
                    <w:rPr>
                      <w:rFonts w:hint="eastAsia" w:ascii="Times New Roman" w:hAnsi="宋体"/>
                      <w:snapToGrid w:val="0"/>
                      <w:color w:val="000000"/>
                      <w:kern w:val="21"/>
                      <w:szCs w:val="21"/>
                      <w:vertAlign w:val="subscript"/>
                    </w:rPr>
                    <w:t>3</w:t>
                  </w:r>
                </w:p>
              </w:tc>
              <w:tc>
                <w:tcPr>
                  <w:tcW w:w="626" w:type="pct"/>
                  <w:noWrap w:val="0"/>
                  <w:vAlign w:val="center"/>
                </w:tcPr>
                <w:p>
                  <w:pPr>
                    <w:widowControl/>
                    <w:jc w:val="center"/>
                    <w:textAlignment w:val="center"/>
                    <w:rPr>
                      <w:color w:val="000000"/>
                      <w:szCs w:val="21"/>
                    </w:rPr>
                  </w:pPr>
                  <w:r>
                    <w:rPr>
                      <w:rFonts w:hint="eastAsia"/>
                      <w:color w:val="000000"/>
                      <w:kern w:val="0"/>
                      <w:szCs w:val="21"/>
                      <w:lang w:bidi="ar"/>
                    </w:rPr>
                    <w:t>0.987</w:t>
                  </w:r>
                </w:p>
              </w:tc>
              <w:tc>
                <w:tcPr>
                  <w:tcW w:w="804" w:type="pct"/>
                  <w:noWrap w:val="0"/>
                  <w:vAlign w:val="center"/>
                </w:tcPr>
                <w:p>
                  <w:pPr>
                    <w:autoSpaceDE w:val="0"/>
                    <w:autoSpaceDN w:val="0"/>
                    <w:jc w:val="center"/>
                    <w:rPr>
                      <w:rFonts w:hint="eastAsia"/>
                      <w:color w:val="000000"/>
                      <w:szCs w:val="21"/>
                    </w:rPr>
                  </w:pPr>
                  <w:r>
                    <w:rPr>
                      <w:rFonts w:hint="eastAsia"/>
                      <w:color w:val="000000"/>
                      <w:szCs w:val="21"/>
                    </w:rPr>
                    <w:t>0</w:t>
                  </w:r>
                </w:p>
              </w:tc>
              <w:tc>
                <w:tcPr>
                  <w:tcW w:w="726" w:type="pct"/>
                  <w:noWrap w:val="0"/>
                  <w:vAlign w:val="center"/>
                </w:tcPr>
                <w:p>
                  <w:pPr>
                    <w:autoSpaceDE w:val="0"/>
                    <w:autoSpaceDN w:val="0"/>
                    <w:jc w:val="center"/>
                    <w:rPr>
                      <w:rFonts w:hint="eastAsia"/>
                      <w:color w:val="000000"/>
                      <w:szCs w:val="21"/>
                    </w:rPr>
                  </w:pPr>
                  <w:r>
                    <w:rPr>
                      <w:rFonts w:hint="eastAsia"/>
                      <w:color w:val="000000"/>
                      <w:szCs w:val="21"/>
                    </w:rPr>
                    <w:t>0</w:t>
                  </w:r>
                </w:p>
              </w:tc>
              <w:tc>
                <w:tcPr>
                  <w:tcW w:w="672" w:type="pct"/>
                  <w:noWrap w:val="0"/>
                  <w:vAlign w:val="center"/>
                </w:tcPr>
                <w:p>
                  <w:pPr>
                    <w:widowControl/>
                    <w:jc w:val="center"/>
                    <w:textAlignment w:val="center"/>
                    <w:rPr>
                      <w:color w:val="000000"/>
                      <w:szCs w:val="21"/>
                    </w:rPr>
                  </w:pPr>
                  <w:r>
                    <w:rPr>
                      <w:rFonts w:hint="eastAsia"/>
                      <w:color w:val="000000"/>
                      <w:kern w:val="0"/>
                      <w:szCs w:val="21"/>
                      <w:lang w:bidi="ar"/>
                    </w:rPr>
                    <w:t>0.987</w:t>
                  </w:r>
                </w:p>
              </w:tc>
              <w:tc>
                <w:tcPr>
                  <w:tcW w:w="728" w:type="pct"/>
                  <w:noWrap w:val="0"/>
                  <w:vAlign w:val="center"/>
                </w:tcPr>
                <w:p>
                  <w:pPr>
                    <w:autoSpaceDE w:val="0"/>
                    <w:autoSpaceDN w:val="0"/>
                    <w:jc w:val="center"/>
                    <w:rPr>
                      <w:rFonts w:hint="eastAsia"/>
                      <w:color w:val="000000"/>
                      <w:szCs w:val="21"/>
                    </w:rPr>
                  </w:pPr>
                  <w:r>
                    <w:rPr>
                      <w:rFonts w:hint="eastAsia"/>
                      <w:color w:val="00000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vMerge w:val="continue"/>
                  <w:noWrap w:val="0"/>
                  <w:vAlign w:val="center"/>
                </w:tcPr>
                <w:p>
                  <w:pPr>
                    <w:widowControl/>
                    <w:jc w:val="left"/>
                    <w:rPr>
                      <w:color w:val="000000"/>
                      <w:szCs w:val="21"/>
                    </w:rPr>
                  </w:pPr>
                </w:p>
              </w:tc>
              <w:tc>
                <w:tcPr>
                  <w:tcW w:w="1004" w:type="pct"/>
                  <w:noWrap w:val="0"/>
                  <w:vAlign w:val="center"/>
                </w:tcPr>
                <w:p>
                  <w:pPr>
                    <w:pStyle w:val="94"/>
                    <w:spacing w:beforeLines="0" w:afterLines="0" w:line="240" w:lineRule="auto"/>
                    <w:ind w:left="840" w:hanging="420"/>
                    <w:rPr>
                      <w:rFonts w:ascii="Times New Roman"/>
                      <w:snapToGrid w:val="0"/>
                      <w:color w:val="000000"/>
                      <w:kern w:val="21"/>
                      <w:szCs w:val="21"/>
                    </w:rPr>
                  </w:pPr>
                  <w:r>
                    <w:rPr>
                      <w:rFonts w:hint="eastAsia" w:ascii="Times New Roman"/>
                      <w:snapToGrid w:val="0"/>
                      <w:color w:val="000000"/>
                      <w:kern w:val="21"/>
                      <w:szCs w:val="21"/>
                    </w:rPr>
                    <w:t>H</w:t>
                  </w:r>
                  <w:r>
                    <w:rPr>
                      <w:rFonts w:hint="eastAsia" w:ascii="Times New Roman"/>
                      <w:snapToGrid w:val="0"/>
                      <w:color w:val="000000"/>
                      <w:kern w:val="21"/>
                      <w:szCs w:val="21"/>
                      <w:vertAlign w:val="subscript"/>
                    </w:rPr>
                    <w:t>2</w:t>
                  </w:r>
                  <w:r>
                    <w:rPr>
                      <w:rFonts w:hint="eastAsia" w:ascii="Times New Roman"/>
                      <w:snapToGrid w:val="0"/>
                      <w:color w:val="000000"/>
                      <w:kern w:val="21"/>
                      <w:szCs w:val="21"/>
                    </w:rPr>
                    <w:t>S</w:t>
                  </w:r>
                </w:p>
              </w:tc>
              <w:tc>
                <w:tcPr>
                  <w:tcW w:w="626" w:type="pct"/>
                  <w:noWrap w:val="0"/>
                  <w:vAlign w:val="center"/>
                </w:tcPr>
                <w:p>
                  <w:pPr>
                    <w:widowControl/>
                    <w:jc w:val="center"/>
                    <w:textAlignment w:val="center"/>
                    <w:rPr>
                      <w:color w:val="000000"/>
                      <w:szCs w:val="21"/>
                    </w:rPr>
                  </w:pPr>
                  <w:r>
                    <w:rPr>
                      <w:rFonts w:hint="eastAsia"/>
                      <w:color w:val="000000"/>
                      <w:kern w:val="0"/>
                      <w:szCs w:val="21"/>
                      <w:lang w:bidi="ar"/>
                    </w:rPr>
                    <w:t>0.00085</w:t>
                  </w:r>
                </w:p>
              </w:tc>
              <w:tc>
                <w:tcPr>
                  <w:tcW w:w="804" w:type="pct"/>
                  <w:noWrap w:val="0"/>
                  <w:vAlign w:val="center"/>
                </w:tcPr>
                <w:p>
                  <w:pPr>
                    <w:autoSpaceDE w:val="0"/>
                    <w:autoSpaceDN w:val="0"/>
                    <w:jc w:val="center"/>
                    <w:rPr>
                      <w:rFonts w:hint="eastAsia"/>
                      <w:color w:val="000000"/>
                      <w:szCs w:val="21"/>
                    </w:rPr>
                  </w:pPr>
                  <w:r>
                    <w:rPr>
                      <w:rFonts w:hint="eastAsia"/>
                      <w:color w:val="000000"/>
                      <w:szCs w:val="21"/>
                    </w:rPr>
                    <w:t>0</w:t>
                  </w:r>
                </w:p>
              </w:tc>
              <w:tc>
                <w:tcPr>
                  <w:tcW w:w="726" w:type="pct"/>
                  <w:noWrap w:val="0"/>
                  <w:vAlign w:val="center"/>
                </w:tcPr>
                <w:p>
                  <w:pPr>
                    <w:autoSpaceDE w:val="0"/>
                    <w:autoSpaceDN w:val="0"/>
                    <w:jc w:val="center"/>
                    <w:rPr>
                      <w:rFonts w:hint="eastAsia"/>
                      <w:color w:val="000000"/>
                      <w:szCs w:val="21"/>
                    </w:rPr>
                  </w:pPr>
                  <w:r>
                    <w:rPr>
                      <w:rFonts w:hint="eastAsia"/>
                      <w:color w:val="000000"/>
                      <w:szCs w:val="21"/>
                    </w:rPr>
                    <w:t>0</w:t>
                  </w:r>
                </w:p>
              </w:tc>
              <w:tc>
                <w:tcPr>
                  <w:tcW w:w="672" w:type="pct"/>
                  <w:noWrap w:val="0"/>
                  <w:vAlign w:val="center"/>
                </w:tcPr>
                <w:p>
                  <w:pPr>
                    <w:widowControl/>
                    <w:jc w:val="center"/>
                    <w:textAlignment w:val="center"/>
                    <w:rPr>
                      <w:color w:val="000000"/>
                      <w:szCs w:val="21"/>
                    </w:rPr>
                  </w:pPr>
                  <w:r>
                    <w:rPr>
                      <w:rFonts w:hint="eastAsia"/>
                      <w:color w:val="000000"/>
                      <w:kern w:val="0"/>
                      <w:szCs w:val="21"/>
                      <w:lang w:bidi="ar"/>
                    </w:rPr>
                    <w:t>0.00085</w:t>
                  </w:r>
                </w:p>
              </w:tc>
              <w:tc>
                <w:tcPr>
                  <w:tcW w:w="728" w:type="pct"/>
                  <w:noWrap w:val="0"/>
                  <w:vAlign w:val="center"/>
                </w:tcPr>
                <w:p>
                  <w:pPr>
                    <w:autoSpaceDE w:val="0"/>
                    <w:autoSpaceDN w:val="0"/>
                    <w:jc w:val="center"/>
                    <w:rPr>
                      <w:rFonts w:hint="eastAsia"/>
                      <w:color w:val="000000"/>
                      <w:szCs w:val="21"/>
                    </w:rPr>
                  </w:pPr>
                  <w:r>
                    <w:rPr>
                      <w:rFonts w:hint="eastAsia"/>
                      <w:color w:val="00000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vMerge w:val="continue"/>
                  <w:noWrap w:val="0"/>
                  <w:vAlign w:val="center"/>
                </w:tcPr>
                <w:p>
                  <w:pPr>
                    <w:widowControl/>
                    <w:jc w:val="left"/>
                    <w:rPr>
                      <w:color w:val="000000"/>
                      <w:szCs w:val="21"/>
                    </w:rPr>
                  </w:pPr>
                </w:p>
              </w:tc>
              <w:tc>
                <w:tcPr>
                  <w:tcW w:w="1004" w:type="pct"/>
                  <w:noWrap w:val="0"/>
                  <w:vAlign w:val="center"/>
                </w:tcPr>
                <w:p>
                  <w:pPr>
                    <w:pStyle w:val="94"/>
                    <w:spacing w:beforeLines="0" w:afterLines="0" w:line="240" w:lineRule="auto"/>
                    <w:ind w:left="840" w:hanging="420"/>
                    <w:rPr>
                      <w:rFonts w:ascii="Times New Roman"/>
                      <w:snapToGrid w:val="0"/>
                      <w:color w:val="000000"/>
                      <w:kern w:val="21"/>
                      <w:szCs w:val="21"/>
                    </w:rPr>
                  </w:pPr>
                  <w:r>
                    <w:rPr>
                      <w:rFonts w:hint="eastAsia" w:ascii="Times New Roman"/>
                      <w:snapToGrid w:val="0"/>
                      <w:color w:val="000000"/>
                      <w:kern w:val="21"/>
                      <w:szCs w:val="21"/>
                    </w:rPr>
                    <w:t>油烟</w:t>
                  </w:r>
                </w:p>
              </w:tc>
              <w:tc>
                <w:tcPr>
                  <w:tcW w:w="626" w:type="pct"/>
                  <w:noWrap w:val="0"/>
                  <w:vAlign w:val="center"/>
                </w:tcPr>
                <w:p>
                  <w:pPr>
                    <w:widowControl/>
                    <w:jc w:val="center"/>
                    <w:textAlignment w:val="center"/>
                    <w:rPr>
                      <w:color w:val="000000"/>
                      <w:kern w:val="2"/>
                      <w:sz w:val="21"/>
                      <w:szCs w:val="21"/>
                      <w:lang w:val="en-US" w:eastAsia="zh-CN" w:bidi="ar-SA"/>
                    </w:rPr>
                  </w:pPr>
                  <w:r>
                    <w:rPr>
                      <w:rFonts w:hint="eastAsia"/>
                      <w:color w:val="000000"/>
                      <w:kern w:val="0"/>
                      <w:szCs w:val="21"/>
                      <w:lang w:bidi="ar"/>
                    </w:rPr>
                    <w:t>0.00876</w:t>
                  </w:r>
                </w:p>
              </w:tc>
              <w:tc>
                <w:tcPr>
                  <w:tcW w:w="804" w:type="pct"/>
                  <w:noWrap w:val="0"/>
                  <w:vAlign w:val="center"/>
                </w:tcPr>
                <w:p>
                  <w:pPr>
                    <w:adjustRightInd w:val="0"/>
                    <w:snapToGrid w:val="0"/>
                    <w:jc w:val="center"/>
                    <w:rPr>
                      <w:rFonts w:hint="default" w:eastAsia="宋体"/>
                      <w:bCs/>
                      <w:color w:val="000000"/>
                      <w:kern w:val="0"/>
                      <w:sz w:val="21"/>
                      <w:szCs w:val="21"/>
                      <w:lang w:val="en-US" w:eastAsia="zh-CN" w:bidi="ar-SA"/>
                    </w:rPr>
                  </w:pPr>
                  <w:r>
                    <w:rPr>
                      <w:rFonts w:hint="eastAsia"/>
                      <w:bCs/>
                      <w:color w:val="000000"/>
                      <w:kern w:val="0"/>
                      <w:szCs w:val="21"/>
                    </w:rPr>
                    <w:t>0.0</w:t>
                  </w:r>
                  <w:r>
                    <w:rPr>
                      <w:rFonts w:hint="eastAsia"/>
                      <w:bCs/>
                      <w:color w:val="000000"/>
                      <w:kern w:val="0"/>
                      <w:szCs w:val="21"/>
                      <w:lang w:val="en-US" w:eastAsia="zh-CN"/>
                    </w:rPr>
                    <w:t>4537</w:t>
                  </w:r>
                </w:p>
              </w:tc>
              <w:tc>
                <w:tcPr>
                  <w:tcW w:w="726" w:type="pct"/>
                  <w:noWrap w:val="0"/>
                  <w:vAlign w:val="center"/>
                </w:tcPr>
                <w:p>
                  <w:pPr>
                    <w:autoSpaceDE w:val="0"/>
                    <w:autoSpaceDN w:val="0"/>
                    <w:jc w:val="center"/>
                    <w:rPr>
                      <w:rFonts w:hint="eastAsia"/>
                      <w:color w:val="000000"/>
                      <w:kern w:val="2"/>
                      <w:sz w:val="21"/>
                      <w:szCs w:val="21"/>
                      <w:lang w:val="en-US" w:eastAsia="zh-CN" w:bidi="ar-SA"/>
                    </w:rPr>
                  </w:pPr>
                  <w:r>
                    <w:rPr>
                      <w:rFonts w:hint="eastAsia"/>
                      <w:color w:val="000000"/>
                      <w:szCs w:val="21"/>
                    </w:rPr>
                    <w:t>0</w:t>
                  </w:r>
                </w:p>
              </w:tc>
              <w:tc>
                <w:tcPr>
                  <w:tcW w:w="672" w:type="pct"/>
                  <w:noWrap w:val="0"/>
                  <w:vAlign w:val="center"/>
                </w:tcPr>
                <w:p>
                  <w:pPr>
                    <w:widowControl/>
                    <w:jc w:val="center"/>
                    <w:textAlignment w:val="center"/>
                    <w:rPr>
                      <w:rFonts w:hint="default" w:eastAsia="宋体"/>
                      <w:color w:val="000000"/>
                      <w:kern w:val="2"/>
                      <w:sz w:val="21"/>
                      <w:szCs w:val="21"/>
                      <w:lang w:val="en-US" w:eastAsia="zh-CN" w:bidi="ar-SA"/>
                    </w:rPr>
                  </w:pPr>
                  <w:r>
                    <w:rPr>
                      <w:rFonts w:hint="eastAsia"/>
                      <w:color w:val="000000"/>
                      <w:szCs w:val="21"/>
                    </w:rPr>
                    <w:t>0.0</w:t>
                  </w:r>
                  <w:r>
                    <w:rPr>
                      <w:rFonts w:hint="eastAsia"/>
                      <w:color w:val="000000"/>
                      <w:szCs w:val="21"/>
                      <w:lang w:val="en-US" w:eastAsia="zh-CN"/>
                    </w:rPr>
                    <w:t>5413</w:t>
                  </w:r>
                </w:p>
              </w:tc>
              <w:tc>
                <w:tcPr>
                  <w:tcW w:w="728" w:type="pct"/>
                  <w:noWrap w:val="0"/>
                  <w:vAlign w:val="center"/>
                </w:tcPr>
                <w:p>
                  <w:pPr>
                    <w:adjustRightInd w:val="0"/>
                    <w:snapToGrid w:val="0"/>
                    <w:jc w:val="center"/>
                    <w:rPr>
                      <w:rFonts w:hint="default" w:eastAsia="宋体"/>
                      <w:bCs/>
                      <w:color w:val="000000"/>
                      <w:kern w:val="0"/>
                      <w:sz w:val="21"/>
                      <w:szCs w:val="21"/>
                      <w:lang w:val="en-US" w:eastAsia="zh-CN" w:bidi="ar-SA"/>
                    </w:rPr>
                  </w:pPr>
                  <w:r>
                    <w:rPr>
                      <w:rFonts w:hint="eastAsia"/>
                      <w:bCs/>
                      <w:color w:val="000000"/>
                      <w:kern w:val="0"/>
                      <w:szCs w:val="21"/>
                    </w:rPr>
                    <w:t>+0.0</w:t>
                  </w:r>
                  <w:r>
                    <w:rPr>
                      <w:rFonts w:hint="eastAsia"/>
                      <w:bCs/>
                      <w:color w:val="000000"/>
                      <w:kern w:val="0"/>
                      <w:szCs w:val="21"/>
                      <w:lang w:val="en-US" w:eastAsia="zh-CN"/>
                    </w:rPr>
                    <w:t>4537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vMerge w:val="restart"/>
                  <w:noWrap w:val="0"/>
                  <w:vAlign w:val="center"/>
                </w:tcPr>
                <w:p>
                  <w:pPr>
                    <w:jc w:val="center"/>
                    <w:rPr>
                      <w:color w:val="000000"/>
                      <w:szCs w:val="21"/>
                    </w:rPr>
                  </w:pPr>
                  <w:r>
                    <w:rPr>
                      <w:color w:val="000000"/>
                      <w:szCs w:val="21"/>
                    </w:rPr>
                    <w:t>固废</w:t>
                  </w:r>
                </w:p>
              </w:tc>
              <w:tc>
                <w:tcPr>
                  <w:tcW w:w="1004" w:type="pct"/>
                  <w:noWrap w:val="0"/>
                  <w:vAlign w:val="center"/>
                </w:tcPr>
                <w:p>
                  <w:pPr>
                    <w:widowControl/>
                    <w:jc w:val="center"/>
                    <w:textAlignment w:val="bottom"/>
                    <w:rPr>
                      <w:rFonts w:hint="eastAsia" w:hAnsi="宋体" w:cs="宋体"/>
                      <w:snapToGrid w:val="0"/>
                      <w:color w:val="000000"/>
                      <w:kern w:val="21"/>
                      <w:szCs w:val="21"/>
                    </w:rPr>
                  </w:pPr>
                  <w:r>
                    <w:rPr>
                      <w:rFonts w:hint="eastAsia"/>
                      <w:color w:val="000000"/>
                      <w:kern w:val="0"/>
                      <w:szCs w:val="21"/>
                      <w:lang w:bidi="ar"/>
                    </w:rPr>
                    <w:t>生活垃圾</w:t>
                  </w:r>
                </w:p>
              </w:tc>
              <w:tc>
                <w:tcPr>
                  <w:tcW w:w="626" w:type="pct"/>
                  <w:noWrap w:val="0"/>
                  <w:vAlign w:val="center"/>
                </w:tcPr>
                <w:p>
                  <w:pPr>
                    <w:widowControl/>
                    <w:jc w:val="center"/>
                    <w:textAlignment w:val="bottom"/>
                    <w:rPr>
                      <w:rFonts w:hAnsi="宋体" w:cs="宋体"/>
                      <w:snapToGrid w:val="0"/>
                      <w:color w:val="000000"/>
                      <w:kern w:val="21"/>
                      <w:sz w:val="21"/>
                      <w:szCs w:val="21"/>
                      <w:lang w:val="en-US" w:eastAsia="zh-CN" w:bidi="ar-SA"/>
                    </w:rPr>
                  </w:pPr>
                  <w:r>
                    <w:rPr>
                      <w:rFonts w:hint="eastAsia"/>
                      <w:color w:val="000000"/>
                      <w:kern w:val="0"/>
                      <w:szCs w:val="21"/>
                      <w:lang w:bidi="ar"/>
                    </w:rPr>
                    <w:t>54.8</w:t>
                  </w:r>
                </w:p>
              </w:tc>
              <w:tc>
                <w:tcPr>
                  <w:tcW w:w="804" w:type="pct"/>
                  <w:noWrap w:val="0"/>
                  <w:vAlign w:val="center"/>
                </w:tcPr>
                <w:p>
                  <w:pPr>
                    <w:jc w:val="center"/>
                    <w:rPr>
                      <w:rFonts w:hint="default" w:eastAsia="宋体"/>
                      <w:color w:val="000000"/>
                      <w:kern w:val="2"/>
                      <w:sz w:val="21"/>
                      <w:szCs w:val="21"/>
                      <w:lang w:val="en-US" w:eastAsia="zh-CN" w:bidi="ar-SA"/>
                    </w:rPr>
                  </w:pPr>
                  <w:r>
                    <w:rPr>
                      <w:rFonts w:hint="eastAsia"/>
                      <w:color w:val="000000"/>
                      <w:szCs w:val="21"/>
                      <w:lang w:val="en-US" w:eastAsia="zh-CN"/>
                    </w:rPr>
                    <w:t>40.83</w:t>
                  </w:r>
                </w:p>
              </w:tc>
              <w:tc>
                <w:tcPr>
                  <w:tcW w:w="726" w:type="pct"/>
                  <w:noWrap w:val="0"/>
                  <w:vAlign w:val="center"/>
                </w:tcPr>
                <w:p>
                  <w:pPr>
                    <w:autoSpaceDE w:val="0"/>
                    <w:autoSpaceDN w:val="0"/>
                    <w:jc w:val="center"/>
                    <w:rPr>
                      <w:rFonts w:hint="eastAsia"/>
                      <w:color w:val="000000"/>
                      <w:kern w:val="2"/>
                      <w:sz w:val="21"/>
                      <w:szCs w:val="21"/>
                      <w:lang w:val="en-US" w:eastAsia="zh-CN" w:bidi="ar-SA"/>
                    </w:rPr>
                  </w:pPr>
                  <w:r>
                    <w:rPr>
                      <w:rFonts w:hint="eastAsia"/>
                      <w:color w:val="000000"/>
                      <w:szCs w:val="21"/>
                    </w:rPr>
                    <w:t>0</w:t>
                  </w:r>
                </w:p>
              </w:tc>
              <w:tc>
                <w:tcPr>
                  <w:tcW w:w="672" w:type="pct"/>
                  <w:noWrap w:val="0"/>
                  <w:vAlign w:val="center"/>
                </w:tcPr>
                <w:p>
                  <w:pPr>
                    <w:jc w:val="center"/>
                    <w:rPr>
                      <w:rFonts w:hint="default" w:eastAsia="宋体"/>
                      <w:color w:val="000000"/>
                      <w:kern w:val="2"/>
                      <w:sz w:val="21"/>
                      <w:szCs w:val="21"/>
                      <w:lang w:val="en-US" w:eastAsia="zh-CN" w:bidi="ar-SA"/>
                    </w:rPr>
                  </w:pPr>
                  <w:r>
                    <w:rPr>
                      <w:rFonts w:hint="eastAsia"/>
                      <w:color w:val="000000"/>
                      <w:szCs w:val="21"/>
                      <w:lang w:val="en-US" w:eastAsia="zh-CN"/>
                    </w:rPr>
                    <w:t>95.63</w:t>
                  </w:r>
                </w:p>
              </w:tc>
              <w:tc>
                <w:tcPr>
                  <w:tcW w:w="728" w:type="pct"/>
                  <w:noWrap w:val="0"/>
                  <w:vAlign w:val="center"/>
                </w:tcPr>
                <w:p>
                  <w:pPr>
                    <w:jc w:val="center"/>
                    <w:rPr>
                      <w:rFonts w:hint="default" w:eastAsia="宋体"/>
                      <w:color w:val="000000"/>
                      <w:kern w:val="2"/>
                      <w:sz w:val="21"/>
                      <w:szCs w:val="21"/>
                      <w:lang w:val="en-US" w:eastAsia="zh-CN" w:bidi="ar-SA"/>
                    </w:rPr>
                  </w:pPr>
                  <w:r>
                    <w:rPr>
                      <w:rFonts w:hint="eastAsia"/>
                      <w:color w:val="000000"/>
                      <w:szCs w:val="21"/>
                    </w:rPr>
                    <w:t>+</w:t>
                  </w:r>
                  <w:r>
                    <w:rPr>
                      <w:rFonts w:hint="eastAsia"/>
                      <w:color w:val="000000"/>
                      <w:szCs w:val="21"/>
                      <w:lang w:val="en-US" w:eastAsia="zh-CN"/>
                    </w:rPr>
                    <w:t>40.83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vMerge w:val="continue"/>
                  <w:noWrap w:val="0"/>
                  <w:vAlign w:val="center"/>
                </w:tcPr>
                <w:p>
                  <w:pPr>
                    <w:widowControl/>
                    <w:jc w:val="left"/>
                    <w:rPr>
                      <w:color w:val="000000"/>
                      <w:szCs w:val="21"/>
                    </w:rPr>
                  </w:pPr>
                </w:p>
              </w:tc>
              <w:tc>
                <w:tcPr>
                  <w:tcW w:w="1004" w:type="pct"/>
                  <w:noWrap w:val="0"/>
                  <w:vAlign w:val="center"/>
                </w:tcPr>
                <w:p>
                  <w:pPr>
                    <w:widowControl/>
                    <w:jc w:val="center"/>
                    <w:textAlignment w:val="bottom"/>
                    <w:rPr>
                      <w:rFonts w:hint="eastAsia" w:hAnsi="宋体" w:cs="宋体"/>
                      <w:snapToGrid w:val="0"/>
                      <w:color w:val="000000"/>
                      <w:kern w:val="21"/>
                      <w:szCs w:val="21"/>
                    </w:rPr>
                  </w:pPr>
                  <w:r>
                    <w:rPr>
                      <w:rFonts w:hint="eastAsia"/>
                      <w:color w:val="000000"/>
                      <w:kern w:val="0"/>
                      <w:szCs w:val="21"/>
                      <w:lang w:bidi="ar"/>
                    </w:rPr>
                    <w:t>医疗废物</w:t>
                  </w:r>
                </w:p>
              </w:tc>
              <w:tc>
                <w:tcPr>
                  <w:tcW w:w="626" w:type="pct"/>
                  <w:noWrap w:val="0"/>
                  <w:vAlign w:val="center"/>
                </w:tcPr>
                <w:p>
                  <w:pPr>
                    <w:widowControl/>
                    <w:jc w:val="center"/>
                    <w:textAlignment w:val="bottom"/>
                    <w:rPr>
                      <w:rFonts w:hAnsi="宋体" w:cs="宋体"/>
                      <w:snapToGrid w:val="0"/>
                      <w:color w:val="000000"/>
                      <w:kern w:val="21"/>
                      <w:szCs w:val="21"/>
                    </w:rPr>
                  </w:pPr>
                  <w:r>
                    <w:rPr>
                      <w:rFonts w:hint="eastAsia"/>
                      <w:color w:val="000000"/>
                      <w:kern w:val="0"/>
                      <w:szCs w:val="21"/>
                      <w:lang w:bidi="ar"/>
                    </w:rPr>
                    <w:t>1.2</w:t>
                  </w:r>
                </w:p>
              </w:tc>
              <w:tc>
                <w:tcPr>
                  <w:tcW w:w="804" w:type="pct"/>
                  <w:noWrap w:val="0"/>
                  <w:vAlign w:val="center"/>
                </w:tcPr>
                <w:p>
                  <w:pPr>
                    <w:jc w:val="center"/>
                    <w:rPr>
                      <w:color w:val="000000"/>
                      <w:szCs w:val="21"/>
                    </w:rPr>
                  </w:pPr>
                  <w:r>
                    <w:rPr>
                      <w:rFonts w:hint="eastAsia"/>
                      <w:color w:val="000000"/>
                      <w:szCs w:val="21"/>
                    </w:rPr>
                    <w:t>5.37</w:t>
                  </w:r>
                </w:p>
              </w:tc>
              <w:tc>
                <w:tcPr>
                  <w:tcW w:w="726" w:type="pct"/>
                  <w:noWrap w:val="0"/>
                  <w:vAlign w:val="center"/>
                </w:tcPr>
                <w:p>
                  <w:pPr>
                    <w:autoSpaceDE w:val="0"/>
                    <w:autoSpaceDN w:val="0"/>
                    <w:jc w:val="center"/>
                    <w:rPr>
                      <w:rFonts w:hint="eastAsia"/>
                      <w:color w:val="000000"/>
                      <w:szCs w:val="21"/>
                    </w:rPr>
                  </w:pPr>
                  <w:r>
                    <w:rPr>
                      <w:rFonts w:hint="eastAsia"/>
                      <w:color w:val="000000"/>
                      <w:szCs w:val="21"/>
                    </w:rPr>
                    <w:t>0</w:t>
                  </w:r>
                </w:p>
              </w:tc>
              <w:tc>
                <w:tcPr>
                  <w:tcW w:w="672" w:type="pct"/>
                  <w:noWrap w:val="0"/>
                  <w:vAlign w:val="center"/>
                </w:tcPr>
                <w:p>
                  <w:pPr>
                    <w:jc w:val="center"/>
                    <w:rPr>
                      <w:color w:val="000000"/>
                      <w:szCs w:val="21"/>
                    </w:rPr>
                  </w:pPr>
                  <w:r>
                    <w:rPr>
                      <w:rFonts w:hint="eastAsia"/>
                      <w:color w:val="000000"/>
                      <w:szCs w:val="21"/>
                    </w:rPr>
                    <w:t>6.57</w:t>
                  </w:r>
                </w:p>
              </w:tc>
              <w:tc>
                <w:tcPr>
                  <w:tcW w:w="728" w:type="pct"/>
                  <w:noWrap w:val="0"/>
                  <w:vAlign w:val="center"/>
                </w:tcPr>
                <w:p>
                  <w:pPr>
                    <w:jc w:val="center"/>
                    <w:rPr>
                      <w:color w:val="000000"/>
                      <w:szCs w:val="21"/>
                    </w:rPr>
                  </w:pPr>
                  <w:r>
                    <w:rPr>
                      <w:rFonts w:hint="eastAsia"/>
                      <w:color w:val="000000"/>
                      <w:szCs w:val="21"/>
                    </w:rPr>
                    <w:t>+5.37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vMerge w:val="continue"/>
                  <w:noWrap w:val="0"/>
                  <w:vAlign w:val="center"/>
                </w:tcPr>
                <w:p>
                  <w:pPr>
                    <w:widowControl/>
                    <w:jc w:val="left"/>
                    <w:rPr>
                      <w:color w:val="000000"/>
                      <w:szCs w:val="21"/>
                    </w:rPr>
                  </w:pPr>
                </w:p>
              </w:tc>
              <w:tc>
                <w:tcPr>
                  <w:tcW w:w="1004" w:type="pct"/>
                  <w:noWrap w:val="0"/>
                  <w:vAlign w:val="center"/>
                </w:tcPr>
                <w:p>
                  <w:pPr>
                    <w:widowControl/>
                    <w:jc w:val="center"/>
                    <w:textAlignment w:val="bottom"/>
                    <w:rPr>
                      <w:rFonts w:hint="eastAsia" w:hAnsi="宋体" w:cs="宋体"/>
                      <w:snapToGrid w:val="0"/>
                      <w:color w:val="000000"/>
                      <w:kern w:val="21"/>
                      <w:szCs w:val="21"/>
                    </w:rPr>
                  </w:pPr>
                  <w:r>
                    <w:rPr>
                      <w:rFonts w:hint="eastAsia"/>
                      <w:color w:val="000000"/>
                      <w:kern w:val="0"/>
                      <w:szCs w:val="21"/>
                      <w:lang w:bidi="ar"/>
                    </w:rPr>
                    <w:t>污水站污泥</w:t>
                  </w:r>
                </w:p>
              </w:tc>
              <w:tc>
                <w:tcPr>
                  <w:tcW w:w="626" w:type="pct"/>
                  <w:noWrap w:val="0"/>
                  <w:vAlign w:val="center"/>
                </w:tcPr>
                <w:p>
                  <w:pPr>
                    <w:pStyle w:val="184"/>
                    <w:rPr>
                      <w:rFonts w:ascii="Times New Roman" w:hAnsi="Times New Roman"/>
                      <w:color w:val="000000"/>
                      <w:kern w:val="2"/>
                    </w:rPr>
                  </w:pPr>
                  <w:r>
                    <w:rPr>
                      <w:rFonts w:hint="eastAsia" w:ascii="Times New Roman" w:hAnsi="Times New Roman"/>
                      <w:color w:val="000000"/>
                      <w:kern w:val="2"/>
                    </w:rPr>
                    <w:t>0.96</w:t>
                  </w:r>
                </w:p>
              </w:tc>
              <w:tc>
                <w:tcPr>
                  <w:tcW w:w="804" w:type="pct"/>
                  <w:noWrap w:val="0"/>
                  <w:vAlign w:val="center"/>
                </w:tcPr>
                <w:p>
                  <w:pPr>
                    <w:pStyle w:val="184"/>
                    <w:rPr>
                      <w:rFonts w:ascii="Times New Roman" w:hAnsi="Times New Roman"/>
                      <w:color w:val="000000"/>
                      <w:kern w:val="2"/>
                    </w:rPr>
                  </w:pPr>
                  <w:r>
                    <w:rPr>
                      <w:rFonts w:hint="eastAsia" w:ascii="Times New Roman" w:hAnsi="Times New Roman"/>
                      <w:color w:val="000000"/>
                      <w:kern w:val="2"/>
                    </w:rPr>
                    <w:t>0.54</w:t>
                  </w:r>
                </w:p>
              </w:tc>
              <w:tc>
                <w:tcPr>
                  <w:tcW w:w="726" w:type="pct"/>
                  <w:noWrap w:val="0"/>
                  <w:vAlign w:val="center"/>
                </w:tcPr>
                <w:p>
                  <w:pPr>
                    <w:pStyle w:val="184"/>
                    <w:rPr>
                      <w:rFonts w:ascii="Times New Roman" w:hAnsi="Times New Roman"/>
                      <w:color w:val="000000"/>
                      <w:kern w:val="2"/>
                    </w:rPr>
                  </w:pPr>
                  <w:r>
                    <w:rPr>
                      <w:rFonts w:hint="eastAsia" w:ascii="Times New Roman" w:hAnsi="Times New Roman"/>
                      <w:color w:val="000000"/>
                      <w:kern w:val="2"/>
                    </w:rPr>
                    <w:t>0</w:t>
                  </w:r>
                </w:p>
              </w:tc>
              <w:tc>
                <w:tcPr>
                  <w:tcW w:w="672" w:type="pct"/>
                  <w:noWrap w:val="0"/>
                  <w:vAlign w:val="center"/>
                </w:tcPr>
                <w:p>
                  <w:pPr>
                    <w:pStyle w:val="184"/>
                    <w:rPr>
                      <w:rFonts w:ascii="Times New Roman" w:hAnsi="Times New Roman"/>
                      <w:color w:val="000000"/>
                      <w:kern w:val="2"/>
                    </w:rPr>
                  </w:pPr>
                  <w:r>
                    <w:rPr>
                      <w:rFonts w:hint="eastAsia" w:ascii="Times New Roman" w:hAnsi="Times New Roman"/>
                      <w:color w:val="000000"/>
                      <w:kern w:val="2"/>
                    </w:rPr>
                    <w:t>1.5</w:t>
                  </w:r>
                </w:p>
              </w:tc>
              <w:tc>
                <w:tcPr>
                  <w:tcW w:w="728" w:type="pct"/>
                  <w:noWrap w:val="0"/>
                  <w:vAlign w:val="center"/>
                </w:tcPr>
                <w:p>
                  <w:pPr>
                    <w:pStyle w:val="184"/>
                    <w:rPr>
                      <w:rFonts w:ascii="Times New Roman" w:hAnsi="Times New Roman"/>
                      <w:color w:val="000000"/>
                      <w:kern w:val="2"/>
                    </w:rPr>
                  </w:pPr>
                  <w:r>
                    <w:rPr>
                      <w:rFonts w:hint="eastAsia" w:ascii="Times New Roman" w:hAnsi="Times New Roman"/>
                      <w:color w:val="000000"/>
                      <w:kern w:val="2"/>
                    </w:rPr>
                    <w:t>+0.54</w:t>
                  </w:r>
                </w:p>
              </w:tc>
            </w:tr>
          </w:tbl>
          <w:p>
            <w:pPr>
              <w:pStyle w:val="185"/>
              <w:ind w:firstLine="480"/>
              <w:rPr>
                <w:rFonts w:hint="eastAsia"/>
                <w:color w:val="000000"/>
              </w:rPr>
            </w:pPr>
            <w:r>
              <w:rPr>
                <w:rFonts w:hint="eastAsia"/>
                <w:color w:val="000000"/>
              </w:rPr>
              <w:t>本项目是在原有项目基础上进行扩建，主要建设内容为：门诊</w:t>
            </w:r>
            <w:r>
              <w:rPr>
                <w:rFonts w:hint="eastAsia"/>
                <w:color w:val="000000"/>
                <w:lang w:eastAsia="zh-CN"/>
              </w:rPr>
              <w:t>楼（</w:t>
            </w:r>
            <w:r>
              <w:rPr>
                <w:rFonts w:hint="eastAsia"/>
                <w:color w:val="000000"/>
                <w:lang w:val="en-US" w:eastAsia="zh-CN"/>
              </w:rPr>
              <w:t>1号楼</w:t>
            </w:r>
            <w:r>
              <w:rPr>
                <w:rFonts w:hint="eastAsia"/>
                <w:color w:val="000000"/>
                <w:lang w:eastAsia="zh-CN"/>
              </w:rPr>
              <w:t>）和住院楼（</w:t>
            </w:r>
            <w:r>
              <w:rPr>
                <w:rFonts w:hint="eastAsia"/>
                <w:color w:val="000000"/>
                <w:lang w:val="en-US" w:eastAsia="zh-CN"/>
              </w:rPr>
              <w:t>2号楼</w:t>
            </w:r>
            <w:r>
              <w:rPr>
                <w:rFonts w:hint="eastAsia"/>
                <w:color w:val="000000"/>
                <w:lang w:eastAsia="zh-CN"/>
              </w:rPr>
              <w:t>）</w:t>
            </w:r>
            <w:r>
              <w:rPr>
                <w:rFonts w:hint="eastAsia"/>
                <w:color w:val="000000"/>
              </w:rPr>
              <w:t>内扩建床位1</w:t>
            </w:r>
            <w:r>
              <w:rPr>
                <w:rFonts w:hint="eastAsia"/>
                <w:color w:val="000000"/>
                <w:lang w:val="en-US" w:eastAsia="zh-CN"/>
              </w:rPr>
              <w:t>10</w:t>
            </w:r>
            <w:r>
              <w:rPr>
                <w:rFonts w:hint="eastAsia"/>
                <w:color w:val="000000"/>
              </w:rPr>
              <w:t>张。本次扩建新增劳动定员</w:t>
            </w:r>
            <w:r>
              <w:rPr>
                <w:rFonts w:hint="eastAsia"/>
                <w:color w:val="000000"/>
                <w:lang w:val="en-US" w:eastAsia="zh-CN"/>
              </w:rPr>
              <w:t>52人</w:t>
            </w:r>
            <w:r>
              <w:rPr>
                <w:rFonts w:hint="eastAsia"/>
                <w:color w:val="000000"/>
              </w:rPr>
              <w:t>。</w:t>
            </w:r>
            <w:r>
              <w:rPr>
                <w:kern w:val="0"/>
                <w:sz w:val="24"/>
              </w:rPr>
              <w:t>本项目扩建后，由于新增床位和</w:t>
            </w:r>
            <w:r>
              <w:rPr>
                <w:rFonts w:hint="eastAsia"/>
                <w:kern w:val="0"/>
                <w:sz w:val="24"/>
                <w:lang w:eastAsia="zh-CN"/>
              </w:rPr>
              <w:t>住院</w:t>
            </w:r>
            <w:r>
              <w:rPr>
                <w:kern w:val="0"/>
                <w:sz w:val="24"/>
              </w:rPr>
              <w:t>人数，因此项目废水排放量有所增加，故废水主要污染物COD、</w:t>
            </w:r>
            <w:r>
              <w:rPr>
                <w:rFonts w:hint="eastAsia"/>
                <w:kern w:val="0"/>
                <w:sz w:val="24"/>
                <w:lang w:val="en-US" w:eastAsia="zh-CN"/>
              </w:rPr>
              <w:t>SS、</w:t>
            </w:r>
            <w:r>
              <w:rPr>
                <w:kern w:val="0"/>
                <w:sz w:val="24"/>
              </w:rPr>
              <w:t>NH</w:t>
            </w:r>
            <w:r>
              <w:rPr>
                <w:kern w:val="0"/>
                <w:sz w:val="24"/>
                <w:vertAlign w:val="subscript"/>
              </w:rPr>
              <w:t>3</w:t>
            </w:r>
            <w:r>
              <w:rPr>
                <w:kern w:val="0"/>
                <w:sz w:val="24"/>
              </w:rPr>
              <w:t>-N和</w:t>
            </w:r>
            <w:r>
              <w:rPr>
                <w:rFonts w:hint="eastAsia"/>
                <w:kern w:val="0"/>
                <w:sz w:val="24"/>
                <w:lang w:val="en-US" w:eastAsia="zh-CN"/>
              </w:rPr>
              <w:t>BOD</w:t>
            </w:r>
            <w:r>
              <w:rPr>
                <w:rFonts w:hint="eastAsia"/>
                <w:kern w:val="0"/>
                <w:sz w:val="24"/>
                <w:vertAlign w:val="subscript"/>
                <w:lang w:val="en-US" w:eastAsia="zh-CN"/>
              </w:rPr>
              <w:t>5</w:t>
            </w:r>
            <w:r>
              <w:rPr>
                <w:kern w:val="0"/>
                <w:sz w:val="24"/>
              </w:rPr>
              <w:t>有所增加。</w:t>
            </w:r>
          </w:p>
          <w:p>
            <w:pPr>
              <w:spacing w:line="360" w:lineRule="auto"/>
              <w:rPr>
                <w:b/>
                <w:sz w:val="24"/>
              </w:rPr>
            </w:pPr>
            <w:r>
              <w:rPr>
                <w:rFonts w:hint="eastAsia"/>
                <w:b/>
                <w:sz w:val="24"/>
              </w:rPr>
              <w:t>九</w:t>
            </w:r>
            <w:r>
              <w:rPr>
                <w:rFonts w:hAnsi="宋体"/>
                <w:b/>
                <w:sz w:val="24"/>
              </w:rPr>
              <w:t>、</w:t>
            </w:r>
            <w:r>
              <w:rPr>
                <w:rFonts w:hint="eastAsia" w:hAnsi="宋体"/>
                <w:b/>
                <w:sz w:val="24"/>
              </w:rPr>
              <w:t>项目环保治理投资估算</w:t>
            </w:r>
          </w:p>
          <w:p>
            <w:pPr>
              <w:spacing w:line="360" w:lineRule="auto"/>
              <w:ind w:firstLine="480" w:firstLineChars="200"/>
              <w:rPr>
                <w:sz w:val="24"/>
              </w:rPr>
            </w:pPr>
            <w:r>
              <w:rPr>
                <w:sz w:val="24"/>
              </w:rPr>
              <w:t>本项目建设总投资</w:t>
            </w:r>
            <w:r>
              <w:rPr>
                <w:rFonts w:hint="eastAsia"/>
                <w:sz w:val="24"/>
              </w:rPr>
              <w:t>300</w:t>
            </w:r>
            <w:r>
              <w:rPr>
                <w:sz w:val="24"/>
              </w:rPr>
              <w:t>万元，项目环保投资预计为</w:t>
            </w:r>
            <w:r>
              <w:rPr>
                <w:rFonts w:hint="eastAsia"/>
                <w:sz w:val="24"/>
                <w:lang w:val="en-US" w:eastAsia="zh-CN"/>
              </w:rPr>
              <w:t>19.0</w:t>
            </w:r>
            <w:r>
              <w:rPr>
                <w:sz w:val="24"/>
              </w:rPr>
              <w:t>万元，占项目总投资的</w:t>
            </w:r>
            <w:r>
              <w:rPr>
                <w:rFonts w:hint="eastAsia"/>
                <w:sz w:val="24"/>
                <w:lang w:val="en-US" w:eastAsia="zh-CN"/>
              </w:rPr>
              <w:t>6.3</w:t>
            </w:r>
            <w:r>
              <w:rPr>
                <w:sz w:val="24"/>
              </w:rPr>
              <w:t>%，项目环保设施及投资详见表</w:t>
            </w:r>
            <w:r>
              <w:rPr>
                <w:rFonts w:hint="eastAsia"/>
                <w:sz w:val="24"/>
              </w:rPr>
              <w:t>4-2</w:t>
            </w:r>
            <w:r>
              <w:rPr>
                <w:rFonts w:hint="eastAsia"/>
                <w:sz w:val="24"/>
                <w:lang w:val="en-US" w:eastAsia="zh-CN"/>
              </w:rPr>
              <w:t>9</w:t>
            </w:r>
            <w:r>
              <w:rPr>
                <w:rFonts w:hint="eastAsia"/>
                <w:sz w:val="24"/>
              </w:rPr>
              <w:t>：</w:t>
            </w:r>
          </w:p>
          <w:p>
            <w:pPr>
              <w:jc w:val="center"/>
              <w:rPr>
                <w:rFonts w:hint="eastAsia"/>
                <w:b/>
              </w:rPr>
            </w:pPr>
            <w:r>
              <w:rPr>
                <w:rFonts w:hint="eastAsia"/>
                <w:b/>
              </w:rPr>
              <w:t>表4-2</w:t>
            </w:r>
            <w:r>
              <w:rPr>
                <w:rFonts w:hint="eastAsia"/>
                <w:b/>
                <w:lang w:val="en-US" w:eastAsia="zh-CN"/>
              </w:rPr>
              <w:t>9</w:t>
            </w:r>
            <w:r>
              <w:rPr>
                <w:rFonts w:hint="eastAsia"/>
                <w:b/>
              </w:rPr>
              <w:t xml:space="preserve">  环保设施投资一览表</w:t>
            </w:r>
          </w:p>
          <w:tbl>
            <w:tblPr>
              <w:tblStyle w:val="41"/>
              <w:tblW w:w="4993"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01"/>
              <w:gridCol w:w="656"/>
              <w:gridCol w:w="1753"/>
              <w:gridCol w:w="4066"/>
              <w:gridCol w:w="102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370" w:type="pct"/>
                  <w:tcBorders>
                    <w:top w:val="single" w:color="auto" w:sz="12" w:space="0"/>
                    <w:left w:val="nil"/>
                    <w:bottom w:val="single" w:color="auto" w:sz="12" w:space="0"/>
                    <w:right w:val="single" w:color="auto" w:sz="6" w:space="0"/>
                  </w:tcBorders>
                  <w:noWrap w:val="0"/>
                  <w:vAlign w:val="center"/>
                </w:tcPr>
                <w:p>
                  <w:pPr>
                    <w:jc w:val="center"/>
                    <w:rPr>
                      <w:b/>
                      <w:bCs/>
                    </w:rPr>
                  </w:pPr>
                  <w:r>
                    <w:rPr>
                      <w:rFonts w:hint="eastAsia"/>
                      <w:b/>
                      <w:bCs/>
                    </w:rPr>
                    <w:t>分期</w:t>
                  </w:r>
                </w:p>
              </w:tc>
              <w:tc>
                <w:tcPr>
                  <w:tcW w:w="404" w:type="pct"/>
                  <w:tcBorders>
                    <w:top w:val="single" w:color="auto" w:sz="12" w:space="0"/>
                    <w:left w:val="single" w:color="auto" w:sz="6" w:space="0"/>
                    <w:bottom w:val="single" w:color="auto" w:sz="12" w:space="0"/>
                    <w:right w:val="single" w:color="auto" w:sz="6" w:space="0"/>
                  </w:tcBorders>
                  <w:noWrap w:val="0"/>
                  <w:vAlign w:val="center"/>
                </w:tcPr>
                <w:p>
                  <w:pPr>
                    <w:jc w:val="center"/>
                    <w:rPr>
                      <w:b/>
                      <w:bCs/>
                    </w:rPr>
                  </w:pPr>
                  <w:r>
                    <w:rPr>
                      <w:rFonts w:hint="eastAsia"/>
                      <w:b/>
                      <w:bCs/>
                    </w:rPr>
                    <w:t>类型</w:t>
                  </w:r>
                </w:p>
              </w:tc>
              <w:tc>
                <w:tcPr>
                  <w:tcW w:w="1082" w:type="pct"/>
                  <w:tcBorders>
                    <w:top w:val="single" w:color="auto" w:sz="12" w:space="0"/>
                    <w:left w:val="single" w:color="auto" w:sz="6" w:space="0"/>
                    <w:bottom w:val="single" w:color="auto" w:sz="12" w:space="0"/>
                    <w:right w:val="single" w:color="auto" w:sz="6" w:space="0"/>
                  </w:tcBorders>
                  <w:noWrap w:val="0"/>
                  <w:vAlign w:val="center"/>
                </w:tcPr>
                <w:p>
                  <w:pPr>
                    <w:jc w:val="center"/>
                    <w:rPr>
                      <w:b/>
                      <w:bCs/>
                    </w:rPr>
                  </w:pPr>
                  <w:r>
                    <w:rPr>
                      <w:rFonts w:hint="eastAsia"/>
                      <w:b/>
                      <w:bCs/>
                    </w:rPr>
                    <w:t>项目</w:t>
                  </w:r>
                </w:p>
              </w:tc>
              <w:tc>
                <w:tcPr>
                  <w:tcW w:w="2509" w:type="pct"/>
                  <w:tcBorders>
                    <w:top w:val="single" w:color="auto" w:sz="12" w:space="0"/>
                    <w:left w:val="single" w:color="auto" w:sz="6" w:space="0"/>
                    <w:bottom w:val="single" w:color="auto" w:sz="12" w:space="0"/>
                    <w:right w:val="single" w:color="auto" w:sz="6" w:space="0"/>
                  </w:tcBorders>
                  <w:noWrap w:val="0"/>
                  <w:vAlign w:val="center"/>
                </w:tcPr>
                <w:p>
                  <w:pPr>
                    <w:jc w:val="center"/>
                    <w:rPr>
                      <w:b/>
                      <w:bCs/>
                    </w:rPr>
                  </w:pPr>
                  <w:r>
                    <w:rPr>
                      <w:rFonts w:hint="eastAsia"/>
                      <w:b/>
                      <w:bCs/>
                    </w:rPr>
                    <w:t>环保治理措施</w:t>
                  </w:r>
                </w:p>
              </w:tc>
              <w:tc>
                <w:tcPr>
                  <w:tcW w:w="632" w:type="pct"/>
                  <w:tcBorders>
                    <w:top w:val="single" w:color="auto" w:sz="12" w:space="0"/>
                    <w:left w:val="single" w:color="auto" w:sz="6" w:space="0"/>
                    <w:bottom w:val="single" w:color="auto" w:sz="12" w:space="0"/>
                    <w:right w:val="nil"/>
                  </w:tcBorders>
                  <w:noWrap w:val="0"/>
                  <w:vAlign w:val="center"/>
                </w:tcPr>
                <w:p>
                  <w:pPr>
                    <w:jc w:val="center"/>
                    <w:rPr>
                      <w:b/>
                      <w:bCs/>
                      <w:szCs w:val="20"/>
                    </w:rPr>
                  </w:pPr>
                  <w:r>
                    <w:rPr>
                      <w:rFonts w:hint="eastAsia"/>
                      <w:b/>
                      <w:bCs/>
                    </w:rPr>
                    <w:t>投资</w:t>
                  </w:r>
                </w:p>
                <w:p>
                  <w:pPr>
                    <w:jc w:val="center"/>
                    <w:rPr>
                      <w:b/>
                      <w:bCs/>
                    </w:rPr>
                  </w:pPr>
                  <w:r>
                    <w:rPr>
                      <w:rFonts w:hint="eastAsia"/>
                      <w:b/>
                      <w:bCs/>
                    </w:rPr>
                    <w:t>（万元）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370" w:type="pct"/>
                  <w:vMerge w:val="restart"/>
                  <w:tcBorders>
                    <w:top w:val="single" w:color="auto" w:sz="6" w:space="0"/>
                    <w:left w:val="nil"/>
                    <w:right w:val="single" w:color="auto" w:sz="6" w:space="0"/>
                  </w:tcBorders>
                  <w:noWrap w:val="0"/>
                  <w:vAlign w:val="center"/>
                </w:tcPr>
                <w:p>
                  <w:pPr>
                    <w:widowControl/>
                    <w:jc w:val="center"/>
                    <w:rPr>
                      <w:rFonts w:hint="eastAsia"/>
                      <w:bCs/>
                      <w:highlight w:val="yellow"/>
                    </w:rPr>
                  </w:pPr>
                  <w:r>
                    <w:rPr>
                      <w:rFonts w:hint="eastAsia"/>
                      <w:bCs/>
                    </w:rPr>
                    <w:t>施工期</w:t>
                  </w:r>
                </w:p>
              </w:tc>
              <w:tc>
                <w:tcPr>
                  <w:tcW w:w="404" w:type="pct"/>
                  <w:tcBorders>
                    <w:top w:val="single" w:color="auto" w:sz="6" w:space="0"/>
                    <w:left w:val="single" w:color="auto" w:sz="6" w:space="0"/>
                    <w:bottom w:val="single" w:color="auto" w:sz="4" w:space="0"/>
                    <w:right w:val="single" w:color="auto" w:sz="6" w:space="0"/>
                  </w:tcBorders>
                  <w:noWrap w:val="0"/>
                  <w:vAlign w:val="center"/>
                </w:tcPr>
                <w:p>
                  <w:pPr>
                    <w:jc w:val="center"/>
                    <w:rPr>
                      <w:rFonts w:hint="eastAsia"/>
                    </w:rPr>
                  </w:pPr>
                  <w:r>
                    <w:rPr>
                      <w:rFonts w:hint="eastAsia"/>
                    </w:rPr>
                    <w:t>废水治理</w:t>
                  </w:r>
                </w:p>
              </w:tc>
              <w:tc>
                <w:tcPr>
                  <w:tcW w:w="1082" w:type="pct"/>
                  <w:tcBorders>
                    <w:top w:val="single" w:color="auto" w:sz="6" w:space="0"/>
                    <w:left w:val="single" w:color="auto" w:sz="6" w:space="0"/>
                    <w:bottom w:val="single" w:color="auto" w:sz="4" w:space="0"/>
                    <w:right w:val="single" w:color="auto" w:sz="6" w:space="0"/>
                  </w:tcBorders>
                  <w:noWrap w:val="0"/>
                  <w:vAlign w:val="center"/>
                </w:tcPr>
                <w:p>
                  <w:pPr>
                    <w:jc w:val="center"/>
                    <w:rPr>
                      <w:bCs/>
                    </w:rPr>
                  </w:pPr>
                  <w:r>
                    <w:rPr>
                      <w:rFonts w:hint="eastAsia"/>
                      <w:szCs w:val="21"/>
                    </w:rPr>
                    <w:t>生活污水</w:t>
                  </w:r>
                </w:p>
              </w:tc>
              <w:tc>
                <w:tcPr>
                  <w:tcW w:w="2509" w:type="pct"/>
                  <w:tcBorders>
                    <w:top w:val="single" w:color="auto" w:sz="6" w:space="0"/>
                    <w:left w:val="single" w:color="auto" w:sz="6" w:space="0"/>
                    <w:bottom w:val="single" w:color="auto" w:sz="4" w:space="0"/>
                    <w:right w:val="single" w:color="auto" w:sz="6" w:space="0"/>
                  </w:tcBorders>
                  <w:noWrap w:val="0"/>
                  <w:vAlign w:val="center"/>
                </w:tcPr>
                <w:p>
                  <w:pPr>
                    <w:jc w:val="center"/>
                    <w:rPr>
                      <w:rFonts w:hint="eastAsia" w:eastAsia="宋体"/>
                      <w:szCs w:val="21"/>
                      <w:lang w:eastAsia="zh-CN"/>
                    </w:rPr>
                  </w:pPr>
                  <w:r>
                    <w:rPr>
                      <w:rFonts w:hint="eastAsia"/>
                      <w:szCs w:val="21"/>
                    </w:rPr>
                    <w:t>依托院内污水处理站处理</w:t>
                  </w:r>
                </w:p>
              </w:tc>
              <w:tc>
                <w:tcPr>
                  <w:tcW w:w="632" w:type="pct"/>
                  <w:tcBorders>
                    <w:top w:val="single" w:color="auto" w:sz="6" w:space="0"/>
                    <w:left w:val="single" w:color="auto" w:sz="6" w:space="0"/>
                    <w:bottom w:val="single" w:color="auto" w:sz="4" w:space="0"/>
                    <w:right w:val="nil"/>
                  </w:tcBorders>
                  <w:noWrap w:val="0"/>
                  <w:vAlign w:val="center"/>
                </w:tcPr>
                <w:p>
                  <w:pPr>
                    <w:pStyle w:val="59"/>
                    <w:spacing w:line="240" w:lineRule="auto"/>
                    <w:ind w:firstLine="0"/>
                    <w:jc w:val="center"/>
                    <w:rPr>
                      <w:rFonts w:hint="default" w:eastAsia="宋体"/>
                      <w:kern w:val="2"/>
                      <w:sz w:val="21"/>
                      <w:szCs w:val="21"/>
                      <w:lang w:val="en-US" w:eastAsia="zh-CN"/>
                    </w:rPr>
                  </w:pPr>
                  <w:r>
                    <w:rPr>
                      <w:rFonts w:hint="eastAsia"/>
                      <w:kern w:val="2"/>
                      <w:sz w:val="21"/>
                      <w:szCs w:val="21"/>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6" w:hRule="atLeast"/>
                <w:jc w:val="center"/>
              </w:trPr>
              <w:tc>
                <w:tcPr>
                  <w:tcW w:w="370" w:type="pct"/>
                  <w:vMerge w:val="continue"/>
                  <w:tcBorders>
                    <w:left w:val="nil"/>
                    <w:right w:val="single" w:color="auto" w:sz="6" w:space="0"/>
                  </w:tcBorders>
                  <w:noWrap w:val="0"/>
                  <w:vAlign w:val="center"/>
                </w:tcPr>
                <w:p>
                  <w:pPr>
                    <w:widowControl/>
                    <w:jc w:val="center"/>
                    <w:rPr>
                      <w:bCs/>
                      <w:highlight w:val="yellow"/>
                    </w:rPr>
                  </w:pPr>
                </w:p>
              </w:tc>
              <w:tc>
                <w:tcPr>
                  <w:tcW w:w="404" w:type="pct"/>
                  <w:tcBorders>
                    <w:left w:val="single" w:color="auto" w:sz="6" w:space="0"/>
                    <w:right w:val="single" w:color="auto" w:sz="6" w:space="0"/>
                  </w:tcBorders>
                  <w:noWrap w:val="0"/>
                  <w:vAlign w:val="center"/>
                </w:tcPr>
                <w:p>
                  <w:pPr>
                    <w:widowControl/>
                    <w:jc w:val="center"/>
                    <w:rPr>
                      <w:rFonts w:hint="eastAsia"/>
                      <w:lang w:val="en"/>
                    </w:rPr>
                  </w:pPr>
                  <w:r>
                    <w:rPr>
                      <w:rFonts w:hint="eastAsia"/>
                      <w:lang w:val="en"/>
                    </w:rPr>
                    <w:t>噪声治理</w:t>
                  </w:r>
                </w:p>
              </w:tc>
              <w:tc>
                <w:tcPr>
                  <w:tcW w:w="1082"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szCs w:val="21"/>
                    </w:rPr>
                  </w:pPr>
                  <w:r>
                    <w:rPr>
                      <w:rFonts w:hint="eastAsia"/>
                      <w:szCs w:val="21"/>
                    </w:rPr>
                    <w:t>设备安装噪声</w:t>
                  </w:r>
                </w:p>
              </w:tc>
              <w:tc>
                <w:tcPr>
                  <w:tcW w:w="2509" w:type="pct"/>
                  <w:tcBorders>
                    <w:left w:val="single" w:color="auto" w:sz="6" w:space="0"/>
                    <w:right w:val="single" w:color="auto" w:sz="6" w:space="0"/>
                  </w:tcBorders>
                  <w:noWrap w:val="0"/>
                  <w:vAlign w:val="center"/>
                </w:tcPr>
                <w:p>
                  <w:pPr>
                    <w:jc w:val="center"/>
                    <w:rPr>
                      <w:rFonts w:hint="eastAsia"/>
                      <w:szCs w:val="21"/>
                    </w:rPr>
                  </w:pPr>
                  <w:r>
                    <w:rPr>
                      <w:rFonts w:hint="eastAsia"/>
                      <w:szCs w:val="21"/>
                    </w:rPr>
                    <w:t>使用低噪声设备，隔声降噪，及时与周边居民沟通，合理安排作业时间</w:t>
                  </w:r>
                </w:p>
              </w:tc>
              <w:tc>
                <w:tcPr>
                  <w:tcW w:w="632" w:type="pct"/>
                  <w:tcBorders>
                    <w:left w:val="single" w:color="auto" w:sz="6" w:space="0"/>
                    <w:right w:val="nil"/>
                  </w:tcBorders>
                  <w:noWrap w:val="0"/>
                  <w:vAlign w:val="center"/>
                </w:tcPr>
                <w:p>
                  <w:pPr>
                    <w:pStyle w:val="59"/>
                    <w:spacing w:line="240" w:lineRule="auto"/>
                    <w:ind w:firstLine="0"/>
                    <w:jc w:val="center"/>
                    <w:rPr>
                      <w:kern w:val="2"/>
                      <w:sz w:val="21"/>
                      <w:szCs w:val="21"/>
                    </w:rPr>
                  </w:pPr>
                  <w:r>
                    <w:rPr>
                      <w:rFonts w:hint="eastAsia"/>
                      <w:kern w:val="2"/>
                      <w:sz w:val="21"/>
                      <w:szCs w:val="21"/>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6" w:hRule="atLeast"/>
                <w:jc w:val="center"/>
              </w:trPr>
              <w:tc>
                <w:tcPr>
                  <w:tcW w:w="370" w:type="pct"/>
                  <w:vMerge w:val="continue"/>
                  <w:tcBorders>
                    <w:left w:val="nil"/>
                    <w:right w:val="single" w:color="auto" w:sz="6" w:space="0"/>
                  </w:tcBorders>
                  <w:noWrap w:val="0"/>
                  <w:vAlign w:val="center"/>
                </w:tcPr>
                <w:p>
                  <w:pPr>
                    <w:widowControl/>
                    <w:jc w:val="center"/>
                    <w:rPr>
                      <w:bCs/>
                      <w:highlight w:val="yellow"/>
                    </w:rPr>
                  </w:pPr>
                </w:p>
              </w:tc>
              <w:tc>
                <w:tcPr>
                  <w:tcW w:w="404" w:type="pct"/>
                  <w:tcBorders>
                    <w:left w:val="single" w:color="auto" w:sz="6" w:space="0"/>
                    <w:right w:val="single" w:color="auto" w:sz="6" w:space="0"/>
                  </w:tcBorders>
                  <w:noWrap w:val="0"/>
                  <w:vAlign w:val="center"/>
                </w:tcPr>
                <w:p>
                  <w:pPr>
                    <w:widowControl/>
                    <w:jc w:val="center"/>
                    <w:rPr>
                      <w:rFonts w:hint="eastAsia"/>
                    </w:rPr>
                  </w:pPr>
                  <w:r>
                    <w:rPr>
                      <w:rFonts w:hint="eastAsia"/>
                    </w:rPr>
                    <w:t>固废治理</w:t>
                  </w:r>
                </w:p>
              </w:tc>
              <w:tc>
                <w:tcPr>
                  <w:tcW w:w="1082"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szCs w:val="21"/>
                    </w:rPr>
                  </w:pPr>
                  <w:r>
                    <w:rPr>
                      <w:rFonts w:hint="eastAsia"/>
                      <w:szCs w:val="21"/>
                      <w:lang w:eastAsia="zh-CN"/>
                    </w:rPr>
                    <w:t>建筑</w:t>
                  </w:r>
                  <w:r>
                    <w:rPr>
                      <w:rFonts w:hint="eastAsia"/>
                      <w:szCs w:val="21"/>
                    </w:rPr>
                    <w:t>垃圾</w:t>
                  </w:r>
                </w:p>
              </w:tc>
              <w:tc>
                <w:tcPr>
                  <w:tcW w:w="2509" w:type="pct"/>
                  <w:tcBorders>
                    <w:left w:val="single" w:color="auto" w:sz="6" w:space="0"/>
                    <w:right w:val="single" w:color="auto" w:sz="6" w:space="0"/>
                  </w:tcBorders>
                  <w:noWrap w:val="0"/>
                  <w:vAlign w:val="center"/>
                </w:tcPr>
                <w:p>
                  <w:pPr>
                    <w:jc w:val="center"/>
                    <w:rPr>
                      <w:rFonts w:hint="eastAsia"/>
                      <w:szCs w:val="21"/>
                    </w:rPr>
                  </w:pPr>
                  <w:r>
                    <w:rPr>
                      <w:rFonts w:hint="eastAsia"/>
                      <w:szCs w:val="21"/>
                    </w:rPr>
                    <w:t>分类收集后交环卫部门清运处置</w:t>
                  </w:r>
                </w:p>
              </w:tc>
              <w:tc>
                <w:tcPr>
                  <w:tcW w:w="632" w:type="pct"/>
                  <w:tcBorders>
                    <w:left w:val="single" w:color="auto" w:sz="6" w:space="0"/>
                    <w:right w:val="nil"/>
                  </w:tcBorders>
                  <w:noWrap w:val="0"/>
                  <w:vAlign w:val="center"/>
                </w:tcPr>
                <w:p>
                  <w:pPr>
                    <w:spacing w:line="240" w:lineRule="auto"/>
                    <w:ind w:firstLine="0"/>
                    <w:jc w:val="center"/>
                    <w:rPr>
                      <w:rFonts w:hint="default"/>
                      <w:kern w:val="2"/>
                      <w:sz w:val="21"/>
                      <w:szCs w:val="21"/>
                      <w:lang w:val="en-US"/>
                    </w:rPr>
                  </w:pPr>
                  <w:r>
                    <w:rPr>
                      <w:rFonts w:hint="eastAsia"/>
                      <w:kern w:val="2"/>
                      <w:sz w:val="21"/>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42" w:hRule="atLeast"/>
                <w:jc w:val="center"/>
              </w:trPr>
              <w:tc>
                <w:tcPr>
                  <w:tcW w:w="370" w:type="pct"/>
                  <w:vMerge w:val="restart"/>
                  <w:tcBorders>
                    <w:top w:val="single" w:color="auto" w:sz="6" w:space="0"/>
                    <w:left w:val="nil"/>
                    <w:right w:val="single" w:color="auto" w:sz="6" w:space="0"/>
                  </w:tcBorders>
                  <w:noWrap w:val="0"/>
                  <w:vAlign w:val="center"/>
                </w:tcPr>
                <w:p>
                  <w:pPr>
                    <w:widowControl/>
                    <w:jc w:val="left"/>
                    <w:rPr>
                      <w:bCs/>
                      <w:highlight w:val="yellow"/>
                    </w:rPr>
                  </w:pPr>
                  <w:r>
                    <w:rPr>
                      <w:rFonts w:hint="eastAsia"/>
                      <w:bCs/>
                    </w:rPr>
                    <w:t>营运期</w:t>
                  </w:r>
                </w:p>
              </w:tc>
              <w:tc>
                <w:tcPr>
                  <w:tcW w:w="404" w:type="pct"/>
                  <w:vMerge w:val="restart"/>
                  <w:tcBorders>
                    <w:top w:val="single" w:color="auto" w:sz="6" w:space="0"/>
                    <w:left w:val="single" w:color="auto" w:sz="6" w:space="0"/>
                    <w:right w:val="single" w:color="auto" w:sz="6" w:space="0"/>
                  </w:tcBorders>
                  <w:noWrap w:val="0"/>
                  <w:vAlign w:val="center"/>
                </w:tcPr>
                <w:p>
                  <w:pPr>
                    <w:jc w:val="center"/>
                    <w:rPr>
                      <w:rFonts w:hint="eastAsia"/>
                    </w:rPr>
                  </w:pPr>
                  <w:r>
                    <w:rPr>
                      <w:rFonts w:hint="eastAsia"/>
                    </w:rPr>
                    <w:t>废水治理</w:t>
                  </w:r>
                </w:p>
              </w:tc>
              <w:tc>
                <w:tcPr>
                  <w:tcW w:w="1082" w:type="pct"/>
                  <w:tcBorders>
                    <w:top w:val="single" w:color="auto" w:sz="6" w:space="0"/>
                    <w:left w:val="single" w:color="auto" w:sz="6" w:space="0"/>
                    <w:bottom w:val="single" w:color="auto" w:sz="6" w:space="0"/>
                    <w:right w:val="single" w:color="auto" w:sz="6" w:space="0"/>
                  </w:tcBorders>
                  <w:noWrap w:val="0"/>
                  <w:vAlign w:val="center"/>
                </w:tcPr>
                <w:p>
                  <w:pPr>
                    <w:pStyle w:val="129"/>
                    <w:rPr>
                      <w:rFonts w:hint="eastAsia"/>
                      <w:kern w:val="2"/>
                      <w:sz w:val="21"/>
                      <w:szCs w:val="21"/>
                      <w:lang w:val="en-US" w:eastAsia="zh-CN" w:bidi="ar-SA"/>
                    </w:rPr>
                  </w:pPr>
                  <w:r>
                    <w:rPr>
                      <w:rFonts w:hint="eastAsia"/>
                      <w:lang w:eastAsia="zh-CN"/>
                    </w:rPr>
                    <w:t>食堂废水</w:t>
                  </w:r>
                </w:p>
              </w:tc>
              <w:tc>
                <w:tcPr>
                  <w:tcW w:w="2509" w:type="pct"/>
                  <w:tcBorders>
                    <w:top w:val="single" w:color="auto" w:sz="6" w:space="0"/>
                    <w:left w:val="single" w:color="auto" w:sz="6" w:space="0"/>
                    <w:right w:val="single" w:color="auto" w:sz="6" w:space="0"/>
                  </w:tcBorders>
                  <w:noWrap w:val="0"/>
                  <w:vAlign w:val="center"/>
                </w:tcPr>
                <w:p>
                  <w:pPr>
                    <w:adjustRightInd w:val="0"/>
                    <w:jc w:val="center"/>
                    <w:rPr>
                      <w:rFonts w:hint="eastAsia"/>
                      <w:bCs/>
                      <w:kern w:val="2"/>
                      <w:sz w:val="21"/>
                      <w:szCs w:val="21"/>
                      <w:lang w:val="en-US" w:eastAsia="zh-CN" w:bidi="ar-SA"/>
                    </w:rPr>
                  </w:pPr>
                  <w:r>
                    <w:rPr>
                      <w:rFonts w:hint="eastAsia"/>
                      <w:bCs/>
                      <w:szCs w:val="21"/>
                    </w:rPr>
                    <w:t>经隔油池、化粪池处理后排入院内污水处理站处理</w:t>
                  </w:r>
                  <w:r>
                    <w:rPr>
                      <w:rFonts w:hint="eastAsia"/>
                    </w:rPr>
                    <w:t>后排入市政污水管网</w:t>
                  </w:r>
                </w:p>
              </w:tc>
              <w:tc>
                <w:tcPr>
                  <w:tcW w:w="632" w:type="pct"/>
                  <w:tcBorders>
                    <w:top w:val="single" w:color="auto" w:sz="6" w:space="0"/>
                    <w:left w:val="single" w:color="auto" w:sz="6" w:space="0"/>
                    <w:right w:val="nil"/>
                  </w:tcBorders>
                  <w:noWrap w:val="0"/>
                  <w:vAlign w:val="center"/>
                </w:tcPr>
                <w:p>
                  <w:pPr>
                    <w:spacing w:line="240" w:lineRule="auto"/>
                    <w:ind w:firstLine="0"/>
                    <w:jc w:val="center"/>
                    <w:rPr>
                      <w:rFonts w:hint="eastAsia"/>
                      <w:kern w:val="2"/>
                      <w:sz w:val="21"/>
                      <w:szCs w:val="21"/>
                      <w:lang w:val="en-US" w:eastAsia="zh-CN"/>
                    </w:rPr>
                  </w:pPr>
                  <w:r>
                    <w:rPr>
                      <w:rFonts w:hint="eastAsia"/>
                      <w:kern w:val="2"/>
                      <w:sz w:val="21"/>
                      <w:szCs w:val="21"/>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5" w:hRule="atLeast"/>
                <w:jc w:val="center"/>
              </w:trPr>
              <w:tc>
                <w:tcPr>
                  <w:tcW w:w="370" w:type="pct"/>
                  <w:vMerge w:val="continue"/>
                  <w:tcBorders>
                    <w:left w:val="nil"/>
                    <w:right w:val="single" w:color="auto" w:sz="6" w:space="0"/>
                  </w:tcBorders>
                  <w:noWrap w:val="0"/>
                  <w:vAlign w:val="center"/>
                </w:tcPr>
                <w:p>
                  <w:pPr>
                    <w:widowControl/>
                    <w:jc w:val="left"/>
                    <w:rPr>
                      <w:rFonts w:hint="eastAsia"/>
                      <w:bCs/>
                    </w:rPr>
                  </w:pPr>
                </w:p>
              </w:tc>
              <w:tc>
                <w:tcPr>
                  <w:tcW w:w="404" w:type="pct"/>
                  <w:vMerge w:val="continue"/>
                  <w:tcBorders>
                    <w:left w:val="single" w:color="auto" w:sz="6" w:space="0"/>
                    <w:right w:val="single" w:color="auto" w:sz="6" w:space="0"/>
                  </w:tcBorders>
                  <w:noWrap w:val="0"/>
                  <w:vAlign w:val="center"/>
                </w:tcPr>
                <w:p>
                  <w:pPr>
                    <w:jc w:val="center"/>
                    <w:rPr>
                      <w:rFonts w:hint="eastAsia"/>
                    </w:rPr>
                  </w:pPr>
                </w:p>
              </w:tc>
              <w:tc>
                <w:tcPr>
                  <w:tcW w:w="1082" w:type="pct"/>
                  <w:tcBorders>
                    <w:top w:val="single" w:color="auto" w:sz="6" w:space="0"/>
                    <w:left w:val="single" w:color="auto" w:sz="6" w:space="0"/>
                    <w:bottom w:val="single" w:color="auto" w:sz="6" w:space="0"/>
                    <w:right w:val="single" w:color="auto" w:sz="6" w:space="0"/>
                  </w:tcBorders>
                  <w:noWrap w:val="0"/>
                  <w:vAlign w:val="center"/>
                </w:tcPr>
                <w:p>
                  <w:pPr>
                    <w:pStyle w:val="129"/>
                    <w:rPr>
                      <w:rFonts w:hint="eastAsia"/>
                      <w:kern w:val="2"/>
                      <w:sz w:val="21"/>
                      <w:szCs w:val="21"/>
                      <w:lang w:val="en-US" w:eastAsia="zh-CN" w:bidi="ar-SA"/>
                    </w:rPr>
                  </w:pPr>
                  <w:r>
                    <w:rPr>
                      <w:rFonts w:hint="eastAsia"/>
                    </w:rPr>
                    <w:t>医疗废水</w:t>
                  </w:r>
                </w:p>
              </w:tc>
              <w:tc>
                <w:tcPr>
                  <w:tcW w:w="2509" w:type="pct"/>
                  <w:vMerge w:val="restart"/>
                  <w:tcBorders>
                    <w:top w:val="single" w:color="auto" w:sz="6" w:space="0"/>
                    <w:left w:val="single" w:color="auto" w:sz="6" w:space="0"/>
                    <w:right w:val="single" w:color="auto" w:sz="6" w:space="0"/>
                  </w:tcBorders>
                  <w:noWrap w:val="0"/>
                  <w:vAlign w:val="center"/>
                </w:tcPr>
                <w:p>
                  <w:pPr>
                    <w:adjustRightInd w:val="0"/>
                    <w:jc w:val="center"/>
                    <w:rPr>
                      <w:rFonts w:hint="eastAsia"/>
                      <w:bCs/>
                      <w:szCs w:val="21"/>
                    </w:rPr>
                  </w:pPr>
                  <w:r>
                    <w:rPr>
                      <w:rFonts w:hint="eastAsia"/>
                      <w:bCs/>
                      <w:szCs w:val="21"/>
                    </w:rPr>
                    <w:t>经化粪池收集后进入院内污水处理站处理</w:t>
                  </w:r>
                  <w:r>
                    <w:rPr>
                      <w:rFonts w:hint="eastAsia"/>
                    </w:rPr>
                    <w:t>后排入市政污水管网</w:t>
                  </w:r>
                </w:p>
              </w:tc>
              <w:tc>
                <w:tcPr>
                  <w:tcW w:w="632" w:type="pct"/>
                  <w:tcBorders>
                    <w:left w:val="single" w:color="auto" w:sz="6" w:space="0"/>
                    <w:right w:val="nil"/>
                  </w:tcBorders>
                  <w:noWrap w:val="0"/>
                  <w:vAlign w:val="center"/>
                </w:tcPr>
                <w:p>
                  <w:pPr>
                    <w:spacing w:line="240" w:lineRule="auto"/>
                    <w:ind w:firstLine="0"/>
                    <w:jc w:val="center"/>
                    <w:rPr>
                      <w:rFonts w:hint="eastAsia"/>
                      <w:kern w:val="2"/>
                      <w:sz w:val="21"/>
                      <w:szCs w:val="21"/>
                      <w:lang w:val="en-US" w:eastAsia="zh-CN"/>
                    </w:rPr>
                  </w:pPr>
                  <w:r>
                    <w:rPr>
                      <w:rFonts w:hint="eastAsia"/>
                      <w:kern w:val="2"/>
                      <w:sz w:val="21"/>
                      <w:szCs w:val="21"/>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70" w:type="pct"/>
                  <w:vMerge w:val="continue"/>
                  <w:tcBorders>
                    <w:left w:val="nil"/>
                    <w:right w:val="single" w:color="auto" w:sz="6" w:space="0"/>
                  </w:tcBorders>
                  <w:noWrap w:val="0"/>
                  <w:vAlign w:val="center"/>
                </w:tcPr>
                <w:p>
                  <w:pPr>
                    <w:widowControl/>
                    <w:jc w:val="left"/>
                    <w:rPr>
                      <w:bCs/>
                      <w:highlight w:val="yellow"/>
                    </w:rPr>
                  </w:pPr>
                </w:p>
              </w:tc>
              <w:tc>
                <w:tcPr>
                  <w:tcW w:w="404" w:type="pct"/>
                  <w:vMerge w:val="continue"/>
                  <w:tcBorders>
                    <w:left w:val="single" w:color="auto" w:sz="6" w:space="0"/>
                    <w:right w:val="single" w:color="auto" w:sz="6" w:space="0"/>
                  </w:tcBorders>
                  <w:noWrap w:val="0"/>
                  <w:vAlign w:val="center"/>
                </w:tcPr>
                <w:p>
                  <w:pPr>
                    <w:widowControl/>
                    <w:jc w:val="left"/>
                  </w:pPr>
                </w:p>
              </w:tc>
              <w:tc>
                <w:tcPr>
                  <w:tcW w:w="1082" w:type="pct"/>
                  <w:tcBorders>
                    <w:top w:val="single" w:color="auto" w:sz="6" w:space="0"/>
                    <w:left w:val="single" w:color="auto" w:sz="6" w:space="0"/>
                    <w:bottom w:val="single" w:color="auto" w:sz="6" w:space="0"/>
                    <w:right w:val="single" w:color="auto" w:sz="6" w:space="0"/>
                  </w:tcBorders>
                  <w:noWrap w:val="0"/>
                  <w:vAlign w:val="center"/>
                </w:tcPr>
                <w:p>
                  <w:pPr>
                    <w:pStyle w:val="129"/>
                    <w:rPr>
                      <w:rFonts w:hint="eastAsia" w:eastAsia="宋体"/>
                      <w:lang w:eastAsia="zh-CN"/>
                    </w:rPr>
                  </w:pPr>
                  <w:r>
                    <w:rPr>
                      <w:rFonts w:hint="eastAsia"/>
                    </w:rPr>
                    <w:t>生活污水</w:t>
                  </w:r>
                </w:p>
              </w:tc>
              <w:tc>
                <w:tcPr>
                  <w:tcW w:w="2509" w:type="pct"/>
                  <w:vMerge w:val="continue"/>
                  <w:tcBorders>
                    <w:left w:val="single" w:color="auto" w:sz="6" w:space="0"/>
                    <w:right w:val="single" w:color="auto" w:sz="6" w:space="0"/>
                  </w:tcBorders>
                  <w:noWrap w:val="0"/>
                  <w:vAlign w:val="center"/>
                </w:tcPr>
                <w:p>
                  <w:pPr>
                    <w:adjustRightInd w:val="0"/>
                    <w:jc w:val="center"/>
                    <w:rPr>
                      <w:rFonts w:hint="eastAsia"/>
                      <w:bCs/>
                      <w:szCs w:val="21"/>
                    </w:rPr>
                  </w:pPr>
                </w:p>
              </w:tc>
              <w:tc>
                <w:tcPr>
                  <w:tcW w:w="632" w:type="pct"/>
                  <w:tcBorders>
                    <w:left w:val="single" w:color="auto" w:sz="6" w:space="0"/>
                    <w:right w:val="nil"/>
                  </w:tcBorders>
                  <w:noWrap w:val="0"/>
                  <w:vAlign w:val="center"/>
                </w:tcPr>
                <w:p>
                  <w:pPr>
                    <w:spacing w:line="240" w:lineRule="auto"/>
                    <w:ind w:firstLine="0"/>
                    <w:jc w:val="center"/>
                    <w:rPr>
                      <w:rFonts w:hint="eastAsia"/>
                      <w:kern w:val="2"/>
                      <w:sz w:val="21"/>
                      <w:szCs w:val="21"/>
                      <w:lang w:val="en-US" w:eastAsia="zh-CN"/>
                    </w:rPr>
                  </w:pPr>
                  <w:r>
                    <w:rPr>
                      <w:rFonts w:hint="eastAsia"/>
                      <w:kern w:val="2"/>
                      <w:sz w:val="21"/>
                      <w:szCs w:val="21"/>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70" w:type="pct"/>
                  <w:vMerge w:val="continue"/>
                  <w:tcBorders>
                    <w:left w:val="nil"/>
                    <w:right w:val="single" w:color="auto" w:sz="6" w:space="0"/>
                  </w:tcBorders>
                  <w:noWrap w:val="0"/>
                  <w:vAlign w:val="center"/>
                </w:tcPr>
                <w:p>
                  <w:pPr>
                    <w:widowControl/>
                    <w:jc w:val="left"/>
                    <w:rPr>
                      <w:bCs/>
                      <w:highlight w:val="yellow"/>
                    </w:rPr>
                  </w:pPr>
                </w:p>
              </w:tc>
              <w:tc>
                <w:tcPr>
                  <w:tcW w:w="404" w:type="pct"/>
                  <w:vMerge w:val="continue"/>
                  <w:tcBorders>
                    <w:left w:val="single" w:color="auto" w:sz="6" w:space="0"/>
                    <w:right w:val="single" w:color="auto" w:sz="6" w:space="0"/>
                  </w:tcBorders>
                  <w:noWrap w:val="0"/>
                  <w:vAlign w:val="center"/>
                </w:tcPr>
                <w:p>
                  <w:pPr>
                    <w:widowControl/>
                    <w:jc w:val="left"/>
                  </w:pPr>
                </w:p>
              </w:tc>
              <w:tc>
                <w:tcPr>
                  <w:tcW w:w="1082" w:type="pct"/>
                  <w:tcBorders>
                    <w:top w:val="single" w:color="auto" w:sz="6" w:space="0"/>
                    <w:left w:val="single" w:color="auto" w:sz="6" w:space="0"/>
                    <w:bottom w:val="single" w:color="auto" w:sz="6" w:space="0"/>
                    <w:right w:val="single" w:color="auto" w:sz="6" w:space="0"/>
                  </w:tcBorders>
                  <w:noWrap w:val="0"/>
                  <w:vAlign w:val="center"/>
                </w:tcPr>
                <w:p>
                  <w:pPr>
                    <w:pStyle w:val="129"/>
                    <w:rPr>
                      <w:rFonts w:hint="eastAsia"/>
                    </w:rPr>
                  </w:pPr>
                  <w:r>
                    <w:rPr>
                      <w:rFonts w:hint="eastAsia"/>
                    </w:rPr>
                    <w:t>洗涤废水</w:t>
                  </w:r>
                </w:p>
              </w:tc>
              <w:tc>
                <w:tcPr>
                  <w:tcW w:w="2509" w:type="pct"/>
                  <w:vMerge w:val="continue"/>
                  <w:tcBorders>
                    <w:left w:val="single" w:color="auto" w:sz="6" w:space="0"/>
                    <w:bottom w:val="single" w:color="auto" w:sz="6" w:space="0"/>
                    <w:right w:val="single" w:color="auto" w:sz="6" w:space="0"/>
                  </w:tcBorders>
                  <w:noWrap w:val="0"/>
                  <w:vAlign w:val="center"/>
                </w:tcPr>
                <w:p>
                  <w:pPr>
                    <w:adjustRightInd w:val="0"/>
                    <w:jc w:val="center"/>
                    <w:rPr>
                      <w:rFonts w:hint="eastAsia"/>
                      <w:bCs/>
                      <w:szCs w:val="21"/>
                    </w:rPr>
                  </w:pPr>
                </w:p>
              </w:tc>
              <w:tc>
                <w:tcPr>
                  <w:tcW w:w="632" w:type="pct"/>
                  <w:tcBorders>
                    <w:left w:val="single" w:color="auto" w:sz="6" w:space="0"/>
                    <w:bottom w:val="single" w:color="auto" w:sz="6" w:space="0"/>
                    <w:right w:val="nil"/>
                  </w:tcBorders>
                  <w:noWrap w:val="0"/>
                  <w:vAlign w:val="center"/>
                </w:tcPr>
                <w:p>
                  <w:pPr>
                    <w:pStyle w:val="59"/>
                    <w:spacing w:line="240" w:lineRule="auto"/>
                    <w:ind w:firstLine="0"/>
                    <w:jc w:val="center"/>
                  </w:pPr>
                  <w:r>
                    <w:rPr>
                      <w:rFonts w:hint="eastAsia"/>
                      <w:kern w:val="2"/>
                      <w:sz w:val="21"/>
                      <w:szCs w:val="21"/>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70" w:type="pct"/>
                  <w:vMerge w:val="continue"/>
                  <w:tcBorders>
                    <w:left w:val="nil"/>
                    <w:right w:val="single" w:color="auto" w:sz="6" w:space="0"/>
                  </w:tcBorders>
                  <w:noWrap w:val="0"/>
                  <w:vAlign w:val="center"/>
                </w:tcPr>
                <w:p>
                  <w:pPr>
                    <w:widowControl/>
                    <w:jc w:val="left"/>
                    <w:rPr>
                      <w:bCs/>
                      <w:highlight w:val="yellow"/>
                    </w:rPr>
                  </w:pPr>
                </w:p>
              </w:tc>
              <w:tc>
                <w:tcPr>
                  <w:tcW w:w="404" w:type="pct"/>
                  <w:vMerge w:val="continue"/>
                  <w:tcBorders>
                    <w:left w:val="single" w:color="auto" w:sz="6" w:space="0"/>
                    <w:right w:val="single" w:color="auto" w:sz="6" w:space="0"/>
                  </w:tcBorders>
                  <w:noWrap w:val="0"/>
                  <w:vAlign w:val="center"/>
                </w:tcPr>
                <w:p>
                  <w:pPr>
                    <w:widowControl/>
                    <w:jc w:val="left"/>
                  </w:pPr>
                </w:p>
              </w:tc>
              <w:tc>
                <w:tcPr>
                  <w:tcW w:w="1082" w:type="pct"/>
                  <w:tcBorders>
                    <w:top w:val="single" w:color="auto" w:sz="6" w:space="0"/>
                    <w:left w:val="single" w:color="auto" w:sz="6" w:space="0"/>
                    <w:right w:val="single" w:color="auto" w:sz="6" w:space="0"/>
                  </w:tcBorders>
                  <w:noWrap w:val="0"/>
                  <w:vAlign w:val="center"/>
                </w:tcPr>
                <w:p>
                  <w:pPr>
                    <w:pStyle w:val="129"/>
                    <w:rPr>
                      <w:rFonts w:hint="eastAsia" w:eastAsia="宋体"/>
                      <w:lang w:eastAsia="zh-CN"/>
                    </w:rPr>
                  </w:pPr>
                  <w:r>
                    <w:rPr>
                      <w:rFonts w:hint="eastAsia"/>
                      <w:lang w:eastAsia="zh-CN"/>
                    </w:rPr>
                    <w:t>污水处理站</w:t>
                  </w:r>
                </w:p>
              </w:tc>
              <w:tc>
                <w:tcPr>
                  <w:tcW w:w="2509" w:type="pct"/>
                  <w:tcBorders>
                    <w:left w:val="single" w:color="auto" w:sz="6" w:space="0"/>
                    <w:bottom w:val="single" w:color="auto" w:sz="6" w:space="0"/>
                    <w:right w:val="single" w:color="auto" w:sz="6" w:space="0"/>
                  </w:tcBorders>
                  <w:noWrap w:val="0"/>
                  <w:vAlign w:val="center"/>
                </w:tcPr>
                <w:p>
                  <w:pPr>
                    <w:adjustRightInd w:val="0"/>
                    <w:jc w:val="center"/>
                    <w:rPr>
                      <w:rFonts w:hint="eastAsia" w:eastAsia="宋体"/>
                      <w:bCs/>
                      <w:szCs w:val="21"/>
                      <w:lang w:eastAsia="zh-CN"/>
                    </w:rPr>
                  </w:pPr>
                  <w:r>
                    <w:rPr>
                      <w:rFonts w:hint="eastAsia"/>
                      <w:bCs/>
                      <w:szCs w:val="21"/>
                      <w:lang w:eastAsia="zh-CN"/>
                    </w:rPr>
                    <w:t>增大消毒药剂投加量</w:t>
                  </w:r>
                </w:p>
              </w:tc>
              <w:tc>
                <w:tcPr>
                  <w:tcW w:w="632" w:type="pct"/>
                  <w:tcBorders>
                    <w:left w:val="single" w:color="auto" w:sz="6" w:space="0"/>
                    <w:bottom w:val="single" w:color="auto" w:sz="6" w:space="0"/>
                    <w:right w:val="nil"/>
                  </w:tcBorders>
                  <w:noWrap w:val="0"/>
                  <w:vAlign w:val="center"/>
                </w:tcPr>
                <w:p>
                  <w:pPr>
                    <w:pStyle w:val="59"/>
                    <w:spacing w:line="240" w:lineRule="auto"/>
                    <w:ind w:firstLine="0"/>
                    <w:jc w:val="center"/>
                    <w:rPr>
                      <w:rFonts w:hint="default"/>
                      <w:kern w:val="2"/>
                      <w:sz w:val="21"/>
                      <w:szCs w:val="21"/>
                      <w:lang w:val="en-US" w:eastAsia="zh-CN"/>
                    </w:rPr>
                  </w:pPr>
                  <w:r>
                    <w:rPr>
                      <w:rFonts w:hint="eastAsia"/>
                      <w:kern w:val="2"/>
                      <w:sz w:val="21"/>
                      <w:szCs w:val="21"/>
                      <w:lang w:val="en-US" w:eastAsia="zh-CN"/>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6" w:hRule="atLeast"/>
                <w:jc w:val="center"/>
              </w:trPr>
              <w:tc>
                <w:tcPr>
                  <w:tcW w:w="370" w:type="pct"/>
                  <w:vMerge w:val="continue"/>
                  <w:tcBorders>
                    <w:left w:val="nil"/>
                    <w:right w:val="single" w:color="auto" w:sz="6" w:space="0"/>
                  </w:tcBorders>
                  <w:noWrap w:val="0"/>
                  <w:vAlign w:val="center"/>
                </w:tcPr>
                <w:p>
                  <w:pPr>
                    <w:widowControl/>
                    <w:jc w:val="left"/>
                    <w:rPr>
                      <w:bCs/>
                      <w:highlight w:val="yellow"/>
                    </w:rPr>
                  </w:pPr>
                </w:p>
              </w:tc>
              <w:tc>
                <w:tcPr>
                  <w:tcW w:w="404" w:type="pct"/>
                  <w:vMerge w:val="restart"/>
                  <w:tcBorders>
                    <w:top w:val="single" w:color="auto" w:sz="6" w:space="0"/>
                    <w:left w:val="single" w:color="auto" w:sz="6" w:space="0"/>
                    <w:right w:val="single" w:color="auto" w:sz="6" w:space="0"/>
                  </w:tcBorders>
                  <w:noWrap w:val="0"/>
                  <w:vAlign w:val="center"/>
                </w:tcPr>
                <w:p>
                  <w:pPr>
                    <w:widowControl/>
                    <w:jc w:val="center"/>
                    <w:rPr>
                      <w:rFonts w:hint="eastAsia"/>
                    </w:rPr>
                  </w:pPr>
                  <w:r>
                    <w:rPr>
                      <w:rFonts w:hint="eastAsia"/>
                    </w:rPr>
                    <w:t>废气治理</w:t>
                  </w:r>
                </w:p>
              </w:tc>
              <w:tc>
                <w:tcPr>
                  <w:tcW w:w="1082" w:type="pct"/>
                  <w:tcBorders>
                    <w:top w:val="single" w:color="auto" w:sz="6" w:space="0"/>
                    <w:left w:val="single" w:color="auto" w:sz="6" w:space="0"/>
                    <w:bottom w:val="single" w:color="auto" w:sz="6" w:space="0"/>
                    <w:right w:val="single" w:color="auto" w:sz="6" w:space="0"/>
                  </w:tcBorders>
                  <w:noWrap w:val="0"/>
                  <w:vAlign w:val="center"/>
                </w:tcPr>
                <w:p>
                  <w:pPr>
                    <w:pStyle w:val="129"/>
                    <w:rPr>
                      <w:rFonts w:hint="eastAsia"/>
                    </w:rPr>
                  </w:pPr>
                  <w:r>
                    <w:rPr>
                      <w:rFonts w:hint="eastAsia"/>
                    </w:rPr>
                    <w:t>污水处理站废气</w:t>
                  </w:r>
                </w:p>
              </w:tc>
              <w:tc>
                <w:tcPr>
                  <w:tcW w:w="2509" w:type="pct"/>
                  <w:tcBorders>
                    <w:top w:val="single" w:color="auto" w:sz="6" w:space="0"/>
                    <w:left w:val="single" w:color="auto" w:sz="6" w:space="0"/>
                    <w:bottom w:val="single" w:color="auto" w:sz="6" w:space="0"/>
                    <w:right w:val="single" w:color="auto" w:sz="6" w:space="0"/>
                  </w:tcBorders>
                  <w:noWrap w:val="0"/>
                  <w:vAlign w:val="center"/>
                </w:tcPr>
                <w:p>
                  <w:pPr>
                    <w:adjustRightInd w:val="0"/>
                    <w:jc w:val="center"/>
                    <w:rPr>
                      <w:rFonts w:hint="eastAsia"/>
                      <w:bCs/>
                      <w:szCs w:val="21"/>
                    </w:rPr>
                  </w:pPr>
                  <w:r>
                    <w:rPr>
                      <w:rFonts w:hint="eastAsia"/>
                      <w:bCs/>
                      <w:szCs w:val="21"/>
                    </w:rPr>
                    <w:t>污水处理站地埋，水处理池封闭加盖，盖板上预留进、出气口，增加周边植被</w:t>
                  </w:r>
                </w:p>
              </w:tc>
              <w:tc>
                <w:tcPr>
                  <w:tcW w:w="632" w:type="pct"/>
                  <w:tcBorders>
                    <w:top w:val="single" w:color="auto" w:sz="6" w:space="0"/>
                    <w:left w:val="single" w:color="auto" w:sz="6" w:space="0"/>
                    <w:bottom w:val="single" w:color="auto" w:sz="6" w:space="0"/>
                    <w:right w:val="nil"/>
                  </w:tcBorders>
                  <w:noWrap w:val="0"/>
                  <w:vAlign w:val="center"/>
                </w:tcPr>
                <w:p>
                  <w:pPr>
                    <w:jc w:val="center"/>
                    <w:rPr>
                      <w:rFonts w:hint="eastAsia"/>
                      <w:szCs w:val="21"/>
                    </w:rPr>
                  </w:pPr>
                  <w:r>
                    <w:rPr>
                      <w:rFonts w:hint="eastAsia"/>
                      <w:kern w:val="2"/>
                      <w:sz w:val="21"/>
                      <w:szCs w:val="21"/>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6" w:hRule="atLeast"/>
                <w:jc w:val="center"/>
              </w:trPr>
              <w:tc>
                <w:tcPr>
                  <w:tcW w:w="370" w:type="pct"/>
                  <w:vMerge w:val="continue"/>
                  <w:tcBorders>
                    <w:left w:val="nil"/>
                    <w:right w:val="single" w:color="auto" w:sz="6" w:space="0"/>
                  </w:tcBorders>
                  <w:noWrap w:val="0"/>
                  <w:vAlign w:val="center"/>
                </w:tcPr>
                <w:p>
                  <w:pPr>
                    <w:widowControl/>
                    <w:jc w:val="left"/>
                    <w:rPr>
                      <w:bCs/>
                      <w:highlight w:val="yellow"/>
                    </w:rPr>
                  </w:pPr>
                </w:p>
              </w:tc>
              <w:tc>
                <w:tcPr>
                  <w:tcW w:w="404" w:type="pct"/>
                  <w:vMerge w:val="continue"/>
                  <w:tcBorders>
                    <w:left w:val="single" w:color="auto" w:sz="6" w:space="0"/>
                    <w:right w:val="single" w:color="auto" w:sz="6" w:space="0"/>
                  </w:tcBorders>
                  <w:noWrap w:val="0"/>
                  <w:vAlign w:val="center"/>
                </w:tcPr>
                <w:p>
                  <w:pPr>
                    <w:widowControl/>
                    <w:jc w:val="left"/>
                  </w:pPr>
                </w:p>
              </w:tc>
              <w:tc>
                <w:tcPr>
                  <w:tcW w:w="1082" w:type="pct"/>
                  <w:tcBorders>
                    <w:top w:val="single" w:color="auto" w:sz="6" w:space="0"/>
                    <w:left w:val="single" w:color="auto" w:sz="6" w:space="0"/>
                    <w:bottom w:val="single" w:color="auto" w:sz="6" w:space="0"/>
                    <w:right w:val="single" w:color="auto" w:sz="6" w:space="0"/>
                  </w:tcBorders>
                  <w:noWrap w:val="0"/>
                  <w:vAlign w:val="center"/>
                </w:tcPr>
                <w:p>
                  <w:pPr>
                    <w:pStyle w:val="129"/>
                    <w:rPr>
                      <w:rFonts w:hint="eastAsia"/>
                    </w:rPr>
                  </w:pPr>
                  <w:r>
                    <w:rPr>
                      <w:rFonts w:hint="eastAsia"/>
                    </w:rPr>
                    <w:t>食堂油烟</w:t>
                  </w:r>
                </w:p>
              </w:tc>
              <w:tc>
                <w:tcPr>
                  <w:tcW w:w="2509" w:type="pct"/>
                  <w:tcBorders>
                    <w:top w:val="single" w:color="auto" w:sz="6" w:space="0"/>
                    <w:left w:val="single" w:color="auto" w:sz="6" w:space="0"/>
                    <w:bottom w:val="single" w:color="auto" w:sz="6" w:space="0"/>
                    <w:right w:val="single" w:color="auto" w:sz="6" w:space="0"/>
                  </w:tcBorders>
                  <w:noWrap w:val="0"/>
                  <w:vAlign w:val="center"/>
                </w:tcPr>
                <w:p>
                  <w:pPr>
                    <w:adjustRightInd w:val="0"/>
                    <w:jc w:val="center"/>
                    <w:rPr>
                      <w:rFonts w:hint="eastAsia"/>
                      <w:bCs/>
                      <w:szCs w:val="21"/>
                    </w:rPr>
                  </w:pPr>
                  <w:r>
                    <w:rPr>
                      <w:rFonts w:hint="eastAsia"/>
                      <w:bCs/>
                      <w:szCs w:val="21"/>
                    </w:rPr>
                    <w:t>采用90%净化率油烟净化器净化后，通过烟道屋顶排放</w:t>
                  </w:r>
                </w:p>
              </w:tc>
              <w:tc>
                <w:tcPr>
                  <w:tcW w:w="632" w:type="pct"/>
                  <w:tcBorders>
                    <w:top w:val="single" w:color="auto" w:sz="6" w:space="0"/>
                    <w:left w:val="single" w:color="auto" w:sz="6" w:space="0"/>
                    <w:bottom w:val="single" w:color="auto" w:sz="6" w:space="0"/>
                    <w:right w:val="nil"/>
                  </w:tcBorders>
                  <w:noWrap w:val="0"/>
                  <w:vAlign w:val="center"/>
                </w:tcPr>
                <w:p>
                  <w:pPr>
                    <w:jc w:val="center"/>
                    <w:rPr>
                      <w:rFonts w:hint="eastAsia"/>
                      <w:szCs w:val="21"/>
                    </w:rPr>
                  </w:pPr>
                  <w:r>
                    <w:rPr>
                      <w:rFonts w:hint="eastAsia"/>
                      <w:kern w:val="2"/>
                      <w:sz w:val="21"/>
                      <w:szCs w:val="21"/>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6" w:hRule="atLeast"/>
                <w:jc w:val="center"/>
              </w:trPr>
              <w:tc>
                <w:tcPr>
                  <w:tcW w:w="370" w:type="pct"/>
                  <w:vMerge w:val="continue"/>
                  <w:tcBorders>
                    <w:left w:val="nil"/>
                    <w:right w:val="single" w:color="auto" w:sz="6" w:space="0"/>
                  </w:tcBorders>
                  <w:noWrap w:val="0"/>
                  <w:vAlign w:val="center"/>
                </w:tcPr>
                <w:p>
                  <w:pPr>
                    <w:widowControl/>
                    <w:jc w:val="left"/>
                    <w:rPr>
                      <w:bCs/>
                      <w:highlight w:val="yellow"/>
                    </w:rPr>
                  </w:pPr>
                </w:p>
              </w:tc>
              <w:tc>
                <w:tcPr>
                  <w:tcW w:w="404" w:type="pct"/>
                  <w:vMerge w:val="continue"/>
                  <w:tcBorders>
                    <w:left w:val="single" w:color="auto" w:sz="6" w:space="0"/>
                    <w:right w:val="single" w:color="auto" w:sz="6" w:space="0"/>
                  </w:tcBorders>
                  <w:noWrap w:val="0"/>
                  <w:vAlign w:val="center"/>
                </w:tcPr>
                <w:p>
                  <w:pPr>
                    <w:widowControl/>
                    <w:jc w:val="left"/>
                  </w:pPr>
                </w:p>
              </w:tc>
              <w:tc>
                <w:tcPr>
                  <w:tcW w:w="1082"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rPr>
                  </w:pPr>
                  <w:r>
                    <w:rPr>
                      <w:rFonts w:hint="eastAsia"/>
                    </w:rPr>
                    <w:t>备用发电机组废气</w:t>
                  </w:r>
                </w:p>
              </w:tc>
              <w:tc>
                <w:tcPr>
                  <w:tcW w:w="2509"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rPr>
                  </w:pPr>
                  <w:r>
                    <w:rPr>
                      <w:rFonts w:hint="eastAsia"/>
                    </w:rPr>
                    <w:t>发电机使用几率小，发电机产生的烟气污染物排放量很少，通过场地绿化及大气扩散作用，对大气环境影响较小</w:t>
                  </w:r>
                </w:p>
              </w:tc>
              <w:tc>
                <w:tcPr>
                  <w:tcW w:w="632" w:type="pct"/>
                  <w:tcBorders>
                    <w:top w:val="single" w:color="auto" w:sz="6" w:space="0"/>
                    <w:left w:val="single" w:color="auto" w:sz="6" w:space="0"/>
                    <w:bottom w:val="single" w:color="auto" w:sz="6" w:space="0"/>
                    <w:right w:val="nil"/>
                  </w:tcBorders>
                  <w:noWrap w:val="0"/>
                  <w:vAlign w:val="center"/>
                </w:tcPr>
                <w:p>
                  <w:pPr>
                    <w:jc w:val="center"/>
                  </w:pPr>
                  <w:r>
                    <w:rPr>
                      <w:rFonts w:hint="eastAsia"/>
                      <w:kern w:val="2"/>
                      <w:sz w:val="21"/>
                      <w:szCs w:val="21"/>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6" w:hRule="atLeast"/>
                <w:jc w:val="center"/>
              </w:trPr>
              <w:tc>
                <w:tcPr>
                  <w:tcW w:w="370" w:type="pct"/>
                  <w:vMerge w:val="continue"/>
                  <w:tcBorders>
                    <w:left w:val="nil"/>
                    <w:right w:val="single" w:color="auto" w:sz="6" w:space="0"/>
                  </w:tcBorders>
                  <w:noWrap w:val="0"/>
                  <w:vAlign w:val="center"/>
                </w:tcPr>
                <w:p>
                  <w:pPr>
                    <w:jc w:val="center"/>
                    <w:rPr>
                      <w:rFonts w:hint="eastAsia"/>
                    </w:rPr>
                  </w:pPr>
                </w:p>
              </w:tc>
              <w:tc>
                <w:tcPr>
                  <w:tcW w:w="404" w:type="pct"/>
                  <w:vMerge w:val="continue"/>
                  <w:tcBorders>
                    <w:left w:val="single" w:color="auto" w:sz="6" w:space="0"/>
                    <w:right w:val="single" w:color="auto" w:sz="6" w:space="0"/>
                  </w:tcBorders>
                  <w:noWrap w:val="0"/>
                  <w:vAlign w:val="center"/>
                </w:tcPr>
                <w:p>
                  <w:pPr>
                    <w:jc w:val="center"/>
                    <w:rPr>
                      <w:rFonts w:hint="eastAsia"/>
                    </w:rPr>
                  </w:pPr>
                </w:p>
              </w:tc>
              <w:tc>
                <w:tcPr>
                  <w:tcW w:w="1082"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rPr>
                  </w:pPr>
                  <w:r>
                    <w:rPr>
                      <w:rFonts w:hint="eastAsia"/>
                    </w:rPr>
                    <w:t>天然气燃烧废气</w:t>
                  </w:r>
                </w:p>
              </w:tc>
              <w:tc>
                <w:tcPr>
                  <w:tcW w:w="2509"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rPr>
                  </w:pPr>
                  <w:r>
                    <w:rPr>
                      <w:rFonts w:hint="eastAsia"/>
                    </w:rPr>
                    <w:t>天然气为清洁能源，燃烧后产生的污染物较少，不会对周边的环境产生较大的影响</w:t>
                  </w:r>
                </w:p>
              </w:tc>
              <w:tc>
                <w:tcPr>
                  <w:tcW w:w="632" w:type="pct"/>
                  <w:tcBorders>
                    <w:top w:val="single" w:color="auto" w:sz="6" w:space="0"/>
                    <w:left w:val="single" w:color="auto" w:sz="6" w:space="0"/>
                    <w:bottom w:val="single" w:color="auto" w:sz="6" w:space="0"/>
                    <w:right w:val="nil"/>
                  </w:tcBorders>
                  <w:noWrap w:val="0"/>
                  <w:vAlign w:val="center"/>
                </w:tcPr>
                <w:p>
                  <w:pPr>
                    <w:jc w:val="center"/>
                    <w:rPr>
                      <w:szCs w:val="21"/>
                    </w:rPr>
                  </w:pPr>
                  <w:r>
                    <w:rPr>
                      <w:rFonts w:hint="eastAsia"/>
                      <w:kern w:val="2"/>
                      <w:sz w:val="21"/>
                      <w:szCs w:val="21"/>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6" w:hRule="atLeast"/>
                <w:jc w:val="center"/>
              </w:trPr>
              <w:tc>
                <w:tcPr>
                  <w:tcW w:w="370" w:type="pct"/>
                  <w:vMerge w:val="continue"/>
                  <w:tcBorders>
                    <w:left w:val="nil"/>
                    <w:right w:val="single" w:color="auto" w:sz="6" w:space="0"/>
                  </w:tcBorders>
                  <w:noWrap w:val="0"/>
                  <w:vAlign w:val="center"/>
                </w:tcPr>
                <w:p>
                  <w:pPr>
                    <w:widowControl/>
                    <w:jc w:val="left"/>
                    <w:rPr>
                      <w:bCs/>
                      <w:highlight w:val="yellow"/>
                    </w:rPr>
                  </w:pPr>
                </w:p>
              </w:tc>
              <w:tc>
                <w:tcPr>
                  <w:tcW w:w="404" w:type="pct"/>
                  <w:vMerge w:val="restart"/>
                  <w:tcBorders>
                    <w:top w:val="single" w:color="auto" w:sz="6" w:space="0"/>
                    <w:left w:val="single" w:color="auto" w:sz="6" w:space="0"/>
                    <w:right w:val="single" w:color="auto" w:sz="6" w:space="0"/>
                  </w:tcBorders>
                  <w:noWrap w:val="0"/>
                  <w:vAlign w:val="center"/>
                </w:tcPr>
                <w:p>
                  <w:pPr>
                    <w:widowControl/>
                    <w:jc w:val="center"/>
                    <w:rPr>
                      <w:rFonts w:hint="eastAsia"/>
                    </w:rPr>
                  </w:pPr>
                  <w:r>
                    <w:rPr>
                      <w:rFonts w:hint="eastAsia"/>
                    </w:rPr>
                    <w:t>噪声治理</w:t>
                  </w:r>
                </w:p>
              </w:tc>
              <w:tc>
                <w:tcPr>
                  <w:tcW w:w="1082" w:type="pct"/>
                  <w:tcBorders>
                    <w:top w:val="single" w:color="auto" w:sz="6" w:space="0"/>
                    <w:left w:val="single" w:color="auto" w:sz="6" w:space="0"/>
                    <w:bottom w:val="single" w:color="auto" w:sz="6" w:space="0"/>
                    <w:right w:val="single" w:color="auto" w:sz="6" w:space="0"/>
                  </w:tcBorders>
                  <w:noWrap w:val="0"/>
                  <w:vAlign w:val="center"/>
                </w:tcPr>
                <w:p>
                  <w:pPr>
                    <w:pStyle w:val="129"/>
                    <w:rPr>
                      <w:rFonts w:hint="eastAsia"/>
                    </w:rPr>
                  </w:pPr>
                  <w:r>
                    <w:rPr>
                      <w:rFonts w:hint="eastAsia"/>
                    </w:rPr>
                    <w:t>设备噪声</w:t>
                  </w:r>
                </w:p>
              </w:tc>
              <w:tc>
                <w:tcPr>
                  <w:tcW w:w="2509" w:type="pct"/>
                  <w:tcBorders>
                    <w:top w:val="single" w:color="auto" w:sz="6" w:space="0"/>
                    <w:left w:val="single" w:color="auto" w:sz="6" w:space="0"/>
                    <w:bottom w:val="single" w:color="auto" w:sz="6" w:space="0"/>
                    <w:right w:val="single" w:color="auto" w:sz="6" w:space="0"/>
                  </w:tcBorders>
                  <w:noWrap w:val="0"/>
                  <w:vAlign w:val="center"/>
                </w:tcPr>
                <w:p>
                  <w:pPr>
                    <w:adjustRightInd w:val="0"/>
                    <w:jc w:val="center"/>
                    <w:rPr>
                      <w:rFonts w:hint="eastAsia"/>
                      <w:bCs/>
                      <w:szCs w:val="21"/>
                    </w:rPr>
                  </w:pPr>
                  <w:r>
                    <w:rPr>
                      <w:rFonts w:hint="eastAsia"/>
                      <w:bCs/>
                      <w:szCs w:val="21"/>
                    </w:rPr>
                    <w:t>发电机、污水泵均采取了隔声封闭、基础减震措施，空调间歇式使用</w:t>
                  </w:r>
                </w:p>
              </w:tc>
              <w:tc>
                <w:tcPr>
                  <w:tcW w:w="632" w:type="pct"/>
                  <w:tcBorders>
                    <w:top w:val="single" w:color="auto" w:sz="6" w:space="0"/>
                    <w:left w:val="single" w:color="auto" w:sz="6" w:space="0"/>
                    <w:bottom w:val="single" w:color="auto" w:sz="6" w:space="0"/>
                    <w:right w:val="nil"/>
                  </w:tcBorders>
                  <w:noWrap w:val="0"/>
                  <w:vAlign w:val="center"/>
                </w:tcPr>
                <w:p>
                  <w:pPr>
                    <w:jc w:val="center"/>
                    <w:rPr>
                      <w:rFonts w:hint="eastAsia"/>
                      <w:szCs w:val="21"/>
                    </w:rPr>
                  </w:pPr>
                  <w:r>
                    <w:rPr>
                      <w:rFonts w:hint="eastAsia"/>
                      <w:kern w:val="2"/>
                      <w:sz w:val="21"/>
                      <w:szCs w:val="21"/>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70" w:type="pct"/>
                  <w:vMerge w:val="continue"/>
                  <w:tcBorders>
                    <w:left w:val="nil"/>
                    <w:right w:val="single" w:color="auto" w:sz="6" w:space="0"/>
                  </w:tcBorders>
                  <w:noWrap w:val="0"/>
                  <w:vAlign w:val="center"/>
                </w:tcPr>
                <w:p>
                  <w:pPr>
                    <w:widowControl/>
                    <w:jc w:val="left"/>
                    <w:rPr>
                      <w:bCs/>
                      <w:highlight w:val="yellow"/>
                    </w:rPr>
                  </w:pPr>
                </w:p>
              </w:tc>
              <w:tc>
                <w:tcPr>
                  <w:tcW w:w="404" w:type="pct"/>
                  <w:vMerge w:val="continue"/>
                  <w:tcBorders>
                    <w:left w:val="single" w:color="auto" w:sz="6" w:space="0"/>
                    <w:right w:val="single" w:color="auto" w:sz="6" w:space="0"/>
                  </w:tcBorders>
                  <w:noWrap w:val="0"/>
                  <w:vAlign w:val="center"/>
                </w:tcPr>
                <w:p>
                  <w:pPr>
                    <w:widowControl/>
                    <w:jc w:val="center"/>
                    <w:rPr>
                      <w:rFonts w:hint="eastAsia"/>
                    </w:rPr>
                  </w:pPr>
                </w:p>
              </w:tc>
              <w:tc>
                <w:tcPr>
                  <w:tcW w:w="1082" w:type="pct"/>
                  <w:tcBorders>
                    <w:top w:val="single" w:color="auto" w:sz="6" w:space="0"/>
                    <w:left w:val="single" w:color="auto" w:sz="6" w:space="0"/>
                    <w:bottom w:val="single" w:color="auto" w:sz="6" w:space="0"/>
                    <w:right w:val="single" w:color="auto" w:sz="6" w:space="0"/>
                  </w:tcBorders>
                  <w:noWrap w:val="0"/>
                  <w:vAlign w:val="center"/>
                </w:tcPr>
                <w:p>
                  <w:pPr>
                    <w:pStyle w:val="129"/>
                  </w:pPr>
                  <w:r>
                    <w:rPr>
                      <w:rFonts w:hint="eastAsia"/>
                    </w:rPr>
                    <w:t>车辆噪声</w:t>
                  </w:r>
                </w:p>
              </w:tc>
              <w:tc>
                <w:tcPr>
                  <w:tcW w:w="2509" w:type="pct"/>
                  <w:tcBorders>
                    <w:top w:val="single" w:color="auto" w:sz="6" w:space="0"/>
                    <w:left w:val="single" w:color="auto" w:sz="6" w:space="0"/>
                    <w:bottom w:val="single" w:color="auto" w:sz="6" w:space="0"/>
                    <w:right w:val="single" w:color="auto" w:sz="6" w:space="0"/>
                  </w:tcBorders>
                  <w:noWrap w:val="0"/>
                  <w:vAlign w:val="center"/>
                </w:tcPr>
                <w:p>
                  <w:pPr>
                    <w:adjustRightInd w:val="0"/>
                    <w:jc w:val="center"/>
                    <w:rPr>
                      <w:rFonts w:hint="eastAsia"/>
                      <w:bCs/>
                      <w:szCs w:val="21"/>
                    </w:rPr>
                  </w:pPr>
                  <w:r>
                    <w:rPr>
                      <w:rFonts w:hint="eastAsia"/>
                      <w:bCs/>
                      <w:szCs w:val="21"/>
                    </w:rPr>
                    <w:t>医院进出车辆低速行驶，禁止鸣笛、频繁点火</w:t>
                  </w:r>
                </w:p>
              </w:tc>
              <w:tc>
                <w:tcPr>
                  <w:tcW w:w="632" w:type="pct"/>
                  <w:tcBorders>
                    <w:top w:val="single" w:color="auto" w:sz="6" w:space="0"/>
                    <w:left w:val="single" w:color="auto" w:sz="6" w:space="0"/>
                    <w:bottom w:val="single" w:color="auto" w:sz="6" w:space="0"/>
                    <w:right w:val="nil"/>
                  </w:tcBorders>
                  <w:noWrap w:val="0"/>
                  <w:vAlign w:val="center"/>
                </w:tcPr>
                <w:p>
                  <w:pPr>
                    <w:jc w:val="center"/>
                    <w:rPr>
                      <w:rFonts w:hint="eastAsia"/>
                      <w:szCs w:val="21"/>
                    </w:rPr>
                  </w:pPr>
                  <w:r>
                    <w:rPr>
                      <w:rFonts w:hint="eastAsia"/>
                      <w:kern w:val="2"/>
                      <w:sz w:val="21"/>
                      <w:szCs w:val="21"/>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6" w:hRule="atLeast"/>
                <w:jc w:val="center"/>
              </w:trPr>
              <w:tc>
                <w:tcPr>
                  <w:tcW w:w="370" w:type="pct"/>
                  <w:vMerge w:val="continue"/>
                  <w:tcBorders>
                    <w:left w:val="nil"/>
                    <w:right w:val="single" w:color="auto" w:sz="6" w:space="0"/>
                  </w:tcBorders>
                  <w:noWrap w:val="0"/>
                  <w:vAlign w:val="center"/>
                </w:tcPr>
                <w:p>
                  <w:pPr>
                    <w:widowControl/>
                    <w:jc w:val="left"/>
                    <w:rPr>
                      <w:bCs/>
                      <w:highlight w:val="yellow"/>
                    </w:rPr>
                  </w:pPr>
                </w:p>
              </w:tc>
              <w:tc>
                <w:tcPr>
                  <w:tcW w:w="404" w:type="pct"/>
                  <w:vMerge w:val="continue"/>
                  <w:tcBorders>
                    <w:left w:val="single" w:color="auto" w:sz="6" w:space="0"/>
                    <w:bottom w:val="single" w:color="auto" w:sz="6" w:space="0"/>
                    <w:right w:val="single" w:color="auto" w:sz="6" w:space="0"/>
                  </w:tcBorders>
                  <w:noWrap w:val="0"/>
                  <w:vAlign w:val="center"/>
                </w:tcPr>
                <w:p>
                  <w:pPr>
                    <w:widowControl/>
                    <w:jc w:val="center"/>
                  </w:pPr>
                </w:p>
              </w:tc>
              <w:tc>
                <w:tcPr>
                  <w:tcW w:w="1082" w:type="pct"/>
                  <w:tcBorders>
                    <w:top w:val="single" w:color="auto" w:sz="6" w:space="0"/>
                    <w:left w:val="single" w:color="auto" w:sz="6" w:space="0"/>
                    <w:bottom w:val="single" w:color="auto" w:sz="6" w:space="0"/>
                    <w:right w:val="single" w:color="auto" w:sz="6" w:space="0"/>
                  </w:tcBorders>
                  <w:noWrap w:val="0"/>
                  <w:vAlign w:val="center"/>
                </w:tcPr>
                <w:p>
                  <w:pPr>
                    <w:pStyle w:val="129"/>
                    <w:rPr>
                      <w:rFonts w:hint="eastAsia"/>
                    </w:rPr>
                  </w:pPr>
                  <w:r>
                    <w:rPr>
                      <w:rFonts w:hint="eastAsia"/>
                    </w:rPr>
                    <w:t>社会噪声</w:t>
                  </w:r>
                </w:p>
              </w:tc>
              <w:tc>
                <w:tcPr>
                  <w:tcW w:w="2509" w:type="pct"/>
                  <w:tcBorders>
                    <w:top w:val="single" w:color="auto" w:sz="6" w:space="0"/>
                    <w:left w:val="single" w:color="auto" w:sz="6" w:space="0"/>
                    <w:bottom w:val="single" w:color="auto" w:sz="6" w:space="0"/>
                    <w:right w:val="single" w:color="auto" w:sz="6" w:space="0"/>
                  </w:tcBorders>
                  <w:noWrap w:val="0"/>
                  <w:vAlign w:val="center"/>
                </w:tcPr>
                <w:p>
                  <w:pPr>
                    <w:adjustRightInd w:val="0"/>
                    <w:jc w:val="center"/>
                    <w:rPr>
                      <w:rFonts w:hint="eastAsia"/>
                      <w:bCs/>
                      <w:szCs w:val="21"/>
                    </w:rPr>
                  </w:pPr>
                  <w:r>
                    <w:rPr>
                      <w:rFonts w:hint="eastAsia"/>
                      <w:bCs/>
                      <w:szCs w:val="21"/>
                    </w:rPr>
                    <w:t>严格遵守医院规章制度，突发情况及时制止，公共区域张贴“禁止高声喧哗”等标语</w:t>
                  </w:r>
                </w:p>
              </w:tc>
              <w:tc>
                <w:tcPr>
                  <w:tcW w:w="632" w:type="pct"/>
                  <w:tcBorders>
                    <w:top w:val="single" w:color="auto" w:sz="6" w:space="0"/>
                    <w:left w:val="single" w:color="auto" w:sz="6" w:space="0"/>
                    <w:bottom w:val="single" w:color="auto" w:sz="6" w:space="0"/>
                    <w:right w:val="nil"/>
                  </w:tcBorders>
                  <w:noWrap w:val="0"/>
                  <w:vAlign w:val="center"/>
                </w:tcPr>
                <w:p>
                  <w:pPr>
                    <w:jc w:val="center"/>
                    <w:rPr>
                      <w:rFonts w:hint="eastAsia"/>
                      <w:szCs w:val="21"/>
                    </w:rPr>
                  </w:pPr>
                  <w:r>
                    <w:rPr>
                      <w:rFonts w:hint="eastAsia"/>
                      <w:kern w:val="2"/>
                      <w:sz w:val="21"/>
                      <w:szCs w:val="21"/>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70" w:type="pct"/>
                  <w:vMerge w:val="continue"/>
                  <w:tcBorders>
                    <w:left w:val="nil"/>
                    <w:right w:val="single" w:color="auto" w:sz="6" w:space="0"/>
                  </w:tcBorders>
                  <w:noWrap w:val="0"/>
                  <w:vAlign w:val="center"/>
                </w:tcPr>
                <w:p>
                  <w:pPr>
                    <w:widowControl/>
                    <w:jc w:val="left"/>
                    <w:rPr>
                      <w:bCs/>
                      <w:highlight w:val="yellow"/>
                    </w:rPr>
                  </w:pPr>
                </w:p>
              </w:tc>
              <w:tc>
                <w:tcPr>
                  <w:tcW w:w="404" w:type="pct"/>
                  <w:vMerge w:val="restart"/>
                  <w:tcBorders>
                    <w:top w:val="single" w:color="auto" w:sz="6" w:space="0"/>
                    <w:left w:val="single" w:color="auto" w:sz="6" w:space="0"/>
                    <w:right w:val="single" w:color="auto" w:sz="6" w:space="0"/>
                  </w:tcBorders>
                  <w:noWrap w:val="0"/>
                  <w:vAlign w:val="center"/>
                </w:tcPr>
                <w:p>
                  <w:pPr>
                    <w:widowControl/>
                    <w:jc w:val="center"/>
                    <w:rPr>
                      <w:rFonts w:hint="eastAsia"/>
                    </w:rPr>
                  </w:pPr>
                  <w:r>
                    <w:rPr>
                      <w:rFonts w:hint="eastAsia"/>
                    </w:rPr>
                    <w:t>固废治理</w:t>
                  </w:r>
                </w:p>
              </w:tc>
              <w:tc>
                <w:tcPr>
                  <w:tcW w:w="1082" w:type="pct"/>
                  <w:tcBorders>
                    <w:top w:val="single" w:color="auto" w:sz="6" w:space="0"/>
                    <w:left w:val="single" w:color="auto" w:sz="6" w:space="0"/>
                    <w:bottom w:val="single" w:color="auto" w:sz="6" w:space="0"/>
                    <w:right w:val="single" w:color="auto" w:sz="6" w:space="0"/>
                  </w:tcBorders>
                  <w:noWrap w:val="0"/>
                  <w:vAlign w:val="center"/>
                </w:tcPr>
                <w:p>
                  <w:pPr>
                    <w:pStyle w:val="129"/>
                    <w:rPr>
                      <w:rFonts w:hint="eastAsia"/>
                    </w:rPr>
                  </w:pPr>
                  <w:r>
                    <w:rPr>
                      <w:rFonts w:hint="eastAsia"/>
                    </w:rPr>
                    <w:t>生活垃圾</w:t>
                  </w:r>
                </w:p>
              </w:tc>
              <w:tc>
                <w:tcPr>
                  <w:tcW w:w="2509" w:type="pct"/>
                  <w:tcBorders>
                    <w:top w:val="single" w:color="auto" w:sz="6" w:space="0"/>
                    <w:left w:val="single" w:color="auto" w:sz="6" w:space="0"/>
                    <w:bottom w:val="single" w:color="auto" w:sz="6" w:space="0"/>
                    <w:right w:val="single" w:color="auto" w:sz="6" w:space="0"/>
                  </w:tcBorders>
                  <w:noWrap w:val="0"/>
                  <w:vAlign w:val="center"/>
                </w:tcPr>
                <w:p>
                  <w:pPr>
                    <w:adjustRightInd w:val="0"/>
                    <w:jc w:val="center"/>
                    <w:rPr>
                      <w:rFonts w:hint="eastAsia"/>
                      <w:bCs/>
                      <w:szCs w:val="21"/>
                    </w:rPr>
                  </w:pPr>
                  <w:r>
                    <w:rPr>
                      <w:rFonts w:hint="eastAsia"/>
                      <w:bCs/>
                      <w:szCs w:val="21"/>
                    </w:rPr>
                    <w:t>定期清运由环卫部门统一处理</w:t>
                  </w:r>
                </w:p>
              </w:tc>
              <w:tc>
                <w:tcPr>
                  <w:tcW w:w="632" w:type="pct"/>
                  <w:tcBorders>
                    <w:top w:val="single" w:color="auto" w:sz="6" w:space="0"/>
                    <w:left w:val="single" w:color="auto" w:sz="6" w:space="0"/>
                    <w:bottom w:val="single" w:color="auto" w:sz="6" w:space="0"/>
                    <w:right w:val="nil"/>
                  </w:tcBorders>
                  <w:noWrap w:val="0"/>
                  <w:vAlign w:val="center"/>
                </w:tcPr>
                <w:p>
                  <w:pPr>
                    <w:jc w:val="center"/>
                    <w:rPr>
                      <w:rFonts w:hint="eastAsia"/>
                      <w:szCs w:val="21"/>
                    </w:rPr>
                  </w:pPr>
                  <w:r>
                    <w:rPr>
                      <w:rFonts w:hint="eastAsia"/>
                      <w:kern w:val="2"/>
                      <w:sz w:val="21"/>
                      <w:szCs w:val="21"/>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6" w:hRule="atLeast"/>
                <w:jc w:val="center"/>
              </w:trPr>
              <w:tc>
                <w:tcPr>
                  <w:tcW w:w="370" w:type="pct"/>
                  <w:vMerge w:val="continue"/>
                  <w:tcBorders>
                    <w:left w:val="nil"/>
                    <w:right w:val="single" w:color="auto" w:sz="6" w:space="0"/>
                  </w:tcBorders>
                  <w:noWrap w:val="0"/>
                  <w:vAlign w:val="center"/>
                </w:tcPr>
                <w:p>
                  <w:pPr>
                    <w:widowControl/>
                    <w:jc w:val="left"/>
                    <w:rPr>
                      <w:bCs/>
                      <w:highlight w:val="yellow"/>
                    </w:rPr>
                  </w:pPr>
                </w:p>
              </w:tc>
              <w:tc>
                <w:tcPr>
                  <w:tcW w:w="404" w:type="pct"/>
                  <w:vMerge w:val="continue"/>
                  <w:tcBorders>
                    <w:left w:val="single" w:color="auto" w:sz="6" w:space="0"/>
                    <w:right w:val="single" w:color="auto" w:sz="6" w:space="0"/>
                  </w:tcBorders>
                  <w:noWrap w:val="0"/>
                  <w:vAlign w:val="center"/>
                </w:tcPr>
                <w:p>
                  <w:pPr>
                    <w:widowControl/>
                    <w:jc w:val="center"/>
                    <w:rPr>
                      <w:rFonts w:hint="eastAsia"/>
                    </w:rPr>
                  </w:pPr>
                </w:p>
              </w:tc>
              <w:tc>
                <w:tcPr>
                  <w:tcW w:w="1082" w:type="pct"/>
                  <w:tcBorders>
                    <w:top w:val="single" w:color="auto" w:sz="6" w:space="0"/>
                    <w:left w:val="single" w:color="auto" w:sz="6" w:space="0"/>
                    <w:bottom w:val="single" w:color="auto" w:sz="6" w:space="0"/>
                    <w:right w:val="single" w:color="auto" w:sz="6" w:space="0"/>
                  </w:tcBorders>
                  <w:noWrap w:val="0"/>
                  <w:vAlign w:val="center"/>
                </w:tcPr>
                <w:p>
                  <w:pPr>
                    <w:pStyle w:val="129"/>
                    <w:rPr>
                      <w:rFonts w:hint="eastAsia"/>
                    </w:rPr>
                  </w:pPr>
                  <w:r>
                    <w:rPr>
                      <w:rFonts w:hint="eastAsia"/>
                    </w:rPr>
                    <w:t>医疗废物</w:t>
                  </w:r>
                </w:p>
              </w:tc>
              <w:tc>
                <w:tcPr>
                  <w:tcW w:w="2509" w:type="pct"/>
                  <w:tcBorders>
                    <w:top w:val="single" w:color="auto" w:sz="6" w:space="0"/>
                    <w:left w:val="single" w:color="auto" w:sz="6" w:space="0"/>
                    <w:right w:val="single" w:color="auto" w:sz="6" w:space="0"/>
                  </w:tcBorders>
                  <w:noWrap w:val="0"/>
                  <w:vAlign w:val="center"/>
                </w:tcPr>
                <w:p>
                  <w:pPr>
                    <w:adjustRightInd w:val="0"/>
                    <w:jc w:val="center"/>
                    <w:rPr>
                      <w:rFonts w:hint="eastAsia"/>
                      <w:bCs/>
                      <w:szCs w:val="21"/>
                    </w:rPr>
                  </w:pPr>
                  <w:r>
                    <w:rPr>
                      <w:rFonts w:hint="eastAsia"/>
                      <w:bCs/>
                      <w:szCs w:val="21"/>
                    </w:rPr>
                    <w:t>暂存于医疗废物暂存间，交由有资质单位处置</w:t>
                  </w:r>
                </w:p>
              </w:tc>
              <w:tc>
                <w:tcPr>
                  <w:tcW w:w="632" w:type="pct"/>
                  <w:tcBorders>
                    <w:top w:val="single" w:color="auto" w:sz="6" w:space="0"/>
                    <w:left w:val="single" w:color="auto" w:sz="6" w:space="0"/>
                    <w:bottom w:val="single" w:color="auto" w:sz="6" w:space="0"/>
                    <w:right w:val="nil"/>
                  </w:tcBorders>
                  <w:noWrap w:val="0"/>
                  <w:vAlign w:val="center"/>
                </w:tcPr>
                <w:p>
                  <w:pPr>
                    <w:jc w:val="center"/>
                    <w:rPr>
                      <w:rFonts w:hint="eastAsia"/>
                      <w:szCs w:val="21"/>
                    </w:rPr>
                  </w:pPr>
                  <w:r>
                    <w:rPr>
                      <w:rFonts w:hint="eastAsia"/>
                      <w:kern w:val="2"/>
                      <w:sz w:val="21"/>
                      <w:szCs w:val="21"/>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70" w:type="pct"/>
                  <w:vMerge w:val="continue"/>
                  <w:tcBorders>
                    <w:left w:val="nil"/>
                    <w:right w:val="single" w:color="auto" w:sz="6" w:space="0"/>
                  </w:tcBorders>
                  <w:noWrap w:val="0"/>
                  <w:vAlign w:val="center"/>
                </w:tcPr>
                <w:p>
                  <w:pPr>
                    <w:widowControl/>
                    <w:jc w:val="left"/>
                    <w:rPr>
                      <w:bCs/>
                      <w:highlight w:val="yellow"/>
                    </w:rPr>
                  </w:pPr>
                </w:p>
              </w:tc>
              <w:tc>
                <w:tcPr>
                  <w:tcW w:w="404" w:type="pct"/>
                  <w:vMerge w:val="continue"/>
                  <w:tcBorders>
                    <w:left w:val="single" w:color="auto" w:sz="6" w:space="0"/>
                    <w:bottom w:val="single" w:color="auto" w:sz="6" w:space="0"/>
                    <w:right w:val="single" w:color="auto" w:sz="6" w:space="0"/>
                  </w:tcBorders>
                  <w:noWrap w:val="0"/>
                  <w:vAlign w:val="center"/>
                </w:tcPr>
                <w:p>
                  <w:pPr>
                    <w:widowControl/>
                    <w:jc w:val="center"/>
                    <w:rPr>
                      <w:rFonts w:hint="eastAsia"/>
                    </w:rPr>
                  </w:pPr>
                </w:p>
              </w:tc>
              <w:tc>
                <w:tcPr>
                  <w:tcW w:w="1082" w:type="pct"/>
                  <w:tcBorders>
                    <w:top w:val="single" w:color="auto" w:sz="6" w:space="0"/>
                    <w:left w:val="single" w:color="auto" w:sz="6" w:space="0"/>
                    <w:bottom w:val="single" w:color="auto" w:sz="6" w:space="0"/>
                    <w:right w:val="single" w:color="auto" w:sz="6" w:space="0"/>
                  </w:tcBorders>
                  <w:noWrap w:val="0"/>
                  <w:vAlign w:val="center"/>
                </w:tcPr>
                <w:p>
                  <w:pPr>
                    <w:pStyle w:val="129"/>
                    <w:rPr>
                      <w:rFonts w:hint="eastAsia"/>
                    </w:rPr>
                  </w:pPr>
                  <w:r>
                    <w:rPr>
                      <w:rFonts w:hint="eastAsia"/>
                    </w:rPr>
                    <w:t>污水处理站污泥</w:t>
                  </w:r>
                </w:p>
              </w:tc>
              <w:tc>
                <w:tcPr>
                  <w:tcW w:w="2509" w:type="pct"/>
                  <w:tcBorders>
                    <w:left w:val="single" w:color="auto" w:sz="6" w:space="0"/>
                    <w:bottom w:val="single" w:color="auto" w:sz="6" w:space="0"/>
                    <w:right w:val="single" w:color="auto" w:sz="6" w:space="0"/>
                  </w:tcBorders>
                  <w:noWrap w:val="0"/>
                  <w:vAlign w:val="center"/>
                </w:tcPr>
                <w:p>
                  <w:pPr>
                    <w:adjustRightInd w:val="0"/>
                    <w:jc w:val="center"/>
                    <w:rPr>
                      <w:rFonts w:hint="eastAsia"/>
                      <w:bCs/>
                      <w:szCs w:val="21"/>
                    </w:rPr>
                  </w:pPr>
                  <w:r>
                    <w:rPr>
                      <w:rFonts w:hint="eastAsia"/>
                      <w:bCs/>
                      <w:szCs w:val="21"/>
                      <w:lang w:eastAsia="zh-CN"/>
                    </w:rPr>
                    <w:t>定期清掏，</w:t>
                  </w:r>
                  <w:r>
                    <w:rPr>
                      <w:rFonts w:hint="eastAsia"/>
                      <w:bCs/>
                      <w:szCs w:val="21"/>
                    </w:rPr>
                    <w:t>暂存于医疗废物暂存间，交由有资质单位处置</w:t>
                  </w:r>
                </w:p>
              </w:tc>
              <w:tc>
                <w:tcPr>
                  <w:tcW w:w="632" w:type="pct"/>
                  <w:tcBorders>
                    <w:top w:val="single" w:color="auto" w:sz="6" w:space="0"/>
                    <w:left w:val="single" w:color="auto" w:sz="6" w:space="0"/>
                    <w:bottom w:val="single" w:color="auto" w:sz="6" w:space="0"/>
                    <w:right w:val="nil"/>
                  </w:tcBorders>
                  <w:noWrap w:val="0"/>
                  <w:vAlign w:val="center"/>
                </w:tcPr>
                <w:p>
                  <w:pPr>
                    <w:jc w:val="center"/>
                    <w:rPr>
                      <w:rFonts w:hint="eastAsia"/>
                      <w:szCs w:val="21"/>
                    </w:rPr>
                  </w:pPr>
                  <w:r>
                    <w:rPr>
                      <w:rFonts w:hint="eastAsia"/>
                      <w:kern w:val="2"/>
                      <w:sz w:val="21"/>
                      <w:szCs w:val="21"/>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370" w:type="pct"/>
                  <w:vMerge w:val="continue"/>
                  <w:tcBorders>
                    <w:left w:val="nil"/>
                    <w:right w:val="single" w:color="auto" w:sz="6" w:space="0"/>
                  </w:tcBorders>
                  <w:noWrap w:val="0"/>
                  <w:vAlign w:val="center"/>
                </w:tcPr>
                <w:p>
                  <w:pPr>
                    <w:widowControl/>
                    <w:jc w:val="left"/>
                    <w:rPr>
                      <w:bCs/>
                      <w:highlight w:val="yellow"/>
                    </w:rPr>
                  </w:pPr>
                </w:p>
              </w:tc>
              <w:tc>
                <w:tcPr>
                  <w:tcW w:w="1487" w:type="pct"/>
                  <w:gridSpan w:val="2"/>
                  <w:tcBorders>
                    <w:top w:val="single" w:color="auto" w:sz="6" w:space="0"/>
                    <w:left w:val="single" w:color="auto" w:sz="6" w:space="0"/>
                    <w:bottom w:val="single" w:color="auto" w:sz="6" w:space="0"/>
                    <w:right w:val="single" w:color="auto" w:sz="6" w:space="0"/>
                  </w:tcBorders>
                  <w:noWrap w:val="0"/>
                  <w:vAlign w:val="center"/>
                </w:tcPr>
                <w:p>
                  <w:pPr>
                    <w:jc w:val="center"/>
                    <w:rPr>
                      <w:kern w:val="0"/>
                      <w:szCs w:val="21"/>
                    </w:rPr>
                  </w:pPr>
                  <w:r>
                    <w:rPr>
                      <w:rFonts w:hint="eastAsia"/>
                      <w:kern w:val="0"/>
                      <w:szCs w:val="21"/>
                    </w:rPr>
                    <w:t>地下水、土壤污染防治措施</w:t>
                  </w:r>
                </w:p>
              </w:tc>
              <w:tc>
                <w:tcPr>
                  <w:tcW w:w="2509" w:type="pct"/>
                  <w:tcBorders>
                    <w:top w:val="single" w:color="auto" w:sz="6" w:space="0"/>
                    <w:left w:val="single" w:color="auto" w:sz="6" w:space="0"/>
                    <w:bottom w:val="single" w:color="auto" w:sz="6" w:space="0"/>
                    <w:right w:val="single" w:color="auto" w:sz="6" w:space="0"/>
                  </w:tcBorders>
                  <w:noWrap w:val="0"/>
                  <w:vAlign w:val="center"/>
                </w:tcPr>
                <w:p>
                  <w:pPr>
                    <w:snapToGrid w:val="0"/>
                    <w:jc w:val="center"/>
                  </w:pPr>
                  <w:r>
                    <w:rPr>
                      <w:rFonts w:hint="eastAsia"/>
                    </w:rPr>
                    <w:t>分区防渗：</w:t>
                  </w:r>
                  <w:r>
                    <w:rPr>
                      <w:rFonts w:hint="eastAsia"/>
                      <w:szCs w:val="21"/>
                    </w:rPr>
                    <w:t>医疗废物暂存间、隔油池、化粪池、储油间、污水处理站构筑物等采取重点防渗措施，其余采取一般防渗措施</w:t>
                  </w:r>
                </w:p>
              </w:tc>
              <w:tc>
                <w:tcPr>
                  <w:tcW w:w="632" w:type="pct"/>
                  <w:tcBorders>
                    <w:top w:val="single" w:color="auto" w:sz="6" w:space="0"/>
                    <w:left w:val="single" w:color="auto" w:sz="6" w:space="0"/>
                    <w:bottom w:val="single" w:color="auto" w:sz="6" w:space="0"/>
                    <w:right w:val="nil"/>
                  </w:tcBorders>
                  <w:noWrap w:val="0"/>
                  <w:vAlign w:val="center"/>
                </w:tcPr>
                <w:p>
                  <w:pPr>
                    <w:pStyle w:val="59"/>
                    <w:spacing w:line="240" w:lineRule="auto"/>
                    <w:ind w:firstLine="0"/>
                    <w:jc w:val="center"/>
                    <w:rPr>
                      <w:bCs/>
                    </w:rPr>
                  </w:pPr>
                  <w:r>
                    <w:rPr>
                      <w:rFonts w:hint="eastAsia"/>
                      <w:kern w:val="2"/>
                      <w:sz w:val="21"/>
                      <w:szCs w:val="21"/>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27" w:hRule="atLeast"/>
                <w:jc w:val="center"/>
              </w:trPr>
              <w:tc>
                <w:tcPr>
                  <w:tcW w:w="370" w:type="pct"/>
                  <w:vMerge w:val="continue"/>
                  <w:tcBorders>
                    <w:left w:val="nil"/>
                    <w:right w:val="single" w:color="auto" w:sz="6" w:space="0"/>
                  </w:tcBorders>
                  <w:noWrap w:val="0"/>
                  <w:vAlign w:val="center"/>
                </w:tcPr>
                <w:p>
                  <w:pPr>
                    <w:widowControl/>
                    <w:jc w:val="left"/>
                    <w:rPr>
                      <w:bCs/>
                      <w:highlight w:val="yellow"/>
                    </w:rPr>
                  </w:pPr>
                </w:p>
              </w:tc>
              <w:tc>
                <w:tcPr>
                  <w:tcW w:w="1487" w:type="pct"/>
                  <w:gridSpan w:val="2"/>
                  <w:tcBorders>
                    <w:top w:val="single" w:color="auto" w:sz="6" w:space="0"/>
                    <w:left w:val="single" w:color="auto" w:sz="6" w:space="0"/>
                    <w:bottom w:val="single" w:color="auto" w:sz="6" w:space="0"/>
                    <w:right w:val="single" w:color="auto" w:sz="6" w:space="0"/>
                  </w:tcBorders>
                  <w:noWrap w:val="0"/>
                  <w:vAlign w:val="center"/>
                </w:tcPr>
                <w:p>
                  <w:pPr>
                    <w:jc w:val="center"/>
                    <w:rPr>
                      <w:bCs/>
                      <w:spacing w:val="4"/>
                      <w:highlight w:val="yellow"/>
                    </w:rPr>
                  </w:pPr>
                  <w:r>
                    <w:rPr>
                      <w:rFonts w:hint="eastAsia"/>
                      <w:bCs/>
                      <w:spacing w:val="4"/>
                    </w:rPr>
                    <w:t>风险预防措施</w:t>
                  </w:r>
                </w:p>
              </w:tc>
              <w:tc>
                <w:tcPr>
                  <w:tcW w:w="2509" w:type="pct"/>
                  <w:tcBorders>
                    <w:top w:val="single" w:color="auto" w:sz="6" w:space="0"/>
                    <w:left w:val="single" w:color="auto" w:sz="6" w:space="0"/>
                    <w:bottom w:val="single" w:color="auto" w:sz="6" w:space="0"/>
                    <w:right w:val="single" w:color="auto" w:sz="6" w:space="0"/>
                  </w:tcBorders>
                  <w:noWrap w:val="0"/>
                  <w:vAlign w:val="center"/>
                </w:tcPr>
                <w:p>
                  <w:pPr>
                    <w:snapToGrid w:val="0"/>
                    <w:jc w:val="center"/>
                    <w:rPr>
                      <w:highlight w:val="yellow"/>
                    </w:rPr>
                  </w:pPr>
                  <w:r>
                    <w:rPr>
                      <w:rFonts w:hint="eastAsia"/>
                    </w:rPr>
                    <w:t>定</w:t>
                  </w:r>
                  <w:r>
                    <w:rPr>
                      <w:rFonts w:hint="eastAsia"/>
                      <w:szCs w:val="21"/>
                    </w:rPr>
                    <w:t>期检查、维护污水管网；定期对工组人员进行上岗培训和安全防护培训。</w:t>
                  </w:r>
                  <w:r>
                    <w:rPr>
                      <w:rFonts w:hint="eastAsia" w:ascii="Times New Roman" w:hAnsi="Times New Roman" w:cs="Times New Roman"/>
                      <w:kern w:val="2"/>
                      <w:szCs w:val="21"/>
                      <w:lang w:bidi="ar-SA"/>
                    </w:rPr>
                    <w:t>设置30m³事故池，设</w:t>
                  </w:r>
                  <w:r>
                    <w:rPr>
                      <w:rFonts w:hint="eastAsia" w:ascii="宋体" w:hAnsi="宋体" w:cs="宋体"/>
                      <w:kern w:val="0"/>
                      <w:szCs w:val="21"/>
                      <w:lang w:bidi="ar"/>
                    </w:rPr>
                    <w:t>置消防水泵房，配备应急物资等</w:t>
                  </w:r>
                </w:p>
              </w:tc>
              <w:tc>
                <w:tcPr>
                  <w:tcW w:w="632" w:type="pct"/>
                  <w:tcBorders>
                    <w:top w:val="single" w:color="auto" w:sz="6" w:space="0"/>
                    <w:left w:val="single" w:color="auto" w:sz="6" w:space="0"/>
                    <w:bottom w:val="single" w:color="auto" w:sz="6" w:space="0"/>
                    <w:right w:val="nil"/>
                  </w:tcBorders>
                  <w:noWrap w:val="0"/>
                  <w:vAlign w:val="center"/>
                </w:tcPr>
                <w:p>
                  <w:pPr>
                    <w:pStyle w:val="59"/>
                    <w:spacing w:line="240" w:lineRule="auto"/>
                    <w:ind w:firstLine="0"/>
                    <w:jc w:val="center"/>
                    <w:rPr>
                      <w:bCs/>
                    </w:rPr>
                  </w:pPr>
                  <w:r>
                    <w:rPr>
                      <w:rFonts w:hint="eastAsia"/>
                      <w:kern w:val="2"/>
                      <w:sz w:val="21"/>
                      <w:szCs w:val="21"/>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70" w:type="pct"/>
                  <w:vMerge w:val="continue"/>
                  <w:tcBorders>
                    <w:left w:val="nil"/>
                    <w:bottom w:val="single" w:color="auto" w:sz="6" w:space="0"/>
                    <w:right w:val="single" w:color="auto" w:sz="6" w:space="0"/>
                  </w:tcBorders>
                  <w:noWrap w:val="0"/>
                  <w:vAlign w:val="center"/>
                </w:tcPr>
                <w:p>
                  <w:pPr>
                    <w:widowControl/>
                    <w:jc w:val="left"/>
                    <w:rPr>
                      <w:bCs/>
                      <w:highlight w:val="yellow"/>
                    </w:rPr>
                  </w:pPr>
                </w:p>
              </w:tc>
              <w:tc>
                <w:tcPr>
                  <w:tcW w:w="1487" w:type="pct"/>
                  <w:gridSpan w:val="2"/>
                  <w:tcBorders>
                    <w:top w:val="single" w:color="auto" w:sz="6" w:space="0"/>
                    <w:left w:val="single" w:color="auto" w:sz="6" w:space="0"/>
                    <w:bottom w:val="single" w:color="auto" w:sz="6" w:space="0"/>
                    <w:right w:val="single" w:color="auto" w:sz="6" w:space="0"/>
                  </w:tcBorders>
                  <w:noWrap w:val="0"/>
                  <w:vAlign w:val="center"/>
                </w:tcPr>
                <w:p>
                  <w:pPr>
                    <w:adjustRightInd w:val="0"/>
                    <w:jc w:val="center"/>
                  </w:pPr>
                  <w:r>
                    <w:rPr>
                      <w:rFonts w:hint="eastAsia"/>
                    </w:rPr>
                    <w:t>环境管理及监测</w:t>
                  </w:r>
                </w:p>
              </w:tc>
              <w:tc>
                <w:tcPr>
                  <w:tcW w:w="2509" w:type="pct"/>
                  <w:tcBorders>
                    <w:top w:val="single" w:color="auto" w:sz="6" w:space="0"/>
                    <w:left w:val="single" w:color="auto" w:sz="6" w:space="0"/>
                    <w:bottom w:val="single" w:color="auto" w:sz="6" w:space="0"/>
                    <w:right w:val="single" w:color="auto" w:sz="6" w:space="0"/>
                  </w:tcBorders>
                  <w:noWrap w:val="0"/>
                  <w:vAlign w:val="center"/>
                </w:tcPr>
                <w:p>
                  <w:pPr>
                    <w:jc w:val="center"/>
                  </w:pPr>
                  <w:r>
                    <w:rPr>
                      <w:rFonts w:hint="eastAsia"/>
                    </w:rPr>
                    <w:t>增加环保设施标志标牌，制定环保制度，环保应急预案；定期进行环境监测</w:t>
                  </w:r>
                  <w:r>
                    <w:rPr>
                      <w:rFonts w:hint="eastAsia"/>
                      <w:lang w:eastAsia="zh-CN"/>
                    </w:rPr>
                    <w:t>，</w:t>
                  </w:r>
                  <w:r>
                    <w:rPr>
                      <w:rFonts w:hint="eastAsia"/>
                      <w:bCs/>
                      <w:szCs w:val="21"/>
                      <w:lang w:eastAsia="zh-CN"/>
                    </w:rPr>
                    <w:t>增设流量自动监测设备</w:t>
                  </w:r>
                  <w:r>
                    <w:rPr>
                      <w:rFonts w:hint="eastAsia"/>
                    </w:rPr>
                    <w:t>。</w:t>
                  </w:r>
                </w:p>
              </w:tc>
              <w:tc>
                <w:tcPr>
                  <w:tcW w:w="632" w:type="pct"/>
                  <w:tcBorders>
                    <w:top w:val="single" w:color="auto" w:sz="6" w:space="0"/>
                    <w:left w:val="single" w:color="auto" w:sz="6" w:space="0"/>
                    <w:bottom w:val="single" w:color="auto" w:sz="6" w:space="0"/>
                    <w:right w:val="nil"/>
                  </w:tcBorders>
                  <w:noWrap w:val="0"/>
                  <w:vAlign w:val="center"/>
                </w:tcPr>
                <w:p>
                  <w:pPr>
                    <w:pStyle w:val="59"/>
                    <w:spacing w:line="240" w:lineRule="auto"/>
                    <w:ind w:firstLine="0"/>
                    <w:jc w:val="center"/>
                    <w:rPr>
                      <w:rFonts w:hint="default" w:eastAsia="宋体"/>
                      <w:bCs/>
                      <w:kern w:val="2"/>
                      <w:sz w:val="21"/>
                      <w:szCs w:val="21"/>
                      <w:lang w:val="en-US" w:eastAsia="zh-CN"/>
                    </w:rPr>
                  </w:pPr>
                  <w:r>
                    <w:rPr>
                      <w:rFonts w:hint="eastAsia"/>
                      <w:kern w:val="2"/>
                      <w:sz w:val="21"/>
                      <w:szCs w:val="21"/>
                      <w:lang w:val="en-US" w:eastAsia="zh-CN"/>
                    </w:rPr>
                    <w:t>15.0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5" w:hRule="atLeast"/>
                <w:jc w:val="center"/>
              </w:trPr>
              <w:tc>
                <w:tcPr>
                  <w:tcW w:w="4367" w:type="pct"/>
                  <w:gridSpan w:val="4"/>
                  <w:tcBorders>
                    <w:top w:val="single" w:color="auto" w:sz="6" w:space="0"/>
                    <w:left w:val="nil"/>
                    <w:bottom w:val="single" w:color="auto" w:sz="12" w:space="0"/>
                    <w:right w:val="single" w:color="auto" w:sz="6" w:space="0"/>
                  </w:tcBorders>
                  <w:noWrap w:val="0"/>
                  <w:vAlign w:val="center"/>
                </w:tcPr>
                <w:p>
                  <w:pPr>
                    <w:jc w:val="center"/>
                    <w:rPr>
                      <w:bCs/>
                    </w:rPr>
                  </w:pPr>
                  <w:r>
                    <w:rPr>
                      <w:rFonts w:hint="eastAsia"/>
                      <w:bCs/>
                    </w:rPr>
                    <w:t>合计</w:t>
                  </w:r>
                </w:p>
              </w:tc>
              <w:tc>
                <w:tcPr>
                  <w:tcW w:w="632" w:type="pct"/>
                  <w:tcBorders>
                    <w:top w:val="single" w:color="auto" w:sz="6" w:space="0"/>
                    <w:left w:val="single" w:color="auto" w:sz="6" w:space="0"/>
                    <w:bottom w:val="single" w:color="auto" w:sz="12" w:space="0"/>
                    <w:right w:val="nil"/>
                  </w:tcBorders>
                  <w:noWrap w:val="0"/>
                  <w:vAlign w:val="center"/>
                </w:tcPr>
                <w:p>
                  <w:pPr>
                    <w:pStyle w:val="59"/>
                    <w:spacing w:line="240" w:lineRule="auto"/>
                    <w:ind w:firstLine="0"/>
                    <w:jc w:val="center"/>
                    <w:rPr>
                      <w:rFonts w:hint="default"/>
                      <w:bCs/>
                      <w:kern w:val="2"/>
                      <w:sz w:val="21"/>
                      <w:szCs w:val="21"/>
                      <w:lang w:val="en-US"/>
                    </w:rPr>
                  </w:pPr>
                  <w:r>
                    <w:rPr>
                      <w:rFonts w:hint="eastAsia"/>
                      <w:bCs/>
                      <w:kern w:val="2"/>
                      <w:sz w:val="21"/>
                      <w:szCs w:val="21"/>
                      <w:lang w:val="en-US" w:eastAsia="zh-CN"/>
                    </w:rPr>
                    <w:t>19.0</w:t>
                  </w:r>
                </w:p>
              </w:tc>
            </w:tr>
          </w:tbl>
          <w:p>
            <w:pPr>
              <w:spacing w:line="360" w:lineRule="auto"/>
              <w:rPr>
                <w:rFonts w:hint="eastAsia" w:hAnsi="宋体"/>
                <w:b/>
                <w:sz w:val="24"/>
              </w:rPr>
            </w:pPr>
            <w:r>
              <w:rPr>
                <w:rFonts w:hint="eastAsia"/>
                <w:b/>
                <w:sz w:val="24"/>
              </w:rPr>
              <w:t>十</w:t>
            </w:r>
            <w:r>
              <w:rPr>
                <w:rFonts w:hAnsi="宋体"/>
                <w:b/>
                <w:sz w:val="24"/>
              </w:rPr>
              <w:t>、</w:t>
            </w:r>
            <w:r>
              <w:rPr>
                <w:rFonts w:hint="eastAsia" w:hAnsi="宋体"/>
                <w:b/>
                <w:sz w:val="24"/>
              </w:rPr>
              <w:t>项目竣工环境保护验收</w:t>
            </w:r>
          </w:p>
          <w:p>
            <w:pPr>
              <w:widowControl/>
              <w:spacing w:line="360" w:lineRule="auto"/>
              <w:ind w:firstLine="480" w:firstLineChars="200"/>
              <w:rPr>
                <w:kern w:val="0"/>
                <w:sz w:val="24"/>
                <w:lang w:bidi="ar"/>
              </w:rPr>
            </w:pPr>
            <w:r>
              <w:rPr>
                <w:kern w:val="0"/>
                <w:sz w:val="24"/>
                <w:lang w:bidi="ar"/>
              </w:rPr>
              <w:t>该项目所有环保设施均应与主体工程同时设计、同时施工、同时投产，根据《建设项目环境保护管理条例》（国令第682号）以及《建设项目竣工环境保护验收暂行办法》（国环规环评[2017]4号），建设单位是建设项目竣工环境保护验收的责任主体，应当按照《建设项目竣工环境保护验收暂行办法》（国环规环评[2017]4号）、《排污单位自行监测技术指南</w:t>
            </w:r>
            <w:r>
              <w:rPr>
                <w:rFonts w:hint="eastAsia"/>
                <w:kern w:val="0"/>
                <w:sz w:val="24"/>
                <w:lang w:bidi="ar"/>
              </w:rPr>
              <w:t xml:space="preserve"> </w:t>
            </w:r>
            <w:r>
              <w:rPr>
                <w:kern w:val="0"/>
                <w:sz w:val="24"/>
                <w:lang w:bidi="ar"/>
              </w:rPr>
              <w:t>总则》( HJ 819-2017)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虚作假。验收报告分为验收监测（调查）报告、验收意见和其他需要说明的事项等三项内容。</w:t>
            </w:r>
          </w:p>
          <w:p>
            <w:pPr>
              <w:widowControl/>
              <w:spacing w:line="360" w:lineRule="auto"/>
              <w:ind w:firstLine="480" w:firstLineChars="200"/>
              <w:rPr>
                <w:kern w:val="0"/>
                <w:sz w:val="24"/>
                <w:lang w:bidi="ar"/>
              </w:rPr>
            </w:pPr>
            <w:r>
              <w:rPr>
                <w:kern w:val="0"/>
                <w:sz w:val="24"/>
                <w:lang w:bidi="ar"/>
              </w:rPr>
              <w:t>验收的程序和要求：建设项目竣工后，建设单位应当如实查验、监测、记载建设项目环境保护设施的建设和调试情况，编制验收监测（调查）报告，建设单位不具备编制验收监测（调查）报告能力的，可委托有能力的技术机构编制。建设单位和受委托的技术机构之间的权利和义务关系，以及受委托的技术机构应当承担的责任，可以通过合同形式约定。环境保护设施是指防治环境污染和生态破坏所需的装置、设备、监测手段和工程设施等。</w:t>
            </w:r>
          </w:p>
          <w:p>
            <w:pPr>
              <w:widowControl/>
              <w:spacing w:line="360" w:lineRule="auto"/>
              <w:ind w:firstLine="480" w:firstLineChars="200"/>
              <w:rPr>
                <w:kern w:val="0"/>
                <w:sz w:val="24"/>
                <w:lang w:bidi="ar"/>
              </w:rPr>
            </w:pPr>
            <w:r>
              <w:rPr>
                <w:kern w:val="0"/>
                <w:sz w:val="24"/>
                <w:lang w:bidi="ar"/>
              </w:rPr>
              <w:t>验收工作组及验收意见：由设计单位、施工单位、环境影响报告书（表）编制机构、验收监测（调查）编制机构等单位代表和专业技术专家组成，代表范围和人数自定。验收监测（调查）报告编制完成后，建设单位应当根据验收监测（调查）报告结论，逐一检查是否存在验收不合格的情形，提出验收意见。存在问题的，建设单位应当进行整改，整改完成后方可提出验收意见验收意见包括工程建设基本情况、工程变动情况、环境保护设施落实情况、环境保护设施调试效果、工程建设对环境的影响、验收结论和后续要求等内容，验收结论应当明确该建设项目环境保护设施是否验收合格。建设项目配套建设的环境保护设施经验收合格后，其主体工程方可投入生产或者使用；未经验收或者验收不合格的，不得投入生产或者使用。</w:t>
            </w:r>
          </w:p>
          <w:p>
            <w:pPr>
              <w:widowControl/>
              <w:spacing w:line="360" w:lineRule="auto"/>
              <w:ind w:firstLine="480" w:firstLineChars="200"/>
              <w:rPr>
                <w:kern w:val="0"/>
                <w:sz w:val="24"/>
                <w:lang w:bidi="ar"/>
              </w:rPr>
            </w:pPr>
            <w:r>
              <w:rPr>
                <w:kern w:val="0"/>
                <w:sz w:val="24"/>
                <w:lang w:bidi="ar"/>
              </w:rPr>
              <w:t>验收公示：除按照国家规定需要保密的情形外，建设单位应当通过其网站或其他便于公众知晓的方式，向社会公开下列信息：</w:t>
            </w:r>
          </w:p>
          <w:p>
            <w:pPr>
              <w:widowControl/>
              <w:spacing w:line="360" w:lineRule="auto"/>
              <w:ind w:firstLine="480" w:firstLineChars="200"/>
              <w:rPr>
                <w:kern w:val="0"/>
                <w:sz w:val="24"/>
                <w:lang w:bidi="ar"/>
              </w:rPr>
            </w:pPr>
            <w:r>
              <w:rPr>
                <w:kern w:val="0"/>
                <w:sz w:val="24"/>
                <w:lang w:bidi="ar"/>
              </w:rPr>
              <w:t>（一）建设项目配套建设的环境保护设的环境保护设施竣工后，公开竣工日期；</w:t>
            </w:r>
          </w:p>
          <w:p>
            <w:pPr>
              <w:widowControl/>
              <w:spacing w:line="360" w:lineRule="auto"/>
              <w:ind w:firstLine="480" w:firstLineChars="200"/>
              <w:rPr>
                <w:kern w:val="0"/>
                <w:sz w:val="24"/>
                <w:lang w:bidi="ar"/>
              </w:rPr>
            </w:pPr>
            <w:r>
              <w:rPr>
                <w:kern w:val="0"/>
                <w:sz w:val="24"/>
                <w:lang w:bidi="ar"/>
              </w:rPr>
              <w:t>（二）对建设项目配套建设的环境保护设施进行调试前，公开调试的起止日期；</w:t>
            </w:r>
          </w:p>
          <w:p>
            <w:pPr>
              <w:widowControl/>
              <w:spacing w:line="360" w:lineRule="auto"/>
              <w:ind w:firstLine="480" w:firstLineChars="200"/>
              <w:rPr>
                <w:rFonts w:hint="eastAsia"/>
                <w:kern w:val="0"/>
                <w:sz w:val="24"/>
                <w:lang w:bidi="ar"/>
              </w:rPr>
            </w:pPr>
            <w:r>
              <w:rPr>
                <w:kern w:val="0"/>
                <w:sz w:val="24"/>
                <w:lang w:bidi="ar"/>
              </w:rPr>
              <w:t>（三）验收报告编制完成后的5个工作日内，公开验收报告，公示的期限不得少于20个工作日。建设单位公开上述信息的同时，应当向所在地县级以上环境保护主管部门报送相关信息，并接受监督检查。除需要取得排污许可证的水和大气污染防治设施外，其他环境保护设施的验收期限一般不超过3个月；需要对该类环境保护设施进行调试或者整改的，验收期限可以适当延长，但最长不超过12个月。验收期限是指自建设项目环境保护设施竣工之日起至建设单位向社会公开验收报告之日止的时间。验收报告公示期满后5个工作日内，建设单位应当登录全国建设项目竣工环境保护验收信息平台，填报建设项目基本信息、环境保护设施验收情况等相关信息，环境保护主管部门对上述信息予以公开。建设单位应当将验收报告以及其他档案资料存档备查。项目竣工验收内容及要求见表</w:t>
            </w:r>
            <w:r>
              <w:rPr>
                <w:rFonts w:hint="eastAsia"/>
                <w:kern w:val="0"/>
                <w:sz w:val="24"/>
                <w:lang w:bidi="ar"/>
              </w:rPr>
              <w:t>4-</w:t>
            </w:r>
            <w:r>
              <w:rPr>
                <w:rFonts w:hint="eastAsia"/>
                <w:kern w:val="0"/>
                <w:sz w:val="24"/>
                <w:lang w:val="en-US" w:eastAsia="zh-CN" w:bidi="ar"/>
              </w:rPr>
              <w:t>30</w:t>
            </w:r>
            <w:r>
              <w:rPr>
                <w:kern w:val="0"/>
                <w:sz w:val="24"/>
                <w:lang w:bidi="ar"/>
              </w:rPr>
              <w:t>。</w:t>
            </w:r>
          </w:p>
          <w:p>
            <w:pPr>
              <w:pStyle w:val="120"/>
              <w:spacing w:line="240" w:lineRule="auto"/>
              <w:ind w:firstLine="411"/>
              <w:rPr>
                <w:rFonts w:eastAsia="宋体"/>
                <w:b/>
                <w:bCs w:val="0"/>
                <w:szCs w:val="21"/>
              </w:rPr>
            </w:pPr>
            <w:r>
              <w:rPr>
                <w:rFonts w:hAnsi="宋体" w:eastAsia="宋体"/>
                <w:b/>
                <w:bCs w:val="0"/>
                <w:szCs w:val="21"/>
              </w:rPr>
              <w:t>表</w:t>
            </w:r>
            <w:r>
              <w:rPr>
                <w:rFonts w:eastAsia="宋体"/>
                <w:b/>
                <w:bCs w:val="0"/>
                <w:szCs w:val="21"/>
              </w:rPr>
              <w:t>4-</w:t>
            </w:r>
            <w:r>
              <w:rPr>
                <w:rFonts w:hint="eastAsia" w:eastAsia="宋体"/>
                <w:b/>
                <w:bCs w:val="0"/>
                <w:szCs w:val="21"/>
                <w:lang w:val="en-US" w:eastAsia="zh-CN"/>
              </w:rPr>
              <w:t>30</w:t>
            </w:r>
            <w:r>
              <w:rPr>
                <w:rFonts w:eastAsia="宋体"/>
                <w:b/>
                <w:bCs w:val="0"/>
                <w:szCs w:val="21"/>
              </w:rPr>
              <w:t xml:space="preserve">  </w:t>
            </w:r>
            <w:r>
              <w:rPr>
                <w:rFonts w:hAnsi="宋体" w:eastAsia="宋体"/>
                <w:b/>
                <w:bCs w:val="0"/>
                <w:szCs w:val="21"/>
              </w:rPr>
              <w:t>环保设施竣工验收要求表</w:t>
            </w:r>
          </w:p>
          <w:tbl>
            <w:tblPr>
              <w:tblStyle w:val="4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7"/>
              <w:gridCol w:w="781"/>
              <w:gridCol w:w="1666"/>
              <w:gridCol w:w="1814"/>
              <w:gridCol w:w="1571"/>
              <w:gridCol w:w="18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50" w:type="pct"/>
                  <w:gridSpan w:val="2"/>
                  <w:noWrap w:val="0"/>
                  <w:vAlign w:val="center"/>
                </w:tcPr>
                <w:p>
                  <w:pPr>
                    <w:pStyle w:val="129"/>
                    <w:rPr>
                      <w:b/>
                    </w:rPr>
                  </w:pPr>
                  <w:bookmarkStart w:id="4" w:name="_Toc136328231"/>
                  <w:bookmarkStart w:id="5" w:name="_Toc134369179"/>
                  <w:bookmarkStart w:id="6" w:name="_Toc134434667"/>
                  <w:bookmarkStart w:id="7" w:name="_Toc134369105"/>
                  <w:bookmarkStart w:id="8" w:name="_Toc134367928"/>
                  <w:r>
                    <w:rPr>
                      <w:b/>
                    </w:rPr>
                    <w:t>验收项目</w:t>
                  </w:r>
                </w:p>
              </w:tc>
              <w:tc>
                <w:tcPr>
                  <w:tcW w:w="2144" w:type="pct"/>
                  <w:gridSpan w:val="2"/>
                  <w:noWrap w:val="0"/>
                  <w:vAlign w:val="center"/>
                </w:tcPr>
                <w:p>
                  <w:pPr>
                    <w:pStyle w:val="129"/>
                    <w:rPr>
                      <w:b/>
                    </w:rPr>
                  </w:pPr>
                  <w:r>
                    <w:rPr>
                      <w:b/>
                    </w:rPr>
                    <w:t>验收内容</w:t>
                  </w:r>
                </w:p>
              </w:tc>
              <w:tc>
                <w:tcPr>
                  <w:tcW w:w="968" w:type="pct"/>
                  <w:noWrap w:val="0"/>
                  <w:vAlign w:val="center"/>
                </w:tcPr>
                <w:p>
                  <w:pPr>
                    <w:pStyle w:val="129"/>
                    <w:rPr>
                      <w:b/>
                    </w:rPr>
                  </w:pPr>
                  <w:r>
                    <w:rPr>
                      <w:b/>
                    </w:rPr>
                    <w:t>验收指标</w:t>
                  </w:r>
                </w:p>
              </w:tc>
              <w:tc>
                <w:tcPr>
                  <w:tcW w:w="1135" w:type="pct"/>
                  <w:noWrap w:val="0"/>
                  <w:vAlign w:val="center"/>
                </w:tcPr>
                <w:p>
                  <w:pPr>
                    <w:pStyle w:val="129"/>
                    <w:rPr>
                      <w:b/>
                    </w:rPr>
                  </w:pPr>
                  <w:r>
                    <w:rPr>
                      <w:b/>
                    </w:rPr>
                    <w:t>验收标准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269" w:type="pct"/>
                  <w:vMerge w:val="restart"/>
                  <w:noWrap w:val="0"/>
                  <w:vAlign w:val="center"/>
                </w:tcPr>
                <w:p>
                  <w:pPr>
                    <w:pStyle w:val="129"/>
                  </w:pPr>
                  <w:r>
                    <w:t>废水</w:t>
                  </w:r>
                </w:p>
              </w:tc>
              <w:tc>
                <w:tcPr>
                  <w:tcW w:w="481" w:type="pct"/>
                  <w:noWrap w:val="0"/>
                  <w:vAlign w:val="center"/>
                </w:tcPr>
                <w:p>
                  <w:pPr>
                    <w:jc w:val="center"/>
                    <w:rPr>
                      <w:bCs/>
                    </w:rPr>
                  </w:pPr>
                  <w:r>
                    <w:rPr>
                      <w:rFonts w:hint="eastAsia"/>
                      <w:szCs w:val="21"/>
                    </w:rPr>
                    <w:t>食堂废水</w:t>
                  </w:r>
                </w:p>
              </w:tc>
              <w:tc>
                <w:tcPr>
                  <w:tcW w:w="1026" w:type="pct"/>
                  <w:noWrap w:val="0"/>
                  <w:vAlign w:val="center"/>
                </w:tcPr>
                <w:p>
                  <w:pPr>
                    <w:jc w:val="center"/>
                  </w:pPr>
                  <w:r>
                    <w:rPr>
                      <w:rFonts w:hint="eastAsia"/>
                    </w:rPr>
                    <w:t>经隔油池、化粪池预处理后进入院内污水处理站</w:t>
                  </w:r>
                </w:p>
              </w:tc>
              <w:tc>
                <w:tcPr>
                  <w:tcW w:w="1118" w:type="pct"/>
                  <w:vMerge w:val="restart"/>
                  <w:noWrap w:val="0"/>
                  <w:vAlign w:val="center"/>
                </w:tcPr>
                <w:p>
                  <w:pPr>
                    <w:jc w:val="center"/>
                    <w:rPr>
                      <w:rFonts w:hint="eastAsia"/>
                    </w:rPr>
                  </w:pPr>
                  <w:r>
                    <w:rPr>
                      <w:rFonts w:hint="eastAsia"/>
                    </w:rPr>
                    <w:t>院内污水处理站处理达《医疗机构水污染染物排放标准》（GB1846-2005）预处理标准后</w:t>
                  </w:r>
                  <w:r>
                    <w:rPr>
                      <w:rFonts w:hint="eastAsia"/>
                      <w:lang w:eastAsia="zh-CN"/>
                    </w:rPr>
                    <w:t>排入市政污水管网，进入乐山市第三污水处理厂处理</w:t>
                  </w:r>
                </w:p>
              </w:tc>
              <w:tc>
                <w:tcPr>
                  <w:tcW w:w="968" w:type="pct"/>
                  <w:vMerge w:val="restart"/>
                  <w:noWrap w:val="0"/>
                  <w:vAlign w:val="center"/>
                </w:tcPr>
                <w:p>
                  <w:pPr>
                    <w:pStyle w:val="129"/>
                    <w:rPr>
                      <w:rFonts w:hint="eastAsia" w:eastAsia="宋体"/>
                      <w:lang w:eastAsia="zh-CN"/>
                    </w:rPr>
                  </w:pPr>
                  <w:r>
                    <w:rPr>
                      <w:rFonts w:hint="eastAsia"/>
                    </w:rPr>
                    <w:t>达《医疗机构水污染染物排放标准》（GB1846-2005）预处理标准后</w:t>
                  </w:r>
                  <w:r>
                    <w:rPr>
                      <w:rFonts w:hint="eastAsia"/>
                      <w:lang w:eastAsia="zh-CN"/>
                    </w:rPr>
                    <w:t>进入乐山市第三污水处理厂处理</w:t>
                  </w:r>
                </w:p>
              </w:tc>
              <w:tc>
                <w:tcPr>
                  <w:tcW w:w="1135" w:type="pct"/>
                  <w:vMerge w:val="restart"/>
                  <w:noWrap w:val="0"/>
                  <w:vAlign w:val="center"/>
                </w:tcPr>
                <w:p>
                  <w:pPr>
                    <w:pStyle w:val="129"/>
                  </w:pPr>
                  <w:r>
                    <w:rPr>
                      <w:rFonts w:hint="eastAsia"/>
                    </w:rPr>
                    <w:t>污水处理站排放标准执行《医疗机构水污染染物排放标准》（GB1846-2005）预处理标准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269" w:type="pct"/>
                  <w:vMerge w:val="continue"/>
                  <w:noWrap w:val="0"/>
                  <w:vAlign w:val="center"/>
                </w:tcPr>
                <w:p>
                  <w:pPr>
                    <w:pStyle w:val="129"/>
                  </w:pPr>
                </w:p>
              </w:tc>
              <w:tc>
                <w:tcPr>
                  <w:tcW w:w="481" w:type="pct"/>
                  <w:noWrap w:val="0"/>
                  <w:vAlign w:val="center"/>
                </w:tcPr>
                <w:p>
                  <w:pPr>
                    <w:jc w:val="center"/>
                    <w:rPr>
                      <w:rFonts w:hint="eastAsia"/>
                      <w:szCs w:val="21"/>
                    </w:rPr>
                  </w:pPr>
                  <w:r>
                    <w:rPr>
                      <w:rFonts w:hint="eastAsia"/>
                      <w:szCs w:val="21"/>
                    </w:rPr>
                    <w:t>生活污水</w:t>
                  </w:r>
                </w:p>
              </w:tc>
              <w:tc>
                <w:tcPr>
                  <w:tcW w:w="1026" w:type="pct"/>
                  <w:vMerge w:val="restart"/>
                  <w:noWrap w:val="0"/>
                  <w:vAlign w:val="center"/>
                </w:tcPr>
                <w:p>
                  <w:pPr>
                    <w:jc w:val="center"/>
                    <w:rPr>
                      <w:rFonts w:hint="eastAsia"/>
                    </w:rPr>
                  </w:pPr>
                  <w:r>
                    <w:rPr>
                      <w:rFonts w:hint="eastAsia"/>
                    </w:rPr>
                    <w:t>经化粪池收集后进入院内污水处理站</w:t>
                  </w:r>
                </w:p>
              </w:tc>
              <w:tc>
                <w:tcPr>
                  <w:tcW w:w="1118" w:type="pct"/>
                  <w:vMerge w:val="continue"/>
                  <w:noWrap w:val="0"/>
                  <w:vAlign w:val="center"/>
                </w:tcPr>
                <w:p>
                  <w:pPr>
                    <w:jc w:val="center"/>
                    <w:rPr>
                      <w:rFonts w:hint="eastAsia"/>
                    </w:rPr>
                  </w:pPr>
                </w:p>
              </w:tc>
              <w:tc>
                <w:tcPr>
                  <w:tcW w:w="968" w:type="pct"/>
                  <w:vMerge w:val="continue"/>
                  <w:noWrap w:val="0"/>
                  <w:vAlign w:val="center"/>
                </w:tcPr>
                <w:p>
                  <w:pPr>
                    <w:pStyle w:val="129"/>
                    <w:rPr>
                      <w:rFonts w:hint="eastAsia"/>
                    </w:rPr>
                  </w:pPr>
                </w:p>
              </w:tc>
              <w:tc>
                <w:tcPr>
                  <w:tcW w:w="1135" w:type="pct"/>
                  <w:vMerge w:val="continue"/>
                  <w:noWrap w:val="0"/>
                  <w:vAlign w:val="center"/>
                </w:tcPr>
                <w:p>
                  <w:pPr>
                    <w:pStyle w:val="129"/>
                    <w:rPr>
                      <w:rFonts w:hint="eastAsi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269" w:type="pct"/>
                  <w:vMerge w:val="continue"/>
                  <w:noWrap w:val="0"/>
                  <w:vAlign w:val="center"/>
                </w:tcPr>
                <w:p>
                  <w:pPr>
                    <w:pStyle w:val="129"/>
                  </w:pPr>
                </w:p>
              </w:tc>
              <w:tc>
                <w:tcPr>
                  <w:tcW w:w="481" w:type="pct"/>
                  <w:noWrap w:val="0"/>
                  <w:vAlign w:val="center"/>
                </w:tcPr>
                <w:p>
                  <w:pPr>
                    <w:jc w:val="center"/>
                    <w:rPr>
                      <w:rFonts w:hint="eastAsia"/>
                      <w:szCs w:val="21"/>
                    </w:rPr>
                  </w:pPr>
                  <w:r>
                    <w:rPr>
                      <w:rFonts w:hint="eastAsia"/>
                      <w:szCs w:val="21"/>
                    </w:rPr>
                    <w:t>洗涤废水</w:t>
                  </w:r>
                </w:p>
              </w:tc>
              <w:tc>
                <w:tcPr>
                  <w:tcW w:w="1026" w:type="pct"/>
                  <w:vMerge w:val="continue"/>
                  <w:noWrap w:val="0"/>
                  <w:vAlign w:val="center"/>
                </w:tcPr>
                <w:p>
                  <w:pPr>
                    <w:pStyle w:val="129"/>
                    <w:rPr>
                      <w:rFonts w:hint="eastAsia"/>
                    </w:rPr>
                  </w:pPr>
                </w:p>
              </w:tc>
              <w:tc>
                <w:tcPr>
                  <w:tcW w:w="1118" w:type="pct"/>
                  <w:vMerge w:val="continue"/>
                  <w:noWrap w:val="0"/>
                  <w:vAlign w:val="center"/>
                </w:tcPr>
                <w:p>
                  <w:pPr>
                    <w:pStyle w:val="129"/>
                    <w:rPr>
                      <w:rFonts w:hint="eastAsia"/>
                    </w:rPr>
                  </w:pPr>
                </w:p>
              </w:tc>
              <w:tc>
                <w:tcPr>
                  <w:tcW w:w="968" w:type="pct"/>
                  <w:vMerge w:val="continue"/>
                  <w:noWrap w:val="0"/>
                  <w:vAlign w:val="center"/>
                </w:tcPr>
                <w:p>
                  <w:pPr>
                    <w:pStyle w:val="129"/>
                  </w:pPr>
                </w:p>
              </w:tc>
              <w:tc>
                <w:tcPr>
                  <w:tcW w:w="1135" w:type="pct"/>
                  <w:vMerge w:val="continue"/>
                  <w:noWrap w:val="0"/>
                  <w:vAlign w:val="center"/>
                </w:tcPr>
                <w:p>
                  <w:pPr>
                    <w:pStyle w:val="129"/>
                    <w:rPr>
                      <w:rFonts w:hint="eastAsi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69" w:type="pct"/>
                  <w:vMerge w:val="continue"/>
                  <w:noWrap w:val="0"/>
                  <w:vAlign w:val="center"/>
                </w:tcPr>
                <w:p>
                  <w:pPr>
                    <w:pStyle w:val="129"/>
                  </w:pPr>
                </w:p>
              </w:tc>
              <w:tc>
                <w:tcPr>
                  <w:tcW w:w="481" w:type="pct"/>
                  <w:noWrap w:val="0"/>
                  <w:vAlign w:val="center"/>
                </w:tcPr>
                <w:p>
                  <w:pPr>
                    <w:jc w:val="center"/>
                    <w:rPr>
                      <w:rFonts w:hint="eastAsia"/>
                      <w:szCs w:val="21"/>
                    </w:rPr>
                  </w:pPr>
                  <w:r>
                    <w:rPr>
                      <w:rFonts w:hint="eastAsia"/>
                      <w:szCs w:val="21"/>
                    </w:rPr>
                    <w:t>医疗废水</w:t>
                  </w:r>
                </w:p>
              </w:tc>
              <w:tc>
                <w:tcPr>
                  <w:tcW w:w="1026" w:type="pct"/>
                  <w:vMerge w:val="continue"/>
                  <w:noWrap w:val="0"/>
                  <w:vAlign w:val="center"/>
                </w:tcPr>
                <w:p>
                  <w:pPr>
                    <w:jc w:val="center"/>
                    <w:rPr>
                      <w:rFonts w:hint="eastAsia"/>
                    </w:rPr>
                  </w:pPr>
                </w:p>
              </w:tc>
              <w:tc>
                <w:tcPr>
                  <w:tcW w:w="1118" w:type="pct"/>
                  <w:vMerge w:val="continue"/>
                  <w:noWrap w:val="0"/>
                  <w:vAlign w:val="center"/>
                </w:tcPr>
                <w:p>
                  <w:pPr>
                    <w:jc w:val="center"/>
                    <w:rPr>
                      <w:rFonts w:hint="eastAsia"/>
                    </w:rPr>
                  </w:pPr>
                </w:p>
              </w:tc>
              <w:tc>
                <w:tcPr>
                  <w:tcW w:w="968" w:type="pct"/>
                  <w:vMerge w:val="continue"/>
                  <w:noWrap w:val="0"/>
                  <w:vAlign w:val="center"/>
                </w:tcPr>
                <w:p>
                  <w:pPr>
                    <w:pStyle w:val="129"/>
                    <w:rPr>
                      <w:rFonts w:hint="eastAsia"/>
                    </w:rPr>
                  </w:pPr>
                </w:p>
              </w:tc>
              <w:tc>
                <w:tcPr>
                  <w:tcW w:w="1135" w:type="pct"/>
                  <w:vMerge w:val="continue"/>
                  <w:noWrap w:val="0"/>
                  <w:vAlign w:val="center"/>
                </w:tcPr>
                <w:p>
                  <w:pPr>
                    <w:pStyle w:val="129"/>
                    <w:rPr>
                      <w:rFonts w:hint="eastAsi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69" w:type="pct"/>
                  <w:vMerge w:val="restart"/>
                  <w:noWrap w:val="0"/>
                  <w:vAlign w:val="center"/>
                </w:tcPr>
                <w:p>
                  <w:pPr>
                    <w:pStyle w:val="129"/>
                  </w:pPr>
                  <w:r>
                    <w:rPr>
                      <w:rFonts w:hint="eastAsia"/>
                    </w:rPr>
                    <w:t>废气</w:t>
                  </w:r>
                </w:p>
              </w:tc>
              <w:tc>
                <w:tcPr>
                  <w:tcW w:w="481" w:type="pct"/>
                  <w:noWrap w:val="0"/>
                  <w:vAlign w:val="center"/>
                </w:tcPr>
                <w:p>
                  <w:pPr>
                    <w:jc w:val="center"/>
                    <w:rPr>
                      <w:rFonts w:hint="eastAsia"/>
                      <w:szCs w:val="21"/>
                    </w:rPr>
                  </w:pPr>
                  <w:r>
                    <w:rPr>
                      <w:rFonts w:hint="eastAsia"/>
                      <w:szCs w:val="21"/>
                    </w:rPr>
                    <w:t>污水处理站废气</w:t>
                  </w:r>
                </w:p>
              </w:tc>
              <w:tc>
                <w:tcPr>
                  <w:tcW w:w="2144" w:type="pct"/>
                  <w:gridSpan w:val="2"/>
                  <w:noWrap w:val="0"/>
                  <w:vAlign w:val="center"/>
                </w:tcPr>
                <w:p>
                  <w:pPr>
                    <w:jc w:val="center"/>
                    <w:rPr>
                      <w:rFonts w:hint="eastAsia"/>
                    </w:rPr>
                  </w:pPr>
                  <w:r>
                    <w:rPr>
                      <w:rFonts w:hint="eastAsia"/>
                    </w:rPr>
                    <w:t>污水处理站采取地埋式工艺，调节池等均加盖封闭并定期喷洒除臭剂，加强周边绿化等措施</w:t>
                  </w:r>
                </w:p>
              </w:tc>
              <w:tc>
                <w:tcPr>
                  <w:tcW w:w="968" w:type="pct"/>
                  <w:noWrap w:val="0"/>
                  <w:vAlign w:val="center"/>
                </w:tcPr>
                <w:p>
                  <w:pPr>
                    <w:pStyle w:val="129"/>
                  </w:pPr>
                  <w:r>
                    <w:rPr>
                      <w:rFonts w:hint="eastAsia"/>
                    </w:rPr>
                    <w:t>/</w:t>
                  </w:r>
                </w:p>
              </w:tc>
              <w:tc>
                <w:tcPr>
                  <w:tcW w:w="1135" w:type="pct"/>
                  <w:noWrap w:val="0"/>
                  <w:vAlign w:val="center"/>
                </w:tcPr>
                <w:p>
                  <w:pPr>
                    <w:pStyle w:val="129"/>
                  </w:pPr>
                  <w:r>
                    <w:t>《医疗机构水污染染物排放标准》（GB1846-2005）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69" w:type="pct"/>
                  <w:vMerge w:val="continue"/>
                  <w:noWrap w:val="0"/>
                  <w:vAlign w:val="center"/>
                </w:tcPr>
                <w:p>
                  <w:pPr>
                    <w:pStyle w:val="129"/>
                    <w:rPr>
                      <w:rFonts w:hint="eastAsia"/>
                    </w:rPr>
                  </w:pPr>
                </w:p>
              </w:tc>
              <w:tc>
                <w:tcPr>
                  <w:tcW w:w="481" w:type="pct"/>
                  <w:noWrap w:val="0"/>
                  <w:vAlign w:val="center"/>
                </w:tcPr>
                <w:p>
                  <w:pPr>
                    <w:jc w:val="center"/>
                    <w:rPr>
                      <w:rFonts w:hint="eastAsia"/>
                      <w:szCs w:val="21"/>
                    </w:rPr>
                  </w:pPr>
                  <w:r>
                    <w:rPr>
                      <w:rFonts w:hint="eastAsia"/>
                      <w:szCs w:val="21"/>
                    </w:rPr>
                    <w:t>食堂油烟</w:t>
                  </w:r>
                </w:p>
              </w:tc>
              <w:tc>
                <w:tcPr>
                  <w:tcW w:w="2144" w:type="pct"/>
                  <w:gridSpan w:val="2"/>
                  <w:noWrap w:val="0"/>
                  <w:vAlign w:val="center"/>
                </w:tcPr>
                <w:p>
                  <w:pPr>
                    <w:jc w:val="center"/>
                    <w:rPr>
                      <w:rFonts w:hint="eastAsia"/>
                    </w:rPr>
                  </w:pPr>
                  <w:r>
                    <w:rPr>
                      <w:rFonts w:hint="eastAsia"/>
                    </w:rPr>
                    <w:t>采用90%净化率油烟净化器净化后，通过烟道屋顶排放</w:t>
                  </w:r>
                </w:p>
              </w:tc>
              <w:tc>
                <w:tcPr>
                  <w:tcW w:w="968" w:type="pct"/>
                  <w:noWrap w:val="0"/>
                  <w:vAlign w:val="center"/>
                </w:tcPr>
                <w:p>
                  <w:pPr>
                    <w:pStyle w:val="129"/>
                    <w:rPr>
                      <w:rFonts w:hint="eastAsia"/>
                    </w:rPr>
                  </w:pPr>
                  <w:r>
                    <w:rPr>
                      <w:rFonts w:hint="eastAsia"/>
                    </w:rPr>
                    <w:t>/</w:t>
                  </w:r>
                </w:p>
              </w:tc>
              <w:tc>
                <w:tcPr>
                  <w:tcW w:w="1135" w:type="pct"/>
                  <w:noWrap w:val="0"/>
                  <w:vAlign w:val="center"/>
                </w:tcPr>
                <w:p>
                  <w:pPr>
                    <w:pStyle w:val="129"/>
                    <w:rPr>
                      <w:rFonts w:hint="eastAsia"/>
                    </w:rPr>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69" w:type="pct"/>
                  <w:vMerge w:val="continue"/>
                  <w:noWrap w:val="0"/>
                  <w:vAlign w:val="center"/>
                </w:tcPr>
                <w:p>
                  <w:pPr>
                    <w:pStyle w:val="129"/>
                    <w:rPr>
                      <w:rFonts w:hint="eastAsia"/>
                    </w:rPr>
                  </w:pPr>
                </w:p>
              </w:tc>
              <w:tc>
                <w:tcPr>
                  <w:tcW w:w="481" w:type="pct"/>
                  <w:noWrap w:val="0"/>
                  <w:vAlign w:val="center"/>
                </w:tcPr>
                <w:p>
                  <w:pPr>
                    <w:jc w:val="center"/>
                    <w:rPr>
                      <w:rFonts w:hint="eastAsia"/>
                      <w:szCs w:val="21"/>
                    </w:rPr>
                  </w:pPr>
                  <w:r>
                    <w:rPr>
                      <w:rFonts w:hint="eastAsia"/>
                      <w:szCs w:val="21"/>
                    </w:rPr>
                    <w:t>备用发电机组废气</w:t>
                  </w:r>
                </w:p>
              </w:tc>
              <w:tc>
                <w:tcPr>
                  <w:tcW w:w="2144" w:type="pct"/>
                  <w:gridSpan w:val="2"/>
                  <w:noWrap w:val="0"/>
                  <w:vAlign w:val="center"/>
                </w:tcPr>
                <w:p>
                  <w:pPr>
                    <w:jc w:val="center"/>
                    <w:rPr>
                      <w:rFonts w:hint="eastAsia"/>
                    </w:rPr>
                  </w:pPr>
                  <w:r>
                    <w:rPr>
                      <w:rFonts w:hint="eastAsia"/>
                    </w:rPr>
                    <w:t>发电机使用几率小，发电机产生的烟气污染物排放量很少，通过场地绿化及大气扩散作用，对大气环境影响较小</w:t>
                  </w:r>
                </w:p>
              </w:tc>
              <w:tc>
                <w:tcPr>
                  <w:tcW w:w="968" w:type="pct"/>
                  <w:noWrap w:val="0"/>
                  <w:vAlign w:val="center"/>
                </w:tcPr>
                <w:p>
                  <w:pPr>
                    <w:pStyle w:val="129"/>
                    <w:rPr>
                      <w:rFonts w:hint="eastAsia"/>
                    </w:rPr>
                  </w:pPr>
                  <w:r>
                    <w:rPr>
                      <w:rFonts w:hint="eastAsia"/>
                    </w:rPr>
                    <w:t>/</w:t>
                  </w:r>
                </w:p>
              </w:tc>
              <w:tc>
                <w:tcPr>
                  <w:tcW w:w="1135" w:type="pct"/>
                  <w:noWrap w:val="0"/>
                  <w:vAlign w:val="center"/>
                </w:tcPr>
                <w:p>
                  <w:pPr>
                    <w:pStyle w:val="129"/>
                    <w:rPr>
                      <w:rFonts w:hint="eastAsia"/>
                    </w:rPr>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69" w:type="pct"/>
                  <w:vMerge w:val="continue"/>
                  <w:noWrap w:val="0"/>
                  <w:vAlign w:val="center"/>
                </w:tcPr>
                <w:p>
                  <w:pPr>
                    <w:pStyle w:val="129"/>
                    <w:rPr>
                      <w:rFonts w:hint="eastAsia"/>
                    </w:rPr>
                  </w:pPr>
                </w:p>
              </w:tc>
              <w:tc>
                <w:tcPr>
                  <w:tcW w:w="481" w:type="pct"/>
                  <w:noWrap w:val="0"/>
                  <w:vAlign w:val="center"/>
                </w:tcPr>
                <w:p>
                  <w:pPr>
                    <w:jc w:val="center"/>
                    <w:rPr>
                      <w:rFonts w:hint="eastAsia"/>
                      <w:szCs w:val="21"/>
                    </w:rPr>
                  </w:pPr>
                  <w:r>
                    <w:rPr>
                      <w:rFonts w:hint="eastAsia"/>
                      <w:szCs w:val="21"/>
                    </w:rPr>
                    <w:t>天然气燃烧废气</w:t>
                  </w:r>
                </w:p>
              </w:tc>
              <w:tc>
                <w:tcPr>
                  <w:tcW w:w="2144" w:type="pct"/>
                  <w:gridSpan w:val="2"/>
                  <w:noWrap w:val="0"/>
                  <w:vAlign w:val="center"/>
                </w:tcPr>
                <w:p>
                  <w:pPr>
                    <w:jc w:val="center"/>
                    <w:rPr>
                      <w:rFonts w:hint="eastAsia"/>
                    </w:rPr>
                  </w:pPr>
                  <w:r>
                    <w:rPr>
                      <w:rFonts w:hint="eastAsia"/>
                    </w:rPr>
                    <w:t>天然气为清洁能源，燃烧后产生的污染物较少，不会对周边的环境产生较大的影响</w:t>
                  </w:r>
                </w:p>
              </w:tc>
              <w:tc>
                <w:tcPr>
                  <w:tcW w:w="968" w:type="pct"/>
                  <w:noWrap w:val="0"/>
                  <w:vAlign w:val="center"/>
                </w:tcPr>
                <w:p>
                  <w:pPr>
                    <w:pStyle w:val="129"/>
                    <w:rPr>
                      <w:rFonts w:hint="eastAsia"/>
                    </w:rPr>
                  </w:pPr>
                  <w:r>
                    <w:rPr>
                      <w:rFonts w:hint="eastAsia"/>
                    </w:rPr>
                    <w:t>/</w:t>
                  </w:r>
                </w:p>
              </w:tc>
              <w:tc>
                <w:tcPr>
                  <w:tcW w:w="1135" w:type="pct"/>
                  <w:noWrap w:val="0"/>
                  <w:vAlign w:val="center"/>
                </w:tcPr>
                <w:p>
                  <w:pPr>
                    <w:pStyle w:val="129"/>
                    <w:rPr>
                      <w:rFonts w:hint="eastAsia"/>
                    </w:rPr>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69" w:type="pct"/>
                  <w:vMerge w:val="restart"/>
                  <w:noWrap w:val="0"/>
                  <w:vAlign w:val="center"/>
                </w:tcPr>
                <w:p>
                  <w:pPr>
                    <w:pStyle w:val="129"/>
                  </w:pPr>
                  <w:r>
                    <w:t>噪声</w:t>
                  </w:r>
                </w:p>
              </w:tc>
              <w:tc>
                <w:tcPr>
                  <w:tcW w:w="481" w:type="pct"/>
                  <w:noWrap w:val="0"/>
                  <w:vAlign w:val="center"/>
                </w:tcPr>
                <w:p>
                  <w:pPr>
                    <w:jc w:val="center"/>
                  </w:pPr>
                  <w:r>
                    <w:rPr>
                      <w:rFonts w:hint="eastAsia"/>
                    </w:rPr>
                    <w:t>设备噪声</w:t>
                  </w:r>
                </w:p>
              </w:tc>
              <w:tc>
                <w:tcPr>
                  <w:tcW w:w="2144" w:type="pct"/>
                  <w:gridSpan w:val="2"/>
                  <w:noWrap w:val="0"/>
                  <w:vAlign w:val="center"/>
                </w:tcPr>
                <w:p>
                  <w:pPr>
                    <w:pStyle w:val="129"/>
                  </w:pPr>
                  <w:r>
                    <w:rPr>
                      <w:rFonts w:hint="eastAsia"/>
                      <w:kern w:val="0"/>
                    </w:rPr>
                    <w:t>选用低噪声设备，发电机、水泵采取基础减震措施</w:t>
                  </w:r>
                  <w:r>
                    <w:rPr>
                      <w:rFonts w:hint="eastAsia"/>
                      <w:bCs/>
                    </w:rPr>
                    <w:t>，定期维护</w:t>
                  </w:r>
                </w:p>
              </w:tc>
              <w:tc>
                <w:tcPr>
                  <w:tcW w:w="968" w:type="pct"/>
                  <w:vMerge w:val="restart"/>
                  <w:noWrap w:val="0"/>
                  <w:vAlign w:val="center"/>
                </w:tcPr>
                <w:p>
                  <w:pPr>
                    <w:pStyle w:val="114"/>
                    <w:spacing w:line="240" w:lineRule="auto"/>
                    <w:ind w:firstLine="0" w:firstLineChars="0"/>
                    <w:jc w:val="center"/>
                    <w:rPr>
                      <w:rFonts w:cs="Times New Roman"/>
                      <w:sz w:val="21"/>
                      <w:szCs w:val="21"/>
                    </w:rPr>
                  </w:pPr>
                  <w:r>
                    <w:rPr>
                      <w:rFonts w:hint="eastAsia" w:hAnsi="宋体" w:cs="Times New Roman"/>
                      <w:sz w:val="21"/>
                      <w:szCs w:val="21"/>
                    </w:rPr>
                    <w:t>院界昼间</w:t>
                  </w:r>
                  <w:r>
                    <w:rPr>
                      <w:rFonts w:cs="Times New Roman"/>
                      <w:sz w:val="21"/>
                      <w:szCs w:val="21"/>
                    </w:rPr>
                    <w:t>≤6</w:t>
                  </w:r>
                  <w:r>
                    <w:rPr>
                      <w:rFonts w:hint="eastAsia" w:cs="Times New Roman"/>
                      <w:sz w:val="21"/>
                      <w:szCs w:val="21"/>
                    </w:rPr>
                    <w:t>0</w:t>
                  </w:r>
                  <w:r>
                    <w:rPr>
                      <w:rFonts w:cs="Times New Roman"/>
                      <w:sz w:val="21"/>
                      <w:szCs w:val="21"/>
                    </w:rPr>
                    <w:t>dB</w:t>
                  </w:r>
                  <w:r>
                    <w:rPr>
                      <w:rFonts w:hint="eastAsia" w:hAnsi="宋体" w:cs="Times New Roman"/>
                      <w:sz w:val="21"/>
                      <w:szCs w:val="21"/>
                    </w:rPr>
                    <w:t>、夜间</w:t>
                  </w:r>
                  <w:r>
                    <w:rPr>
                      <w:rFonts w:cs="Times New Roman"/>
                      <w:sz w:val="21"/>
                      <w:szCs w:val="21"/>
                    </w:rPr>
                    <w:t>≤5</w:t>
                  </w:r>
                  <w:r>
                    <w:rPr>
                      <w:rFonts w:hint="eastAsia" w:cs="Times New Roman"/>
                      <w:sz w:val="21"/>
                      <w:szCs w:val="21"/>
                    </w:rPr>
                    <w:t>0</w:t>
                  </w:r>
                  <w:r>
                    <w:rPr>
                      <w:rFonts w:cs="Times New Roman"/>
                      <w:sz w:val="21"/>
                      <w:szCs w:val="21"/>
                    </w:rPr>
                    <w:t>dB</w:t>
                  </w:r>
                </w:p>
              </w:tc>
              <w:tc>
                <w:tcPr>
                  <w:tcW w:w="1135" w:type="pct"/>
                  <w:vMerge w:val="restart"/>
                  <w:noWrap w:val="0"/>
                  <w:vAlign w:val="center"/>
                </w:tcPr>
                <w:p>
                  <w:pPr>
                    <w:pStyle w:val="129"/>
                  </w:pPr>
                  <w:r>
                    <w:rPr>
                      <w:rFonts w:hint="eastAsia" w:hAnsi="宋体"/>
                    </w:rPr>
                    <w:t>院界按《工业企业厂界环境噪声排放标准》（</w:t>
                  </w:r>
                  <w:r>
                    <w:t>GB12348-2008</w:t>
                  </w:r>
                  <w:r>
                    <w:rPr>
                      <w:rFonts w:hint="eastAsia" w:hAnsi="宋体"/>
                    </w:rPr>
                    <w:t>）</w:t>
                  </w:r>
                </w:p>
                <w:p>
                  <w:pPr>
                    <w:pStyle w:val="129"/>
                  </w:pPr>
                  <w:r>
                    <w:rPr>
                      <w:rFonts w:hint="eastAsia"/>
                    </w:rPr>
                    <w:t>2</w:t>
                  </w:r>
                  <w:r>
                    <w:rPr>
                      <w:rFonts w:hint="eastAsia" w:hAnsi="宋体"/>
                    </w:rPr>
                    <w:t>类标准限值：昼间</w:t>
                  </w:r>
                  <w:r>
                    <w:t>≤6</w:t>
                  </w:r>
                  <w:r>
                    <w:rPr>
                      <w:rFonts w:hint="eastAsia"/>
                    </w:rPr>
                    <w:t>0</w:t>
                  </w:r>
                  <w:r>
                    <w:t>dB</w:t>
                  </w:r>
                  <w:r>
                    <w:rPr>
                      <w:rFonts w:hint="eastAsia" w:hAnsi="宋体"/>
                    </w:rPr>
                    <w:t>，夜间</w:t>
                  </w:r>
                  <w:r>
                    <w:t>≤5</w:t>
                  </w:r>
                  <w:r>
                    <w:rPr>
                      <w:rFonts w:hint="eastAsia"/>
                    </w:rPr>
                    <w:t>0</w:t>
                  </w:r>
                  <w:r>
                    <w:t>dB</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69" w:type="pct"/>
                  <w:vMerge w:val="continue"/>
                  <w:noWrap w:val="0"/>
                  <w:vAlign w:val="center"/>
                </w:tcPr>
                <w:p>
                  <w:pPr>
                    <w:pStyle w:val="129"/>
                  </w:pPr>
                </w:p>
              </w:tc>
              <w:tc>
                <w:tcPr>
                  <w:tcW w:w="481" w:type="pct"/>
                  <w:noWrap w:val="0"/>
                  <w:vAlign w:val="center"/>
                </w:tcPr>
                <w:p>
                  <w:pPr>
                    <w:jc w:val="center"/>
                    <w:rPr>
                      <w:rFonts w:hint="eastAsia"/>
                    </w:rPr>
                  </w:pPr>
                  <w:r>
                    <w:rPr>
                      <w:rFonts w:hint="eastAsia"/>
                    </w:rPr>
                    <w:t>车辆噪声</w:t>
                  </w:r>
                </w:p>
              </w:tc>
              <w:tc>
                <w:tcPr>
                  <w:tcW w:w="2144" w:type="pct"/>
                  <w:gridSpan w:val="2"/>
                  <w:noWrap w:val="0"/>
                  <w:vAlign w:val="center"/>
                </w:tcPr>
                <w:p>
                  <w:pPr>
                    <w:pStyle w:val="129"/>
                    <w:rPr>
                      <w:kern w:val="0"/>
                    </w:rPr>
                  </w:pPr>
                  <w:r>
                    <w:rPr>
                      <w:rFonts w:hint="eastAsia"/>
                      <w:kern w:val="0"/>
                    </w:rPr>
                    <w:t>禁止鸣笛，严禁车辆频繁点火</w:t>
                  </w:r>
                </w:p>
              </w:tc>
              <w:tc>
                <w:tcPr>
                  <w:tcW w:w="968" w:type="pct"/>
                  <w:vMerge w:val="continue"/>
                  <w:noWrap w:val="0"/>
                  <w:vAlign w:val="center"/>
                </w:tcPr>
                <w:p>
                  <w:pPr>
                    <w:pStyle w:val="129"/>
                  </w:pPr>
                </w:p>
              </w:tc>
              <w:tc>
                <w:tcPr>
                  <w:tcW w:w="1135" w:type="pct"/>
                  <w:vMerge w:val="continue"/>
                  <w:noWrap w:val="0"/>
                  <w:vAlign w:val="center"/>
                </w:tcPr>
                <w:p>
                  <w:pPr>
                    <w:pStyle w:val="12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69" w:type="pct"/>
                  <w:vMerge w:val="continue"/>
                  <w:noWrap w:val="0"/>
                  <w:vAlign w:val="center"/>
                </w:tcPr>
                <w:p>
                  <w:pPr>
                    <w:pStyle w:val="129"/>
                  </w:pPr>
                </w:p>
              </w:tc>
              <w:tc>
                <w:tcPr>
                  <w:tcW w:w="481" w:type="pct"/>
                  <w:noWrap w:val="0"/>
                  <w:vAlign w:val="center"/>
                </w:tcPr>
                <w:p>
                  <w:pPr>
                    <w:pStyle w:val="129"/>
                    <w:rPr>
                      <w:rFonts w:hint="eastAsia"/>
                    </w:rPr>
                  </w:pPr>
                  <w:r>
                    <w:rPr>
                      <w:rFonts w:hint="eastAsia"/>
                    </w:rPr>
                    <w:t>社会噪声</w:t>
                  </w:r>
                </w:p>
              </w:tc>
              <w:tc>
                <w:tcPr>
                  <w:tcW w:w="2144" w:type="pct"/>
                  <w:gridSpan w:val="2"/>
                  <w:noWrap w:val="0"/>
                  <w:vAlign w:val="center"/>
                </w:tcPr>
                <w:p>
                  <w:pPr>
                    <w:adjustRightInd w:val="0"/>
                    <w:jc w:val="center"/>
                    <w:rPr>
                      <w:rFonts w:hint="eastAsia"/>
                      <w:bCs/>
                      <w:szCs w:val="21"/>
                    </w:rPr>
                  </w:pPr>
                  <w:r>
                    <w:rPr>
                      <w:rFonts w:hint="eastAsia"/>
                      <w:bCs/>
                      <w:szCs w:val="21"/>
                    </w:rPr>
                    <w:t>严格遵守医院规章制度，突发情况及时制止，公共区域张贴“禁止高声喧哗”等标语</w:t>
                  </w:r>
                </w:p>
              </w:tc>
              <w:tc>
                <w:tcPr>
                  <w:tcW w:w="968" w:type="pct"/>
                  <w:vMerge w:val="continue"/>
                  <w:noWrap w:val="0"/>
                  <w:vAlign w:val="center"/>
                </w:tcPr>
                <w:p>
                  <w:pPr>
                    <w:pStyle w:val="129"/>
                  </w:pPr>
                </w:p>
              </w:tc>
              <w:tc>
                <w:tcPr>
                  <w:tcW w:w="1135" w:type="pct"/>
                  <w:vMerge w:val="continue"/>
                  <w:noWrap w:val="0"/>
                  <w:vAlign w:val="center"/>
                </w:tcPr>
                <w:p>
                  <w:pPr>
                    <w:pStyle w:val="12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269" w:type="pct"/>
                  <w:vMerge w:val="restart"/>
                  <w:noWrap w:val="0"/>
                  <w:vAlign w:val="center"/>
                </w:tcPr>
                <w:p>
                  <w:pPr>
                    <w:pStyle w:val="129"/>
                  </w:pPr>
                  <w:r>
                    <w:t>固体废物</w:t>
                  </w:r>
                </w:p>
              </w:tc>
              <w:tc>
                <w:tcPr>
                  <w:tcW w:w="481" w:type="pct"/>
                  <w:noWrap w:val="0"/>
                  <w:vAlign w:val="center"/>
                </w:tcPr>
                <w:p>
                  <w:pPr>
                    <w:pStyle w:val="129"/>
                    <w:rPr>
                      <w:rFonts w:hint="eastAsia"/>
                    </w:rPr>
                  </w:pPr>
                  <w:r>
                    <w:rPr>
                      <w:rFonts w:hint="eastAsia"/>
                    </w:rPr>
                    <w:t>生活垃圾</w:t>
                  </w:r>
                </w:p>
              </w:tc>
              <w:tc>
                <w:tcPr>
                  <w:tcW w:w="2144" w:type="pct"/>
                  <w:gridSpan w:val="2"/>
                  <w:noWrap w:val="0"/>
                  <w:vAlign w:val="center"/>
                </w:tcPr>
                <w:p>
                  <w:pPr>
                    <w:adjustRightInd w:val="0"/>
                    <w:jc w:val="center"/>
                    <w:rPr>
                      <w:rFonts w:hint="eastAsia"/>
                      <w:bCs/>
                      <w:szCs w:val="21"/>
                    </w:rPr>
                  </w:pPr>
                  <w:r>
                    <w:rPr>
                      <w:rFonts w:hint="eastAsia"/>
                      <w:bCs/>
                      <w:szCs w:val="21"/>
                    </w:rPr>
                    <w:t>定期清运由环卫部门统一处理</w:t>
                  </w:r>
                </w:p>
              </w:tc>
              <w:tc>
                <w:tcPr>
                  <w:tcW w:w="968" w:type="pct"/>
                  <w:vMerge w:val="restart"/>
                  <w:noWrap w:val="0"/>
                  <w:vAlign w:val="center"/>
                </w:tcPr>
                <w:p>
                  <w:pPr>
                    <w:pStyle w:val="129"/>
                  </w:pPr>
                  <w:r>
                    <w:rPr>
                      <w:rFonts w:hint="eastAsia"/>
                      <w:kern w:val="0"/>
                    </w:rPr>
                    <w:t>固体废物分类处置，做到源头化、无害化、资源化，不会对周围环境造成二次污染</w:t>
                  </w:r>
                </w:p>
              </w:tc>
              <w:tc>
                <w:tcPr>
                  <w:tcW w:w="1135" w:type="pct"/>
                  <w:noWrap w:val="0"/>
                  <w:vAlign w:val="center"/>
                </w:tcPr>
                <w:p>
                  <w:pPr>
                    <w:pStyle w:val="129"/>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269" w:type="pct"/>
                  <w:vMerge w:val="continue"/>
                  <w:noWrap w:val="0"/>
                  <w:vAlign w:val="center"/>
                </w:tcPr>
                <w:p>
                  <w:pPr>
                    <w:widowControl/>
                    <w:jc w:val="center"/>
                    <w:rPr>
                      <w:szCs w:val="21"/>
                    </w:rPr>
                  </w:pPr>
                </w:p>
              </w:tc>
              <w:tc>
                <w:tcPr>
                  <w:tcW w:w="481" w:type="pct"/>
                  <w:noWrap w:val="0"/>
                  <w:vAlign w:val="center"/>
                </w:tcPr>
                <w:p>
                  <w:pPr>
                    <w:pStyle w:val="129"/>
                    <w:rPr>
                      <w:rFonts w:hint="eastAsia"/>
                    </w:rPr>
                  </w:pPr>
                  <w:r>
                    <w:rPr>
                      <w:rFonts w:hint="eastAsia"/>
                    </w:rPr>
                    <w:t>医疗废物</w:t>
                  </w:r>
                </w:p>
              </w:tc>
              <w:tc>
                <w:tcPr>
                  <w:tcW w:w="2144" w:type="pct"/>
                  <w:gridSpan w:val="2"/>
                  <w:noWrap w:val="0"/>
                  <w:vAlign w:val="center"/>
                </w:tcPr>
                <w:p>
                  <w:pPr>
                    <w:adjustRightInd w:val="0"/>
                    <w:jc w:val="center"/>
                    <w:rPr>
                      <w:rFonts w:hint="eastAsia"/>
                      <w:bCs/>
                      <w:szCs w:val="21"/>
                    </w:rPr>
                  </w:pPr>
                  <w:r>
                    <w:rPr>
                      <w:rFonts w:hint="eastAsia"/>
                      <w:bCs/>
                      <w:szCs w:val="21"/>
                    </w:rPr>
                    <w:t>暂存于医疗废物暂存间，交由有资质单位处置</w:t>
                  </w:r>
                </w:p>
              </w:tc>
              <w:tc>
                <w:tcPr>
                  <w:tcW w:w="968" w:type="pct"/>
                  <w:vMerge w:val="continue"/>
                  <w:noWrap w:val="0"/>
                  <w:vAlign w:val="center"/>
                </w:tcPr>
                <w:p>
                  <w:pPr>
                    <w:widowControl/>
                    <w:jc w:val="center"/>
                    <w:rPr>
                      <w:szCs w:val="21"/>
                    </w:rPr>
                  </w:pPr>
                </w:p>
              </w:tc>
              <w:tc>
                <w:tcPr>
                  <w:tcW w:w="1135" w:type="pct"/>
                  <w:noWrap w:val="0"/>
                  <w:vAlign w:val="center"/>
                </w:tcPr>
                <w:p>
                  <w:pPr>
                    <w:pStyle w:val="129"/>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69" w:type="pct"/>
                  <w:vMerge w:val="continue"/>
                  <w:noWrap w:val="0"/>
                  <w:vAlign w:val="center"/>
                </w:tcPr>
                <w:p>
                  <w:pPr>
                    <w:widowControl/>
                    <w:jc w:val="center"/>
                    <w:rPr>
                      <w:szCs w:val="21"/>
                    </w:rPr>
                  </w:pPr>
                </w:p>
              </w:tc>
              <w:tc>
                <w:tcPr>
                  <w:tcW w:w="481" w:type="pct"/>
                  <w:noWrap w:val="0"/>
                  <w:vAlign w:val="center"/>
                </w:tcPr>
                <w:p>
                  <w:pPr>
                    <w:pStyle w:val="129"/>
                    <w:rPr>
                      <w:rFonts w:hint="eastAsia"/>
                    </w:rPr>
                  </w:pPr>
                  <w:r>
                    <w:rPr>
                      <w:rFonts w:hint="eastAsia"/>
                    </w:rPr>
                    <w:t>污水处理站污泥</w:t>
                  </w:r>
                </w:p>
              </w:tc>
              <w:tc>
                <w:tcPr>
                  <w:tcW w:w="2144" w:type="pct"/>
                  <w:gridSpan w:val="2"/>
                  <w:noWrap w:val="0"/>
                  <w:vAlign w:val="center"/>
                </w:tcPr>
                <w:p>
                  <w:pPr>
                    <w:adjustRightInd w:val="0"/>
                    <w:jc w:val="center"/>
                    <w:rPr>
                      <w:rFonts w:hint="eastAsia"/>
                      <w:bCs/>
                      <w:szCs w:val="21"/>
                    </w:rPr>
                  </w:pPr>
                  <w:r>
                    <w:rPr>
                      <w:rFonts w:hint="eastAsia"/>
                      <w:bCs/>
                      <w:szCs w:val="21"/>
                    </w:rPr>
                    <w:t>定期清掏，并经预处理后暂存于医疗废物暂存间，定期交由资质单位清运处置。</w:t>
                  </w:r>
                </w:p>
              </w:tc>
              <w:tc>
                <w:tcPr>
                  <w:tcW w:w="968" w:type="pct"/>
                  <w:vMerge w:val="continue"/>
                  <w:noWrap w:val="0"/>
                  <w:vAlign w:val="center"/>
                </w:tcPr>
                <w:p>
                  <w:pPr>
                    <w:widowControl/>
                    <w:jc w:val="center"/>
                    <w:rPr>
                      <w:szCs w:val="21"/>
                    </w:rPr>
                  </w:pPr>
                </w:p>
              </w:tc>
              <w:tc>
                <w:tcPr>
                  <w:tcW w:w="1135" w:type="pct"/>
                  <w:noWrap w:val="0"/>
                  <w:vAlign w:val="center"/>
                </w:tcPr>
                <w:p>
                  <w:pPr>
                    <w:pStyle w:val="129"/>
                  </w:pPr>
                  <w:r>
                    <w:rPr>
                      <w:rFonts w:hint="eastAsia"/>
                    </w:rPr>
                    <w:t>/</w:t>
                  </w:r>
                </w:p>
              </w:tc>
            </w:tr>
            <w:bookmarkEnd w:id="4"/>
            <w:bookmarkEnd w:id="5"/>
            <w:bookmarkEnd w:id="6"/>
            <w:bookmarkEnd w:id="7"/>
            <w:bookmarkEnd w:id="8"/>
          </w:tbl>
          <w:p>
            <w:pPr>
              <w:pStyle w:val="15"/>
              <w:rPr>
                <w:rFonts w:hint="eastAsia"/>
              </w:rPr>
            </w:pPr>
          </w:p>
          <w:p>
            <w:pPr>
              <w:widowControl/>
              <w:spacing w:line="360" w:lineRule="auto"/>
              <w:ind w:firstLine="480" w:firstLineChars="200"/>
              <w:jc w:val="left"/>
              <w:rPr>
                <w:rFonts w:ascii="Times New Roman" w:hAnsi="Times New Roman" w:eastAsia="宋体"/>
                <w:color w:val="000000"/>
              </w:rPr>
            </w:pPr>
          </w:p>
        </w:tc>
      </w:tr>
    </w:tbl>
    <w:p>
      <w:pPr>
        <w:adjustRightInd w:val="0"/>
        <w:snapToGrid w:val="0"/>
        <w:spacing w:line="360" w:lineRule="auto"/>
        <w:rPr>
          <w:rFonts w:hint="eastAsia" w:ascii="宋体" w:cs="宋体"/>
          <w:b/>
          <w:color w:val="000000"/>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pPr>
        <w:pStyle w:val="37"/>
        <w:jc w:val="center"/>
        <w:outlineLvl w:val="0"/>
        <w:rPr>
          <w:rFonts w:ascii="黑体" w:hAnsi="黑体" w:eastAsia="黑体"/>
          <w:snapToGrid w:val="0"/>
          <w:color w:val="000000"/>
          <w:sz w:val="30"/>
          <w:szCs w:val="30"/>
        </w:rPr>
      </w:pPr>
      <w:r>
        <w:rPr>
          <w:rFonts w:hint="eastAsia" w:ascii="黑体" w:hAnsi="黑体" w:eastAsia="黑体"/>
          <w:snapToGrid w:val="0"/>
          <w:color w:val="000000"/>
          <w:sz w:val="30"/>
          <w:szCs w:val="30"/>
        </w:rPr>
        <w:t>五、</w:t>
      </w:r>
      <w:bookmarkStart w:id="9" w:name="_Hlk54167917"/>
      <w:r>
        <w:rPr>
          <w:rFonts w:hint="eastAsia" w:ascii="黑体" w:hAnsi="黑体" w:eastAsia="黑体"/>
          <w:snapToGrid w:val="0"/>
          <w:color w:val="000000"/>
          <w:sz w:val="30"/>
          <w:szCs w:val="30"/>
        </w:rPr>
        <w:t>环境保护措施监督检查清单</w:t>
      </w:r>
      <w:bookmarkEnd w:id="9"/>
    </w:p>
    <w:tbl>
      <w:tblPr>
        <w:tblStyle w:val="4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58"/>
        <w:gridCol w:w="1689"/>
        <w:gridCol w:w="1312"/>
        <w:gridCol w:w="2663"/>
        <w:gridCol w:w="187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8" w:type="dxa"/>
            <w:tcBorders>
              <w:tl2br w:val="single" w:color="auto" w:sz="4" w:space="0"/>
            </w:tcBorders>
            <w:noWrap w:val="0"/>
            <w:vAlign w:val="top"/>
          </w:tcPr>
          <w:p>
            <w:pPr>
              <w:adjustRightInd w:val="0"/>
              <w:snapToGrid w:val="0"/>
              <w:spacing w:line="240" w:lineRule="auto"/>
              <w:rPr>
                <w:sz w:val="24"/>
              </w:rPr>
            </w:pPr>
            <w:r>
              <w:rPr>
                <w:sz w:val="24"/>
              </w:rPr>
              <w:t xml:space="preserve">    内容</w:t>
            </w:r>
          </w:p>
          <w:p>
            <w:pPr>
              <w:adjustRightInd w:val="0"/>
              <w:snapToGrid w:val="0"/>
              <w:spacing w:line="240" w:lineRule="auto"/>
              <w:rPr>
                <w:sz w:val="24"/>
              </w:rPr>
            </w:pPr>
            <w:r>
              <w:rPr>
                <w:sz w:val="24"/>
              </w:rPr>
              <w:t>要素</w:t>
            </w:r>
          </w:p>
        </w:tc>
        <w:tc>
          <w:tcPr>
            <w:tcW w:w="1689" w:type="dxa"/>
            <w:noWrap w:val="0"/>
            <w:vAlign w:val="center"/>
          </w:tcPr>
          <w:p>
            <w:pPr>
              <w:adjustRightInd w:val="0"/>
              <w:snapToGrid w:val="0"/>
              <w:spacing w:line="240" w:lineRule="auto"/>
              <w:jc w:val="center"/>
              <w:rPr>
                <w:sz w:val="24"/>
              </w:rPr>
            </w:pPr>
            <w:r>
              <w:rPr>
                <w:sz w:val="24"/>
              </w:rPr>
              <w:t>排放口(编号、</w:t>
            </w:r>
          </w:p>
          <w:p>
            <w:pPr>
              <w:adjustRightInd w:val="0"/>
              <w:snapToGrid w:val="0"/>
              <w:spacing w:line="240" w:lineRule="auto"/>
              <w:jc w:val="center"/>
              <w:rPr>
                <w:sz w:val="24"/>
              </w:rPr>
            </w:pPr>
            <w:r>
              <w:rPr>
                <w:sz w:val="24"/>
              </w:rPr>
              <w:t>名称)/污染源</w:t>
            </w:r>
          </w:p>
        </w:tc>
        <w:tc>
          <w:tcPr>
            <w:tcW w:w="1312" w:type="dxa"/>
            <w:noWrap w:val="0"/>
            <w:vAlign w:val="center"/>
          </w:tcPr>
          <w:p>
            <w:pPr>
              <w:adjustRightInd w:val="0"/>
              <w:snapToGrid w:val="0"/>
              <w:spacing w:line="240" w:lineRule="auto"/>
              <w:jc w:val="center"/>
              <w:rPr>
                <w:sz w:val="24"/>
              </w:rPr>
            </w:pPr>
            <w:r>
              <w:rPr>
                <w:sz w:val="24"/>
              </w:rPr>
              <w:t>污染物项目</w:t>
            </w:r>
          </w:p>
        </w:tc>
        <w:tc>
          <w:tcPr>
            <w:tcW w:w="2663" w:type="dxa"/>
            <w:noWrap w:val="0"/>
            <w:vAlign w:val="center"/>
          </w:tcPr>
          <w:p>
            <w:pPr>
              <w:adjustRightInd w:val="0"/>
              <w:snapToGrid w:val="0"/>
              <w:spacing w:line="240" w:lineRule="auto"/>
              <w:jc w:val="center"/>
              <w:rPr>
                <w:sz w:val="24"/>
              </w:rPr>
            </w:pPr>
            <w:r>
              <w:rPr>
                <w:sz w:val="24"/>
              </w:rPr>
              <w:t>环境保护措施</w:t>
            </w:r>
          </w:p>
        </w:tc>
        <w:tc>
          <w:tcPr>
            <w:tcW w:w="1878" w:type="dxa"/>
            <w:noWrap w:val="0"/>
            <w:vAlign w:val="center"/>
          </w:tcPr>
          <w:p>
            <w:pPr>
              <w:adjustRightInd w:val="0"/>
              <w:snapToGrid w:val="0"/>
              <w:spacing w:line="240" w:lineRule="auto"/>
              <w:jc w:val="center"/>
              <w:rPr>
                <w:sz w:val="24"/>
              </w:rPr>
            </w:pPr>
            <w:r>
              <w:rPr>
                <w:sz w:val="24"/>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8" w:type="dxa"/>
            <w:noWrap w:val="0"/>
            <w:vAlign w:val="center"/>
          </w:tcPr>
          <w:p>
            <w:pPr>
              <w:adjustRightInd w:val="0"/>
              <w:snapToGrid w:val="0"/>
              <w:spacing w:line="240" w:lineRule="auto"/>
              <w:jc w:val="center"/>
              <w:rPr>
                <w:sz w:val="24"/>
              </w:rPr>
            </w:pPr>
            <w:r>
              <w:rPr>
                <w:sz w:val="24"/>
              </w:rPr>
              <w:t>地表水环境</w:t>
            </w:r>
          </w:p>
        </w:tc>
        <w:tc>
          <w:tcPr>
            <w:tcW w:w="1689" w:type="dxa"/>
            <w:noWrap w:val="0"/>
            <w:vAlign w:val="center"/>
          </w:tcPr>
          <w:p>
            <w:pPr>
              <w:spacing w:line="240" w:lineRule="auto"/>
              <w:jc w:val="center"/>
              <w:rPr>
                <w:rFonts w:hint="eastAsia"/>
                <w:sz w:val="24"/>
              </w:rPr>
            </w:pPr>
            <w:r>
              <w:rPr>
                <w:rFonts w:hint="eastAsia"/>
                <w:sz w:val="24"/>
              </w:rPr>
              <w:t>食堂废水</w:t>
            </w:r>
            <w:r>
              <w:rPr>
                <w:rFonts w:hint="eastAsia"/>
                <w:sz w:val="24"/>
                <w:lang w:eastAsia="zh-CN"/>
              </w:rPr>
              <w:t>、</w:t>
            </w:r>
            <w:r>
              <w:rPr>
                <w:sz w:val="24"/>
              </w:rPr>
              <w:t>生活污水</w:t>
            </w:r>
            <w:r>
              <w:rPr>
                <w:rFonts w:hint="eastAsia"/>
                <w:sz w:val="24"/>
              </w:rPr>
              <w:t>、医疗废水、洗涤废水</w:t>
            </w:r>
          </w:p>
        </w:tc>
        <w:tc>
          <w:tcPr>
            <w:tcW w:w="1312" w:type="dxa"/>
            <w:noWrap w:val="0"/>
            <w:vAlign w:val="center"/>
          </w:tcPr>
          <w:p>
            <w:pPr>
              <w:spacing w:line="240" w:lineRule="auto"/>
              <w:ind w:firstLine="33" w:firstLineChars="14"/>
              <w:jc w:val="center"/>
              <w:rPr>
                <w:rFonts w:hint="eastAsia"/>
                <w:sz w:val="24"/>
              </w:rPr>
            </w:pPr>
            <w:r>
              <w:rPr>
                <w:kern w:val="0"/>
                <w:sz w:val="24"/>
              </w:rPr>
              <w:t>COD、BOD</w:t>
            </w:r>
            <w:r>
              <w:rPr>
                <w:kern w:val="0"/>
                <w:sz w:val="24"/>
                <w:vertAlign w:val="subscript"/>
              </w:rPr>
              <w:t>5</w:t>
            </w:r>
            <w:r>
              <w:rPr>
                <w:kern w:val="0"/>
                <w:sz w:val="24"/>
              </w:rPr>
              <w:t>、SS、NH</w:t>
            </w:r>
            <w:r>
              <w:rPr>
                <w:kern w:val="0"/>
                <w:sz w:val="24"/>
                <w:vertAlign w:val="subscript"/>
              </w:rPr>
              <w:t>3</w:t>
            </w:r>
            <w:r>
              <w:rPr>
                <w:kern w:val="0"/>
                <w:sz w:val="24"/>
              </w:rPr>
              <w:t>-N</w:t>
            </w:r>
            <w:r>
              <w:rPr>
                <w:rFonts w:hint="eastAsia"/>
                <w:kern w:val="0"/>
                <w:sz w:val="24"/>
              </w:rPr>
              <w:t>、动植物油</w:t>
            </w:r>
          </w:p>
        </w:tc>
        <w:tc>
          <w:tcPr>
            <w:tcW w:w="2663" w:type="dxa"/>
            <w:noWrap w:val="0"/>
            <w:vAlign w:val="center"/>
          </w:tcPr>
          <w:p>
            <w:pPr>
              <w:spacing w:line="240" w:lineRule="auto"/>
              <w:jc w:val="center"/>
              <w:rPr>
                <w:sz w:val="24"/>
              </w:rPr>
            </w:pPr>
            <w:r>
              <w:rPr>
                <w:rFonts w:hint="eastAsia"/>
                <w:sz w:val="24"/>
              </w:rPr>
              <w:t>院内污水处理站处理达《医疗机构水污染染物排放标准》（GB1846-2005）预处理标准后排入市政污水管网</w:t>
            </w:r>
            <w:r>
              <w:rPr>
                <w:rFonts w:hint="eastAsia"/>
                <w:sz w:val="24"/>
                <w:lang w:eastAsia="zh-CN"/>
              </w:rPr>
              <w:t>，</w:t>
            </w:r>
            <w:r>
              <w:rPr>
                <w:rFonts w:hint="eastAsia"/>
                <w:sz w:val="24"/>
              </w:rPr>
              <w:t>进入</w:t>
            </w:r>
            <w:r>
              <w:rPr>
                <w:rFonts w:hint="eastAsia"/>
                <w:sz w:val="24"/>
                <w:lang w:eastAsia="zh-CN"/>
              </w:rPr>
              <w:t>乐山市第三</w:t>
            </w:r>
            <w:r>
              <w:rPr>
                <w:rFonts w:hint="eastAsia"/>
                <w:sz w:val="24"/>
              </w:rPr>
              <w:t>污水处理厂处理</w:t>
            </w:r>
          </w:p>
        </w:tc>
        <w:tc>
          <w:tcPr>
            <w:tcW w:w="1878" w:type="dxa"/>
            <w:noWrap w:val="0"/>
            <w:vAlign w:val="center"/>
          </w:tcPr>
          <w:p>
            <w:pPr>
              <w:adjustRightInd w:val="0"/>
              <w:snapToGrid w:val="0"/>
              <w:spacing w:line="240" w:lineRule="auto"/>
              <w:jc w:val="center"/>
              <w:rPr>
                <w:rFonts w:hint="eastAsia"/>
                <w:sz w:val="24"/>
              </w:rPr>
            </w:pPr>
            <w:r>
              <w:rPr>
                <w:rFonts w:hint="eastAsia"/>
                <w:sz w:val="24"/>
              </w:rPr>
              <w:t>院内污水处理站排放标准执行《医疗机构水污染染物排放标准》（GB1846-2005）预处理标准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8" w:type="dxa"/>
            <w:vMerge w:val="restart"/>
            <w:noWrap w:val="0"/>
            <w:vAlign w:val="center"/>
          </w:tcPr>
          <w:p>
            <w:pPr>
              <w:adjustRightInd w:val="0"/>
              <w:snapToGrid w:val="0"/>
              <w:spacing w:line="240" w:lineRule="auto"/>
              <w:jc w:val="center"/>
              <w:rPr>
                <w:rFonts w:hint="eastAsia"/>
                <w:sz w:val="24"/>
              </w:rPr>
            </w:pPr>
            <w:r>
              <w:rPr>
                <w:rFonts w:hint="eastAsia"/>
                <w:sz w:val="24"/>
              </w:rPr>
              <w:t>大气环境</w:t>
            </w:r>
          </w:p>
        </w:tc>
        <w:tc>
          <w:tcPr>
            <w:tcW w:w="1689" w:type="dxa"/>
            <w:noWrap w:val="0"/>
            <w:vAlign w:val="center"/>
          </w:tcPr>
          <w:p>
            <w:pPr>
              <w:spacing w:line="240" w:lineRule="auto"/>
              <w:jc w:val="center"/>
              <w:rPr>
                <w:rFonts w:hint="eastAsia"/>
                <w:sz w:val="24"/>
              </w:rPr>
            </w:pPr>
            <w:r>
              <w:rPr>
                <w:rFonts w:hint="eastAsia"/>
                <w:sz w:val="24"/>
              </w:rPr>
              <w:t>污水处理站废气</w:t>
            </w:r>
          </w:p>
        </w:tc>
        <w:tc>
          <w:tcPr>
            <w:tcW w:w="1312" w:type="dxa"/>
            <w:noWrap w:val="0"/>
            <w:vAlign w:val="center"/>
          </w:tcPr>
          <w:p>
            <w:pPr>
              <w:spacing w:line="240" w:lineRule="auto"/>
              <w:ind w:firstLine="33" w:firstLineChars="14"/>
              <w:jc w:val="center"/>
              <w:rPr>
                <w:rFonts w:hint="eastAsia"/>
                <w:kern w:val="0"/>
                <w:sz w:val="24"/>
              </w:rPr>
            </w:pPr>
            <w:r>
              <w:rPr>
                <w:rFonts w:hint="eastAsia"/>
                <w:kern w:val="0"/>
                <w:sz w:val="24"/>
              </w:rPr>
              <w:t>氨气、硫化氢</w:t>
            </w:r>
          </w:p>
        </w:tc>
        <w:tc>
          <w:tcPr>
            <w:tcW w:w="2663" w:type="dxa"/>
            <w:noWrap w:val="0"/>
            <w:vAlign w:val="center"/>
          </w:tcPr>
          <w:p>
            <w:pPr>
              <w:spacing w:line="240" w:lineRule="auto"/>
              <w:jc w:val="center"/>
              <w:rPr>
                <w:rFonts w:hint="eastAsia"/>
                <w:sz w:val="24"/>
              </w:rPr>
            </w:pPr>
            <w:r>
              <w:rPr>
                <w:rFonts w:hint="eastAsia"/>
                <w:sz w:val="24"/>
              </w:rPr>
              <w:t>污水处理站采取地埋式工艺，调节池等均加盖封闭并定期喷洒植物除臭剂，加强周边绿化等措施</w:t>
            </w:r>
          </w:p>
        </w:tc>
        <w:tc>
          <w:tcPr>
            <w:tcW w:w="1878" w:type="dxa"/>
            <w:noWrap w:val="0"/>
            <w:vAlign w:val="center"/>
          </w:tcPr>
          <w:p>
            <w:pPr>
              <w:adjustRightInd w:val="0"/>
              <w:snapToGrid w:val="0"/>
              <w:spacing w:line="240" w:lineRule="auto"/>
              <w:jc w:val="center"/>
              <w:rPr>
                <w:rFonts w:hint="eastAsia"/>
                <w:sz w:val="24"/>
              </w:rPr>
            </w:pPr>
            <w:r>
              <w:rPr>
                <w:rFonts w:hint="eastAsia"/>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8" w:type="dxa"/>
            <w:vMerge w:val="continue"/>
            <w:noWrap w:val="0"/>
            <w:vAlign w:val="center"/>
          </w:tcPr>
          <w:p>
            <w:pPr>
              <w:adjustRightInd w:val="0"/>
              <w:snapToGrid w:val="0"/>
              <w:spacing w:line="240" w:lineRule="auto"/>
              <w:jc w:val="center"/>
              <w:rPr>
                <w:rFonts w:hint="eastAsia"/>
                <w:sz w:val="24"/>
              </w:rPr>
            </w:pPr>
          </w:p>
        </w:tc>
        <w:tc>
          <w:tcPr>
            <w:tcW w:w="1689" w:type="dxa"/>
            <w:noWrap w:val="0"/>
            <w:vAlign w:val="center"/>
          </w:tcPr>
          <w:p>
            <w:pPr>
              <w:spacing w:line="240" w:lineRule="auto"/>
              <w:jc w:val="center"/>
              <w:rPr>
                <w:rFonts w:hint="eastAsia"/>
                <w:sz w:val="24"/>
              </w:rPr>
            </w:pPr>
            <w:r>
              <w:rPr>
                <w:rFonts w:hint="eastAsia"/>
                <w:sz w:val="24"/>
              </w:rPr>
              <w:t>食堂油烟</w:t>
            </w:r>
          </w:p>
        </w:tc>
        <w:tc>
          <w:tcPr>
            <w:tcW w:w="1312" w:type="dxa"/>
            <w:noWrap w:val="0"/>
            <w:vAlign w:val="center"/>
          </w:tcPr>
          <w:p>
            <w:pPr>
              <w:spacing w:line="240" w:lineRule="auto"/>
              <w:ind w:firstLine="33" w:firstLineChars="14"/>
              <w:jc w:val="center"/>
              <w:rPr>
                <w:rFonts w:hint="eastAsia"/>
                <w:kern w:val="0"/>
                <w:sz w:val="24"/>
              </w:rPr>
            </w:pPr>
            <w:r>
              <w:rPr>
                <w:rFonts w:hint="eastAsia"/>
                <w:kern w:val="0"/>
                <w:sz w:val="24"/>
              </w:rPr>
              <w:t>油烟</w:t>
            </w:r>
          </w:p>
        </w:tc>
        <w:tc>
          <w:tcPr>
            <w:tcW w:w="2663" w:type="dxa"/>
            <w:noWrap w:val="0"/>
            <w:vAlign w:val="center"/>
          </w:tcPr>
          <w:p>
            <w:pPr>
              <w:spacing w:line="240" w:lineRule="auto"/>
              <w:jc w:val="center"/>
              <w:rPr>
                <w:rFonts w:hint="eastAsia"/>
                <w:sz w:val="24"/>
              </w:rPr>
            </w:pPr>
            <w:r>
              <w:rPr>
                <w:rFonts w:hint="eastAsia"/>
                <w:sz w:val="24"/>
              </w:rPr>
              <w:t>采用90%净化率油烟净化器净化后，通过烟道屋顶排放</w:t>
            </w:r>
          </w:p>
        </w:tc>
        <w:tc>
          <w:tcPr>
            <w:tcW w:w="1878" w:type="dxa"/>
            <w:noWrap w:val="0"/>
            <w:vAlign w:val="center"/>
          </w:tcPr>
          <w:p>
            <w:pPr>
              <w:adjustRightInd w:val="0"/>
              <w:snapToGrid w:val="0"/>
              <w:spacing w:line="240" w:lineRule="auto"/>
              <w:jc w:val="center"/>
              <w:rPr>
                <w:rFonts w:hint="eastAsia"/>
                <w:sz w:val="24"/>
              </w:rPr>
            </w:pPr>
            <w:r>
              <w:rPr>
                <w:rFonts w:hint="eastAsia"/>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8" w:type="dxa"/>
            <w:vMerge w:val="continue"/>
            <w:noWrap w:val="0"/>
            <w:vAlign w:val="center"/>
          </w:tcPr>
          <w:p>
            <w:pPr>
              <w:adjustRightInd w:val="0"/>
              <w:snapToGrid w:val="0"/>
              <w:spacing w:line="240" w:lineRule="auto"/>
              <w:jc w:val="center"/>
              <w:rPr>
                <w:rFonts w:hint="eastAsia"/>
                <w:sz w:val="24"/>
              </w:rPr>
            </w:pPr>
          </w:p>
        </w:tc>
        <w:tc>
          <w:tcPr>
            <w:tcW w:w="1689" w:type="dxa"/>
            <w:noWrap w:val="0"/>
            <w:vAlign w:val="center"/>
          </w:tcPr>
          <w:p>
            <w:pPr>
              <w:spacing w:line="240" w:lineRule="auto"/>
              <w:jc w:val="center"/>
              <w:rPr>
                <w:rFonts w:hint="eastAsia"/>
                <w:sz w:val="24"/>
              </w:rPr>
            </w:pPr>
            <w:r>
              <w:rPr>
                <w:rFonts w:hint="eastAsia"/>
                <w:sz w:val="24"/>
              </w:rPr>
              <w:t>备用发电机组废气</w:t>
            </w:r>
          </w:p>
        </w:tc>
        <w:tc>
          <w:tcPr>
            <w:tcW w:w="1312" w:type="dxa"/>
            <w:noWrap w:val="0"/>
            <w:vAlign w:val="center"/>
          </w:tcPr>
          <w:p>
            <w:pPr>
              <w:spacing w:line="240" w:lineRule="auto"/>
              <w:ind w:firstLine="33" w:firstLineChars="14"/>
              <w:jc w:val="center"/>
              <w:rPr>
                <w:kern w:val="0"/>
                <w:sz w:val="24"/>
              </w:rPr>
            </w:pPr>
            <w:r>
              <w:rPr>
                <w:rFonts w:hint="eastAsia"/>
                <w:kern w:val="0"/>
                <w:sz w:val="24"/>
              </w:rPr>
              <w:t>烟尘、SO</w:t>
            </w:r>
            <w:r>
              <w:rPr>
                <w:rFonts w:hint="eastAsia"/>
                <w:kern w:val="0"/>
                <w:sz w:val="24"/>
                <w:vertAlign w:val="subscript"/>
              </w:rPr>
              <w:t>2</w:t>
            </w:r>
            <w:r>
              <w:rPr>
                <w:rFonts w:hint="eastAsia"/>
                <w:kern w:val="0"/>
                <w:sz w:val="24"/>
              </w:rPr>
              <w:t>、NO</w:t>
            </w:r>
            <w:r>
              <w:rPr>
                <w:rFonts w:hint="eastAsia"/>
                <w:kern w:val="0"/>
                <w:sz w:val="24"/>
                <w:vertAlign w:val="subscript"/>
              </w:rPr>
              <w:t>X</w:t>
            </w:r>
          </w:p>
        </w:tc>
        <w:tc>
          <w:tcPr>
            <w:tcW w:w="2663" w:type="dxa"/>
            <w:noWrap w:val="0"/>
            <w:vAlign w:val="center"/>
          </w:tcPr>
          <w:p>
            <w:pPr>
              <w:adjustRightInd w:val="0"/>
              <w:snapToGrid w:val="0"/>
              <w:spacing w:line="240" w:lineRule="auto"/>
              <w:jc w:val="center"/>
              <w:rPr>
                <w:rFonts w:hint="eastAsia"/>
                <w:sz w:val="24"/>
              </w:rPr>
            </w:pPr>
            <w:r>
              <w:rPr>
                <w:rFonts w:hint="eastAsia"/>
                <w:sz w:val="24"/>
              </w:rPr>
              <w:t>发电机使用几率小，发电机产生的烟气污染物排放量很少，通过场地绿化及大气扩散作用，对大气环境影响较小</w:t>
            </w:r>
          </w:p>
        </w:tc>
        <w:tc>
          <w:tcPr>
            <w:tcW w:w="1878" w:type="dxa"/>
            <w:noWrap w:val="0"/>
            <w:vAlign w:val="center"/>
          </w:tcPr>
          <w:p>
            <w:pPr>
              <w:adjustRightInd w:val="0"/>
              <w:snapToGrid w:val="0"/>
              <w:spacing w:line="240" w:lineRule="auto"/>
              <w:jc w:val="center"/>
              <w:rPr>
                <w:rFonts w:hint="eastAsia"/>
                <w:sz w:val="24"/>
              </w:rPr>
            </w:pPr>
            <w:r>
              <w:rPr>
                <w:rFonts w:hint="eastAsia"/>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8" w:type="dxa"/>
            <w:vMerge w:val="continue"/>
            <w:noWrap w:val="0"/>
            <w:vAlign w:val="center"/>
          </w:tcPr>
          <w:p>
            <w:pPr>
              <w:adjustRightInd w:val="0"/>
              <w:snapToGrid w:val="0"/>
              <w:spacing w:line="240" w:lineRule="auto"/>
              <w:jc w:val="center"/>
              <w:rPr>
                <w:rFonts w:hint="eastAsia"/>
                <w:sz w:val="24"/>
              </w:rPr>
            </w:pPr>
          </w:p>
        </w:tc>
        <w:tc>
          <w:tcPr>
            <w:tcW w:w="1689" w:type="dxa"/>
            <w:noWrap w:val="0"/>
            <w:vAlign w:val="center"/>
          </w:tcPr>
          <w:p>
            <w:pPr>
              <w:adjustRightInd w:val="0"/>
              <w:snapToGrid w:val="0"/>
              <w:spacing w:line="240" w:lineRule="auto"/>
              <w:jc w:val="center"/>
              <w:rPr>
                <w:rFonts w:hint="eastAsia"/>
                <w:sz w:val="24"/>
              </w:rPr>
            </w:pPr>
            <w:r>
              <w:rPr>
                <w:rFonts w:hint="eastAsia"/>
                <w:sz w:val="24"/>
              </w:rPr>
              <w:t>天然气燃烧废气</w:t>
            </w:r>
          </w:p>
        </w:tc>
        <w:tc>
          <w:tcPr>
            <w:tcW w:w="1312" w:type="dxa"/>
            <w:noWrap w:val="0"/>
            <w:vAlign w:val="center"/>
          </w:tcPr>
          <w:p>
            <w:pPr>
              <w:adjustRightInd w:val="0"/>
              <w:snapToGrid w:val="0"/>
              <w:spacing w:line="240" w:lineRule="auto"/>
              <w:jc w:val="center"/>
              <w:rPr>
                <w:rFonts w:hint="eastAsia"/>
                <w:sz w:val="24"/>
              </w:rPr>
            </w:pPr>
            <w:r>
              <w:rPr>
                <w:rFonts w:hint="eastAsia"/>
                <w:sz w:val="24"/>
              </w:rPr>
              <w:t>/</w:t>
            </w:r>
          </w:p>
        </w:tc>
        <w:tc>
          <w:tcPr>
            <w:tcW w:w="2663" w:type="dxa"/>
            <w:noWrap w:val="0"/>
            <w:vAlign w:val="center"/>
          </w:tcPr>
          <w:p>
            <w:pPr>
              <w:adjustRightInd w:val="0"/>
              <w:snapToGrid w:val="0"/>
              <w:spacing w:line="240" w:lineRule="auto"/>
              <w:jc w:val="center"/>
              <w:rPr>
                <w:rFonts w:hint="eastAsia"/>
                <w:sz w:val="24"/>
              </w:rPr>
            </w:pPr>
            <w:r>
              <w:rPr>
                <w:rFonts w:hint="eastAsia"/>
                <w:sz w:val="24"/>
              </w:rPr>
              <w:t>天然气为清洁能源，燃烧后产生的污染物较少，不会对周边的环境产生较大的影响</w:t>
            </w:r>
          </w:p>
        </w:tc>
        <w:tc>
          <w:tcPr>
            <w:tcW w:w="1878" w:type="dxa"/>
            <w:noWrap w:val="0"/>
            <w:vAlign w:val="center"/>
          </w:tcPr>
          <w:p>
            <w:pPr>
              <w:adjustRightInd w:val="0"/>
              <w:snapToGrid w:val="0"/>
              <w:spacing w:line="240" w:lineRule="auto"/>
              <w:jc w:val="center"/>
              <w:rPr>
                <w:rFonts w:hint="eastAsia"/>
                <w:sz w:val="24"/>
              </w:rPr>
            </w:pPr>
            <w:r>
              <w:rPr>
                <w:rFonts w:hint="eastAsia"/>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8" w:type="dxa"/>
            <w:noWrap w:val="0"/>
            <w:vAlign w:val="center"/>
          </w:tcPr>
          <w:p>
            <w:pPr>
              <w:adjustRightInd w:val="0"/>
              <w:snapToGrid w:val="0"/>
              <w:spacing w:line="240" w:lineRule="auto"/>
              <w:jc w:val="center"/>
              <w:rPr>
                <w:sz w:val="24"/>
              </w:rPr>
            </w:pPr>
            <w:r>
              <w:rPr>
                <w:sz w:val="24"/>
              </w:rPr>
              <w:t>声环境</w:t>
            </w:r>
          </w:p>
        </w:tc>
        <w:tc>
          <w:tcPr>
            <w:tcW w:w="1689" w:type="dxa"/>
            <w:noWrap w:val="0"/>
            <w:vAlign w:val="center"/>
          </w:tcPr>
          <w:p>
            <w:pPr>
              <w:adjustRightInd w:val="0"/>
              <w:snapToGrid w:val="0"/>
              <w:spacing w:line="240" w:lineRule="auto"/>
              <w:jc w:val="center"/>
              <w:rPr>
                <w:rFonts w:hint="eastAsia"/>
                <w:sz w:val="24"/>
              </w:rPr>
            </w:pPr>
            <w:r>
              <w:rPr>
                <w:rFonts w:hint="eastAsia"/>
                <w:sz w:val="24"/>
              </w:rPr>
              <w:t>设备噪声、车辆噪声、社会噪声</w:t>
            </w:r>
          </w:p>
        </w:tc>
        <w:tc>
          <w:tcPr>
            <w:tcW w:w="1312" w:type="dxa"/>
            <w:noWrap w:val="0"/>
            <w:vAlign w:val="center"/>
          </w:tcPr>
          <w:p>
            <w:pPr>
              <w:adjustRightInd w:val="0"/>
              <w:snapToGrid w:val="0"/>
              <w:spacing w:line="240" w:lineRule="auto"/>
              <w:jc w:val="center"/>
              <w:rPr>
                <w:sz w:val="24"/>
              </w:rPr>
            </w:pPr>
            <w:r>
              <w:rPr>
                <w:rFonts w:hint="eastAsia"/>
                <w:sz w:val="24"/>
              </w:rPr>
              <w:t>噪声</w:t>
            </w:r>
          </w:p>
        </w:tc>
        <w:tc>
          <w:tcPr>
            <w:tcW w:w="2663" w:type="dxa"/>
            <w:noWrap w:val="0"/>
            <w:vAlign w:val="center"/>
          </w:tcPr>
          <w:p>
            <w:pPr>
              <w:adjustRightInd w:val="0"/>
              <w:snapToGrid w:val="0"/>
              <w:spacing w:line="240" w:lineRule="auto"/>
              <w:jc w:val="center"/>
              <w:rPr>
                <w:sz w:val="24"/>
              </w:rPr>
            </w:pPr>
            <w:r>
              <w:rPr>
                <w:rFonts w:hint="eastAsia"/>
                <w:sz w:val="24"/>
              </w:rPr>
              <w:t>选用低噪声设备，发电机、水泵采取基础减震措施，定期维护；禁止鸣笛，严禁车辆频繁点火；严格遵守医院规章制度，突发情况及时制止，公共区域张贴“禁止高声喧哗”等标语</w:t>
            </w:r>
          </w:p>
        </w:tc>
        <w:tc>
          <w:tcPr>
            <w:tcW w:w="1878" w:type="dxa"/>
            <w:noWrap w:val="0"/>
            <w:vAlign w:val="center"/>
          </w:tcPr>
          <w:p>
            <w:pPr>
              <w:adjustRightInd w:val="0"/>
              <w:snapToGrid w:val="0"/>
              <w:spacing w:line="240" w:lineRule="auto"/>
              <w:jc w:val="center"/>
              <w:rPr>
                <w:sz w:val="24"/>
              </w:rPr>
            </w:pPr>
            <w:r>
              <w:rPr>
                <w:rFonts w:hint="eastAsia"/>
                <w:sz w:val="24"/>
              </w:rPr>
              <w:t>《工业企业厂界环境噪声排放标准》（</w:t>
            </w:r>
            <w:r>
              <w:rPr>
                <w:sz w:val="24"/>
              </w:rPr>
              <w:t>GB12348-2008</w:t>
            </w:r>
            <w:r>
              <w:rPr>
                <w:rFonts w:hint="eastAsia"/>
                <w:sz w:val="24"/>
              </w:rPr>
              <w:t>）2类标准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1258" w:type="dxa"/>
            <w:vMerge w:val="restart"/>
            <w:noWrap w:val="0"/>
            <w:vAlign w:val="center"/>
          </w:tcPr>
          <w:p>
            <w:pPr>
              <w:adjustRightInd w:val="0"/>
              <w:snapToGrid w:val="0"/>
              <w:spacing w:line="240" w:lineRule="auto"/>
              <w:jc w:val="center"/>
              <w:rPr>
                <w:sz w:val="24"/>
              </w:rPr>
            </w:pPr>
            <w:r>
              <w:rPr>
                <w:sz w:val="24"/>
              </w:rPr>
              <w:t>固体废物</w:t>
            </w:r>
          </w:p>
        </w:tc>
        <w:tc>
          <w:tcPr>
            <w:tcW w:w="1689" w:type="dxa"/>
            <w:noWrap w:val="0"/>
            <w:vAlign w:val="center"/>
          </w:tcPr>
          <w:p>
            <w:pPr>
              <w:adjustRightInd w:val="0"/>
              <w:snapToGrid w:val="0"/>
              <w:spacing w:line="240" w:lineRule="auto"/>
              <w:jc w:val="center"/>
              <w:rPr>
                <w:rFonts w:hint="eastAsia"/>
                <w:sz w:val="24"/>
              </w:rPr>
            </w:pPr>
            <w:r>
              <w:rPr>
                <w:rFonts w:hint="eastAsia"/>
                <w:sz w:val="24"/>
              </w:rPr>
              <w:t>生活垃圾</w:t>
            </w:r>
          </w:p>
        </w:tc>
        <w:tc>
          <w:tcPr>
            <w:tcW w:w="1312" w:type="dxa"/>
            <w:noWrap w:val="0"/>
            <w:vAlign w:val="center"/>
          </w:tcPr>
          <w:p>
            <w:pPr>
              <w:adjustRightInd w:val="0"/>
              <w:snapToGrid w:val="0"/>
              <w:spacing w:line="240" w:lineRule="auto"/>
              <w:jc w:val="center"/>
              <w:rPr>
                <w:rFonts w:hint="eastAsia"/>
                <w:sz w:val="24"/>
              </w:rPr>
            </w:pPr>
            <w:r>
              <w:rPr>
                <w:rFonts w:hint="eastAsia"/>
                <w:sz w:val="24"/>
              </w:rPr>
              <w:t>一般固废</w:t>
            </w:r>
          </w:p>
        </w:tc>
        <w:tc>
          <w:tcPr>
            <w:tcW w:w="2663" w:type="dxa"/>
            <w:noWrap w:val="0"/>
            <w:vAlign w:val="center"/>
          </w:tcPr>
          <w:p>
            <w:pPr>
              <w:pStyle w:val="15"/>
              <w:spacing w:line="240" w:lineRule="auto"/>
              <w:jc w:val="center"/>
              <w:rPr>
                <w:rFonts w:hint="eastAsia"/>
                <w:sz w:val="24"/>
              </w:rPr>
            </w:pPr>
            <w:r>
              <w:rPr>
                <w:rFonts w:hint="eastAsia"/>
                <w:sz w:val="24"/>
                <w:szCs w:val="24"/>
              </w:rPr>
              <w:t>集中收集后，由环卫部门定时清运、处理</w:t>
            </w:r>
          </w:p>
        </w:tc>
        <w:tc>
          <w:tcPr>
            <w:tcW w:w="1878" w:type="dxa"/>
            <w:noWrap w:val="0"/>
            <w:vAlign w:val="center"/>
          </w:tcPr>
          <w:p>
            <w:pPr>
              <w:adjustRightInd w:val="0"/>
              <w:snapToGrid w:val="0"/>
              <w:spacing w:line="240" w:lineRule="auto"/>
              <w:jc w:val="center"/>
              <w:rPr>
                <w:rFonts w:hint="eastAsia"/>
                <w:sz w:val="24"/>
              </w:rPr>
            </w:pPr>
            <w:r>
              <w:rPr>
                <w:rFonts w:hint="eastAsia"/>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8" w:type="dxa"/>
            <w:vMerge w:val="continue"/>
            <w:noWrap w:val="0"/>
            <w:vAlign w:val="center"/>
          </w:tcPr>
          <w:p>
            <w:pPr>
              <w:adjustRightInd w:val="0"/>
              <w:snapToGrid w:val="0"/>
              <w:spacing w:line="240" w:lineRule="auto"/>
              <w:jc w:val="center"/>
              <w:rPr>
                <w:sz w:val="24"/>
              </w:rPr>
            </w:pPr>
          </w:p>
        </w:tc>
        <w:tc>
          <w:tcPr>
            <w:tcW w:w="1689" w:type="dxa"/>
            <w:noWrap w:val="0"/>
            <w:vAlign w:val="center"/>
          </w:tcPr>
          <w:p>
            <w:pPr>
              <w:adjustRightInd w:val="0"/>
              <w:snapToGrid w:val="0"/>
              <w:spacing w:line="240" w:lineRule="auto"/>
              <w:jc w:val="center"/>
              <w:rPr>
                <w:rFonts w:hint="eastAsia"/>
                <w:sz w:val="24"/>
              </w:rPr>
            </w:pPr>
            <w:r>
              <w:rPr>
                <w:rFonts w:hint="eastAsia"/>
                <w:sz w:val="24"/>
              </w:rPr>
              <w:t>医疗废物</w:t>
            </w:r>
          </w:p>
        </w:tc>
        <w:tc>
          <w:tcPr>
            <w:tcW w:w="1312" w:type="dxa"/>
            <w:noWrap w:val="0"/>
            <w:vAlign w:val="center"/>
          </w:tcPr>
          <w:p>
            <w:pPr>
              <w:adjustRightInd w:val="0"/>
              <w:snapToGrid w:val="0"/>
              <w:spacing w:line="240" w:lineRule="auto"/>
              <w:jc w:val="center"/>
              <w:rPr>
                <w:rFonts w:hint="eastAsia"/>
                <w:sz w:val="24"/>
              </w:rPr>
            </w:pPr>
            <w:r>
              <w:rPr>
                <w:rFonts w:hint="eastAsia"/>
                <w:sz w:val="24"/>
              </w:rPr>
              <w:t>危险废物</w:t>
            </w:r>
          </w:p>
        </w:tc>
        <w:tc>
          <w:tcPr>
            <w:tcW w:w="2663" w:type="dxa"/>
            <w:noWrap w:val="0"/>
            <w:vAlign w:val="center"/>
          </w:tcPr>
          <w:p>
            <w:pPr>
              <w:adjustRightInd w:val="0"/>
              <w:snapToGrid w:val="0"/>
              <w:spacing w:line="240" w:lineRule="auto"/>
              <w:jc w:val="center"/>
              <w:rPr>
                <w:rFonts w:hint="eastAsia"/>
                <w:sz w:val="24"/>
              </w:rPr>
            </w:pPr>
            <w:r>
              <w:rPr>
                <w:rFonts w:hint="eastAsia"/>
                <w:sz w:val="24"/>
              </w:rPr>
              <w:t>暂存于医疗废物暂存间，定期交由资质单位清运处置，实行无害化处置</w:t>
            </w:r>
          </w:p>
        </w:tc>
        <w:tc>
          <w:tcPr>
            <w:tcW w:w="1878" w:type="dxa"/>
            <w:noWrap w:val="0"/>
            <w:vAlign w:val="center"/>
          </w:tcPr>
          <w:p>
            <w:pPr>
              <w:adjustRightInd w:val="0"/>
              <w:snapToGrid w:val="0"/>
              <w:spacing w:line="240" w:lineRule="auto"/>
              <w:jc w:val="center"/>
              <w:rPr>
                <w:rFonts w:hint="eastAsia"/>
                <w:sz w:val="24"/>
              </w:rPr>
            </w:pPr>
            <w:r>
              <w:rPr>
                <w:rFonts w:hint="eastAsia"/>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8" w:type="dxa"/>
            <w:vMerge w:val="continue"/>
            <w:noWrap w:val="0"/>
            <w:vAlign w:val="center"/>
          </w:tcPr>
          <w:p>
            <w:pPr>
              <w:adjustRightInd w:val="0"/>
              <w:snapToGrid w:val="0"/>
              <w:spacing w:line="240" w:lineRule="auto"/>
              <w:jc w:val="center"/>
              <w:rPr>
                <w:sz w:val="24"/>
              </w:rPr>
            </w:pPr>
          </w:p>
        </w:tc>
        <w:tc>
          <w:tcPr>
            <w:tcW w:w="1689" w:type="dxa"/>
            <w:noWrap w:val="0"/>
            <w:vAlign w:val="center"/>
          </w:tcPr>
          <w:p>
            <w:pPr>
              <w:adjustRightInd w:val="0"/>
              <w:snapToGrid w:val="0"/>
              <w:spacing w:line="240" w:lineRule="auto"/>
              <w:jc w:val="center"/>
              <w:rPr>
                <w:rFonts w:hint="eastAsia"/>
                <w:sz w:val="24"/>
              </w:rPr>
            </w:pPr>
            <w:r>
              <w:rPr>
                <w:rFonts w:hint="eastAsia"/>
                <w:sz w:val="24"/>
                <w:szCs w:val="28"/>
              </w:rPr>
              <w:t>污水处理站污泥</w:t>
            </w:r>
          </w:p>
        </w:tc>
        <w:tc>
          <w:tcPr>
            <w:tcW w:w="1312" w:type="dxa"/>
            <w:noWrap w:val="0"/>
            <w:vAlign w:val="center"/>
          </w:tcPr>
          <w:p>
            <w:pPr>
              <w:adjustRightInd w:val="0"/>
              <w:snapToGrid w:val="0"/>
              <w:spacing w:line="240" w:lineRule="auto"/>
              <w:jc w:val="center"/>
              <w:rPr>
                <w:rFonts w:hint="eastAsia"/>
                <w:sz w:val="24"/>
              </w:rPr>
            </w:pPr>
            <w:r>
              <w:rPr>
                <w:rFonts w:hint="eastAsia"/>
                <w:sz w:val="24"/>
              </w:rPr>
              <w:t>危险废物</w:t>
            </w:r>
          </w:p>
        </w:tc>
        <w:tc>
          <w:tcPr>
            <w:tcW w:w="2663" w:type="dxa"/>
            <w:noWrap w:val="0"/>
            <w:vAlign w:val="center"/>
          </w:tcPr>
          <w:p>
            <w:pPr>
              <w:adjustRightInd w:val="0"/>
              <w:snapToGrid w:val="0"/>
              <w:spacing w:line="240" w:lineRule="auto"/>
              <w:jc w:val="center"/>
              <w:rPr>
                <w:rFonts w:hint="eastAsia"/>
                <w:sz w:val="24"/>
              </w:rPr>
            </w:pPr>
            <w:r>
              <w:rPr>
                <w:rFonts w:hint="eastAsia"/>
                <w:sz w:val="24"/>
                <w:szCs w:val="28"/>
              </w:rPr>
              <w:t>定期清掏，并经预处理后暂存于医疗废物暂存间，定期交由资质单位清运处置</w:t>
            </w:r>
          </w:p>
        </w:tc>
        <w:tc>
          <w:tcPr>
            <w:tcW w:w="1878" w:type="dxa"/>
            <w:noWrap w:val="0"/>
            <w:vAlign w:val="center"/>
          </w:tcPr>
          <w:p>
            <w:pPr>
              <w:adjustRightInd w:val="0"/>
              <w:snapToGrid w:val="0"/>
              <w:spacing w:line="240" w:lineRule="auto"/>
              <w:jc w:val="center"/>
              <w:rPr>
                <w:rFonts w:hint="eastAsia"/>
                <w:sz w:val="24"/>
              </w:rPr>
            </w:pPr>
            <w:r>
              <w:rPr>
                <w:rFonts w:hint="eastAsia"/>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258" w:type="dxa"/>
            <w:noWrap w:val="0"/>
            <w:vAlign w:val="center"/>
          </w:tcPr>
          <w:p>
            <w:pPr>
              <w:adjustRightInd w:val="0"/>
              <w:snapToGrid w:val="0"/>
              <w:spacing w:line="240" w:lineRule="auto"/>
              <w:jc w:val="center"/>
              <w:rPr>
                <w:rFonts w:hint="eastAsia" w:ascii="宋体" w:hAnsi="宋体" w:cs="宋体"/>
                <w:sz w:val="24"/>
              </w:rPr>
            </w:pPr>
            <w:r>
              <w:rPr>
                <w:rFonts w:hint="eastAsia" w:ascii="宋体" w:hAnsi="宋体" w:cs="宋体"/>
                <w:sz w:val="24"/>
              </w:rPr>
              <w:t>土壤及地下水污染防治措施</w:t>
            </w:r>
          </w:p>
        </w:tc>
        <w:tc>
          <w:tcPr>
            <w:tcW w:w="7542" w:type="dxa"/>
            <w:gridSpan w:val="4"/>
            <w:noWrap w:val="0"/>
            <w:vAlign w:val="center"/>
          </w:tcPr>
          <w:p>
            <w:pPr>
              <w:adjustRightInd w:val="0"/>
              <w:snapToGrid w:val="0"/>
              <w:spacing w:line="240" w:lineRule="auto"/>
              <w:jc w:val="center"/>
              <w:rPr>
                <w:rFonts w:hint="eastAsia" w:ascii="宋体" w:hAnsi="宋体" w:cs="宋体"/>
                <w:sz w:val="24"/>
              </w:rPr>
            </w:pPr>
            <w:r>
              <w:rPr>
                <w:rFonts w:hint="eastAsia" w:ascii="宋体" w:hAnsi="宋体" w:cs="宋体"/>
                <w:sz w:val="24"/>
              </w:rPr>
              <w:t>按照“源头控制+过程控制+分区防控+应急响应”相结合的原则，医疗废物暂存间、化粪池、隔油池、事故池、污水处理站等采用重点防渗措施；加强管理，加强设施设备维护保养；设置事故池，编制应急预案等。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258" w:type="dxa"/>
            <w:noWrap w:val="0"/>
            <w:vAlign w:val="center"/>
          </w:tcPr>
          <w:p>
            <w:pPr>
              <w:adjustRightInd w:val="0"/>
              <w:snapToGrid w:val="0"/>
              <w:spacing w:line="240" w:lineRule="auto"/>
              <w:jc w:val="center"/>
              <w:rPr>
                <w:rFonts w:hint="eastAsia"/>
                <w:sz w:val="24"/>
              </w:rPr>
            </w:pPr>
            <w:r>
              <w:rPr>
                <w:sz w:val="24"/>
              </w:rPr>
              <w:t>生态保护措施</w:t>
            </w:r>
          </w:p>
        </w:tc>
        <w:tc>
          <w:tcPr>
            <w:tcW w:w="7542" w:type="dxa"/>
            <w:gridSpan w:val="4"/>
            <w:noWrap w:val="0"/>
            <w:vAlign w:val="center"/>
          </w:tcPr>
          <w:p>
            <w:pPr>
              <w:adjustRightInd w:val="0"/>
              <w:snapToGrid w:val="0"/>
              <w:spacing w:line="240" w:lineRule="auto"/>
              <w:jc w:val="center"/>
              <w:rPr>
                <w:rFonts w:hint="eastAsia"/>
                <w:sz w:val="24"/>
              </w:rPr>
            </w:pPr>
            <w:r>
              <w:rPr>
                <w:rFonts w:hint="eastAsia"/>
                <w:sz w:val="24"/>
              </w:rPr>
              <w:t>项目所在区域人类活动频繁，周围无特殊生态敏感点，无需特殊保护的生态环境，项目营运期不涉及生态破坏，水土流失等生态影响，对当地生态环境影响可接受。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258" w:type="dxa"/>
            <w:noWrap w:val="0"/>
            <w:vAlign w:val="center"/>
          </w:tcPr>
          <w:p>
            <w:pPr>
              <w:adjustRightInd w:val="0"/>
              <w:snapToGrid w:val="0"/>
              <w:spacing w:line="240" w:lineRule="auto"/>
              <w:jc w:val="center"/>
              <w:rPr>
                <w:rFonts w:ascii="宋体" w:hAnsi="宋体" w:cs="宋体"/>
                <w:spacing w:val="-8"/>
                <w:sz w:val="24"/>
              </w:rPr>
            </w:pPr>
            <w:r>
              <w:rPr>
                <w:rFonts w:hint="eastAsia" w:ascii="宋体" w:hAnsi="宋体" w:cs="宋体"/>
                <w:spacing w:val="-8"/>
                <w:sz w:val="24"/>
              </w:rPr>
              <w:t>环境风险</w:t>
            </w:r>
          </w:p>
          <w:p>
            <w:pPr>
              <w:adjustRightInd w:val="0"/>
              <w:snapToGrid w:val="0"/>
              <w:spacing w:line="240" w:lineRule="auto"/>
              <w:jc w:val="center"/>
              <w:rPr>
                <w:rFonts w:hint="eastAsia" w:ascii="宋体" w:hAnsi="宋体" w:cs="宋体"/>
                <w:spacing w:val="-8"/>
                <w:sz w:val="24"/>
              </w:rPr>
            </w:pPr>
            <w:r>
              <w:rPr>
                <w:rFonts w:hint="eastAsia" w:ascii="宋体" w:hAnsi="宋体" w:cs="宋体"/>
                <w:spacing w:val="-8"/>
                <w:sz w:val="24"/>
              </w:rPr>
              <w:t>防范措施</w:t>
            </w:r>
          </w:p>
        </w:tc>
        <w:tc>
          <w:tcPr>
            <w:tcW w:w="7542" w:type="dxa"/>
            <w:gridSpan w:val="4"/>
            <w:noWrap w:val="0"/>
            <w:vAlign w:val="center"/>
          </w:tcPr>
          <w:p>
            <w:pPr>
              <w:widowControl/>
              <w:spacing w:line="240" w:lineRule="auto"/>
              <w:jc w:val="center"/>
              <w:rPr>
                <w:rFonts w:hint="eastAsia"/>
                <w:sz w:val="24"/>
              </w:rPr>
            </w:pPr>
            <w:r>
              <w:rPr>
                <w:rFonts w:hint="eastAsia" w:ascii="宋体" w:hAnsi="宋体" w:cs="宋体"/>
                <w:kern w:val="0"/>
                <w:sz w:val="24"/>
                <w:lang w:bidi="ar"/>
              </w:rPr>
              <w:t>医用药剂严格按照相关规定储存、使用；加强设施管理和正常运行，编制风险预案，设</w:t>
            </w:r>
            <w:r>
              <w:rPr>
                <w:rFonts w:hint="default" w:ascii="Times New Roman" w:hAnsi="Times New Roman" w:cs="Times New Roman"/>
                <w:kern w:val="2"/>
                <w:sz w:val="24"/>
                <w:lang w:bidi="ar"/>
              </w:rPr>
              <w:t>置30m³事</w:t>
            </w:r>
            <w:r>
              <w:rPr>
                <w:rFonts w:hint="eastAsia" w:ascii="宋体" w:hAnsi="宋体" w:cs="宋体"/>
                <w:kern w:val="0"/>
                <w:sz w:val="24"/>
                <w:lang w:bidi="ar"/>
              </w:rPr>
              <w:t>故池，配备应急物资等。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258" w:type="dxa"/>
            <w:noWrap w:val="0"/>
            <w:vAlign w:val="center"/>
          </w:tcPr>
          <w:p>
            <w:pPr>
              <w:adjustRightInd w:val="0"/>
              <w:snapToGrid w:val="0"/>
              <w:spacing w:line="240" w:lineRule="auto"/>
              <w:jc w:val="left"/>
              <w:rPr>
                <w:rFonts w:ascii="宋体" w:hAnsi="宋体" w:cs="宋体"/>
                <w:spacing w:val="-8"/>
                <w:sz w:val="24"/>
              </w:rPr>
            </w:pPr>
            <w:r>
              <w:rPr>
                <w:rFonts w:hint="eastAsia" w:ascii="宋体" w:hAnsi="宋体" w:cs="宋体"/>
                <w:spacing w:val="-8"/>
                <w:sz w:val="24"/>
              </w:rPr>
              <w:t>其他环境</w:t>
            </w:r>
          </w:p>
          <w:p>
            <w:pPr>
              <w:adjustRightInd w:val="0"/>
              <w:snapToGrid w:val="0"/>
              <w:spacing w:line="240" w:lineRule="auto"/>
              <w:jc w:val="left"/>
              <w:rPr>
                <w:rFonts w:hint="eastAsia" w:ascii="宋体" w:hAnsi="宋体" w:cs="宋体"/>
                <w:spacing w:val="-8"/>
                <w:sz w:val="24"/>
              </w:rPr>
            </w:pPr>
            <w:r>
              <w:rPr>
                <w:rFonts w:hint="eastAsia" w:ascii="宋体" w:hAnsi="宋体" w:cs="宋体"/>
                <w:spacing w:val="-8"/>
                <w:sz w:val="24"/>
              </w:rPr>
              <w:t>管理要求</w:t>
            </w:r>
          </w:p>
        </w:tc>
        <w:tc>
          <w:tcPr>
            <w:tcW w:w="7542" w:type="dxa"/>
            <w:gridSpan w:val="4"/>
            <w:noWrap w:val="0"/>
            <w:vAlign w:val="center"/>
          </w:tcPr>
          <w:p>
            <w:pPr>
              <w:widowControl/>
              <w:spacing w:line="240" w:lineRule="auto"/>
              <w:jc w:val="left"/>
              <w:rPr>
                <w:rFonts w:hint="eastAsia"/>
                <w:sz w:val="24"/>
              </w:rPr>
            </w:pPr>
            <w:r>
              <w:rPr>
                <w:rFonts w:hint="eastAsia"/>
                <w:sz w:val="24"/>
              </w:rPr>
              <w:t>（</w:t>
            </w:r>
            <w:r>
              <w:rPr>
                <w:sz w:val="24"/>
              </w:rPr>
              <w:t>1</w:t>
            </w:r>
            <w:r>
              <w:rPr>
                <w:rFonts w:hint="eastAsia"/>
                <w:sz w:val="24"/>
              </w:rPr>
              <w:t>）本项目需配套建设的环境保护设施，必须与主体工程同时设计、同时施工、同时投产使用。</w:t>
            </w:r>
          </w:p>
          <w:p>
            <w:pPr>
              <w:widowControl/>
              <w:spacing w:line="240" w:lineRule="auto"/>
              <w:jc w:val="left"/>
              <w:rPr>
                <w:rFonts w:hint="eastAsia"/>
                <w:sz w:val="24"/>
              </w:rPr>
            </w:pPr>
            <w:r>
              <w:rPr>
                <w:rFonts w:hint="eastAsia"/>
                <w:sz w:val="24"/>
              </w:rPr>
              <w:t>（</w:t>
            </w:r>
            <w:r>
              <w:rPr>
                <w:sz w:val="24"/>
              </w:rPr>
              <w:t>2</w:t>
            </w:r>
            <w:r>
              <w:rPr>
                <w:rFonts w:hint="eastAsia"/>
                <w:sz w:val="24"/>
              </w:rPr>
              <w:t>）加强环境管理，监督落实废水、废气、固体废物、噪声治理、地下水防渗等各项环保措施，定期对设备设施进行保养检修，及时发现并阻止污染物跑、冒、滴、漏现象，消除事故隐患，杜绝事故排放。</w:t>
            </w:r>
          </w:p>
          <w:p>
            <w:pPr>
              <w:widowControl/>
              <w:spacing w:line="240" w:lineRule="auto"/>
              <w:jc w:val="left"/>
              <w:rPr>
                <w:rFonts w:hint="eastAsia"/>
                <w:sz w:val="24"/>
              </w:rPr>
            </w:pPr>
            <w:r>
              <w:rPr>
                <w:rFonts w:hint="eastAsia"/>
                <w:sz w:val="24"/>
              </w:rPr>
              <w:t>（3）建设单位应严格落实风险防范措施并制定事故防范应急预案，防止风险事故的发生和扩大。</w:t>
            </w:r>
          </w:p>
          <w:p>
            <w:pPr>
              <w:widowControl/>
              <w:spacing w:line="240" w:lineRule="auto"/>
              <w:jc w:val="left"/>
              <w:rPr>
                <w:rFonts w:hint="eastAsia"/>
                <w:sz w:val="24"/>
              </w:rPr>
            </w:pPr>
            <w:r>
              <w:rPr>
                <w:rFonts w:hint="eastAsia"/>
                <w:sz w:val="24"/>
              </w:rPr>
              <w:t>（4）建议项目周边区域限制引入污染类项目。</w:t>
            </w:r>
          </w:p>
        </w:tc>
      </w:tr>
    </w:tbl>
    <w:p>
      <w:pPr>
        <w:pStyle w:val="37"/>
        <w:jc w:val="center"/>
        <w:outlineLvl w:val="0"/>
        <w:rPr>
          <w:rFonts w:ascii="黑体" w:hAnsi="黑体" w:eastAsia="黑体"/>
          <w:snapToGrid w:val="0"/>
          <w:color w:val="000000"/>
          <w:sz w:val="30"/>
          <w:szCs w:val="30"/>
        </w:rPr>
      </w:pPr>
      <w:r>
        <w:rPr>
          <w:snapToGrid w:val="0"/>
          <w:color w:val="000000"/>
        </w:rPr>
        <w:br w:type="page"/>
      </w:r>
      <w:r>
        <w:rPr>
          <w:rFonts w:hint="eastAsia" w:ascii="黑体" w:hAnsi="黑体" w:eastAsia="黑体"/>
          <w:snapToGrid w:val="0"/>
          <w:color w:val="000000"/>
          <w:sz w:val="30"/>
          <w:szCs w:val="30"/>
        </w:rPr>
        <w:t>六、结论</w:t>
      </w:r>
    </w:p>
    <w:tbl>
      <w:tblPr>
        <w:tblStyle w:val="4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pPr>
              <w:pStyle w:val="175"/>
              <w:spacing w:line="360" w:lineRule="auto"/>
              <w:ind w:firstLine="482"/>
              <w:rPr>
                <w:rFonts w:ascii="Times New Roman" w:hAnsi="Times New Roman" w:eastAsia="宋体"/>
                <w:b/>
              </w:rPr>
            </w:pPr>
            <w:r>
              <w:rPr>
                <w:rFonts w:hint="eastAsia" w:ascii="Times New Roman" w:hAnsi="Times New Roman" w:eastAsia="宋体"/>
              </w:rPr>
              <w:t>评价认为，乐山巴川精神病专科医院有限公司“巴川精神病医院床位扩建项目”符合国家产业政策，符合当地土地规划及城市总体规划。项目建设区域无明显环境制约因素，选址合理；区域环境质量总体上能达到环境标准要求；项目总图布置合理，采用的污染防治措施经济技术可行。在确保项目“三废”污染源达标排放，并严格执行“三同时”制度，落实设计和环评报告表中提出的各项环保治理措施并确保环保设施正常运转的前提下，污染物的排放能满足所执行的环境标准和总量控制要求，不会改变环评区域现有功能的。</w:t>
            </w:r>
            <w:r>
              <w:rPr>
                <w:rFonts w:hint="eastAsia" w:ascii="Times New Roman" w:hAnsi="Times New Roman" w:eastAsia="宋体"/>
                <w:b/>
                <w:bCs/>
              </w:rPr>
              <w:t>从环保的角度出发，本项目建设是可行的</w:t>
            </w:r>
            <w:r>
              <w:rPr>
                <w:rFonts w:hint="eastAsia" w:ascii="Times New Roman" w:hAnsi="Times New Roman" w:eastAsia="宋体"/>
              </w:rPr>
              <w:t>。</w:t>
            </w:r>
          </w:p>
          <w:p>
            <w:pPr>
              <w:pStyle w:val="175"/>
              <w:spacing w:line="360" w:lineRule="auto"/>
              <w:ind w:firstLine="482"/>
              <w:rPr>
                <w:rFonts w:ascii="Times New Roman" w:hAnsi="Times New Roman" w:eastAsia="宋体"/>
                <w:b/>
              </w:rPr>
            </w:pPr>
          </w:p>
          <w:p>
            <w:pPr>
              <w:pStyle w:val="175"/>
              <w:spacing w:line="360" w:lineRule="auto"/>
              <w:ind w:firstLine="482"/>
              <w:rPr>
                <w:rFonts w:ascii="Times New Roman" w:hAnsi="Times New Roman" w:eastAsia="宋体"/>
                <w:b/>
              </w:rPr>
            </w:pPr>
          </w:p>
          <w:p>
            <w:pPr>
              <w:pStyle w:val="175"/>
              <w:spacing w:line="360" w:lineRule="auto"/>
              <w:ind w:firstLine="482"/>
              <w:rPr>
                <w:rFonts w:ascii="Times New Roman" w:hAnsi="Times New Roman" w:eastAsia="宋体"/>
                <w:b/>
              </w:rPr>
            </w:pPr>
          </w:p>
          <w:p>
            <w:pPr>
              <w:pStyle w:val="175"/>
              <w:spacing w:line="360" w:lineRule="auto"/>
              <w:ind w:firstLine="482"/>
              <w:rPr>
                <w:rFonts w:ascii="Times New Roman" w:hAnsi="Times New Roman" w:eastAsia="宋体"/>
                <w:b/>
              </w:rPr>
            </w:pPr>
          </w:p>
          <w:p>
            <w:pPr>
              <w:pStyle w:val="175"/>
              <w:spacing w:line="360" w:lineRule="auto"/>
              <w:ind w:firstLine="482"/>
              <w:rPr>
                <w:rFonts w:ascii="Times New Roman" w:hAnsi="Times New Roman" w:eastAsia="宋体"/>
                <w:b/>
              </w:rPr>
            </w:pPr>
          </w:p>
          <w:p>
            <w:pPr>
              <w:pStyle w:val="175"/>
              <w:spacing w:line="360" w:lineRule="auto"/>
              <w:ind w:firstLine="482"/>
              <w:rPr>
                <w:rFonts w:ascii="Times New Roman" w:hAnsi="Times New Roman" w:eastAsia="宋体"/>
                <w:b/>
              </w:rPr>
            </w:pPr>
          </w:p>
          <w:p>
            <w:pPr>
              <w:pStyle w:val="175"/>
              <w:spacing w:line="360" w:lineRule="auto"/>
              <w:ind w:firstLine="482"/>
              <w:rPr>
                <w:rFonts w:ascii="Times New Roman" w:hAnsi="Times New Roman" w:eastAsia="宋体"/>
                <w:b/>
              </w:rPr>
            </w:pPr>
          </w:p>
          <w:p>
            <w:pPr>
              <w:pStyle w:val="175"/>
              <w:spacing w:line="360" w:lineRule="auto"/>
              <w:ind w:firstLine="482"/>
              <w:rPr>
                <w:rFonts w:ascii="Times New Roman" w:hAnsi="Times New Roman" w:eastAsia="宋体"/>
                <w:b/>
              </w:rPr>
            </w:pPr>
          </w:p>
          <w:p>
            <w:pPr>
              <w:pStyle w:val="175"/>
              <w:spacing w:line="360" w:lineRule="auto"/>
              <w:ind w:firstLine="482"/>
              <w:rPr>
                <w:rFonts w:ascii="Times New Roman" w:hAnsi="Times New Roman" w:eastAsia="宋体"/>
                <w:b/>
              </w:rPr>
            </w:pPr>
          </w:p>
          <w:p>
            <w:pPr>
              <w:pStyle w:val="175"/>
              <w:spacing w:line="360" w:lineRule="auto"/>
              <w:ind w:firstLine="482"/>
              <w:rPr>
                <w:rFonts w:ascii="Times New Roman" w:hAnsi="Times New Roman" w:eastAsia="宋体"/>
                <w:b/>
              </w:rPr>
            </w:pPr>
          </w:p>
          <w:p>
            <w:pPr>
              <w:pStyle w:val="175"/>
              <w:spacing w:line="360" w:lineRule="auto"/>
              <w:ind w:firstLine="482"/>
              <w:rPr>
                <w:rFonts w:ascii="Times New Roman" w:hAnsi="Times New Roman" w:eastAsia="宋体"/>
                <w:b/>
              </w:rPr>
            </w:pPr>
          </w:p>
          <w:p>
            <w:pPr>
              <w:pStyle w:val="175"/>
              <w:spacing w:line="360" w:lineRule="auto"/>
              <w:ind w:firstLine="482"/>
              <w:rPr>
                <w:rFonts w:ascii="Times New Roman" w:hAnsi="Times New Roman" w:eastAsia="宋体"/>
                <w:b/>
              </w:rPr>
            </w:pPr>
          </w:p>
          <w:p>
            <w:pPr>
              <w:pStyle w:val="175"/>
              <w:spacing w:line="360" w:lineRule="auto"/>
              <w:ind w:firstLine="482"/>
              <w:rPr>
                <w:rFonts w:ascii="Times New Roman" w:hAnsi="Times New Roman" w:eastAsia="宋体"/>
                <w:b/>
              </w:rPr>
            </w:pPr>
          </w:p>
          <w:p>
            <w:pPr>
              <w:pStyle w:val="175"/>
              <w:spacing w:line="360" w:lineRule="auto"/>
              <w:ind w:firstLine="482"/>
              <w:rPr>
                <w:rFonts w:ascii="Times New Roman" w:hAnsi="Times New Roman" w:eastAsia="宋体"/>
                <w:b/>
              </w:rPr>
            </w:pPr>
          </w:p>
          <w:p>
            <w:pPr>
              <w:pStyle w:val="175"/>
              <w:spacing w:line="360" w:lineRule="auto"/>
              <w:ind w:firstLine="482"/>
              <w:rPr>
                <w:rFonts w:ascii="Times New Roman" w:hAnsi="Times New Roman" w:eastAsia="宋体"/>
                <w:b/>
              </w:rPr>
            </w:pPr>
          </w:p>
          <w:p>
            <w:pPr>
              <w:pStyle w:val="175"/>
              <w:spacing w:line="360" w:lineRule="auto"/>
              <w:ind w:firstLine="482"/>
              <w:rPr>
                <w:rFonts w:ascii="Times New Roman" w:hAnsi="Times New Roman" w:eastAsia="宋体"/>
                <w:b/>
              </w:rPr>
            </w:pPr>
          </w:p>
          <w:p>
            <w:pPr>
              <w:pStyle w:val="175"/>
              <w:spacing w:line="360" w:lineRule="auto"/>
              <w:ind w:firstLine="482"/>
              <w:rPr>
                <w:rFonts w:ascii="Times New Roman" w:hAnsi="Times New Roman" w:eastAsia="宋体"/>
                <w:b/>
              </w:rPr>
            </w:pPr>
          </w:p>
          <w:p>
            <w:pPr>
              <w:pStyle w:val="175"/>
              <w:spacing w:line="360" w:lineRule="auto"/>
              <w:ind w:firstLine="482"/>
              <w:rPr>
                <w:rFonts w:ascii="Times New Roman" w:hAnsi="Times New Roman" w:eastAsia="宋体"/>
                <w:b/>
              </w:rPr>
            </w:pPr>
          </w:p>
          <w:p>
            <w:pPr>
              <w:pStyle w:val="175"/>
              <w:spacing w:line="360" w:lineRule="auto"/>
              <w:ind w:left="0" w:leftChars="0" w:firstLine="0" w:firstLineChars="0"/>
              <w:rPr>
                <w:rFonts w:ascii="Times New Roman" w:hAnsi="Times New Roman" w:eastAsia="宋体"/>
              </w:rPr>
            </w:pPr>
          </w:p>
        </w:tc>
      </w:tr>
    </w:tbl>
    <w:p>
      <w:pPr>
        <w:rPr>
          <w:rFonts w:ascii="宋体"/>
          <w:color w:val="000000"/>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37"/>
        <w:adjustRightInd w:val="0"/>
        <w:snapToGrid w:val="0"/>
        <w:spacing w:before="0" w:beforeAutospacing="0" w:after="0" w:afterAutospacing="0" w:line="648" w:lineRule="auto"/>
        <w:outlineLvl w:val="0"/>
        <w:rPr>
          <w:rFonts w:ascii="黑体" w:hAnsi="黑体" w:eastAsia="黑体"/>
          <w:snapToGrid w:val="0"/>
          <w:color w:val="000000"/>
          <w:sz w:val="32"/>
          <w:szCs w:val="32"/>
        </w:rPr>
      </w:pPr>
      <w:r>
        <w:rPr>
          <w:rFonts w:hint="eastAsia" w:ascii="黑体" w:hAnsi="黑体" w:eastAsia="黑体"/>
          <w:snapToGrid w:val="0"/>
          <w:color w:val="000000"/>
          <w:sz w:val="32"/>
          <w:szCs w:val="32"/>
        </w:rPr>
        <w:t>附表</w:t>
      </w:r>
    </w:p>
    <w:p>
      <w:pPr>
        <w:pStyle w:val="37"/>
        <w:adjustRightInd w:val="0"/>
        <w:snapToGrid w:val="0"/>
        <w:spacing w:before="0" w:beforeAutospacing="0" w:after="0" w:afterAutospacing="0" w:line="240" w:lineRule="auto"/>
        <w:jc w:val="center"/>
        <w:outlineLvl w:val="0"/>
        <w:rPr>
          <w:rFonts w:hint="eastAsia" w:ascii="方正小标宋_GBK" w:hAnsi="黑体" w:eastAsia="方正小标宋_GBK"/>
          <w:snapToGrid w:val="0"/>
          <w:color w:val="000000"/>
          <w:sz w:val="38"/>
          <w:szCs w:val="38"/>
        </w:rPr>
      </w:pPr>
      <w:r>
        <w:rPr>
          <w:rFonts w:hint="eastAsia" w:ascii="方正小标宋_GBK" w:hAnsi="黑体" w:eastAsia="方正小标宋_GBK"/>
          <w:snapToGrid w:val="0"/>
          <w:color w:val="000000"/>
          <w:sz w:val="38"/>
          <w:szCs w:val="38"/>
        </w:rPr>
        <w:t>建设项目污染物排放量汇总表</w:t>
      </w:r>
    </w:p>
    <w:tbl>
      <w:tblPr>
        <w:tblStyle w:val="41"/>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566"/>
        <w:gridCol w:w="1922"/>
        <w:gridCol w:w="105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noWrap w:val="0"/>
            <w:tcMar>
              <w:left w:w="28" w:type="dxa"/>
              <w:right w:w="28" w:type="dxa"/>
            </w:tcMar>
            <w:vAlign w:val="center"/>
          </w:tcPr>
          <w:p>
            <w:pPr>
              <w:pStyle w:val="165"/>
              <w:jc w:val="right"/>
              <w:rPr>
                <w:b/>
                <w:bCs/>
              </w:rPr>
            </w:pPr>
            <w:r>
              <w:rPr>
                <w:b/>
                <w:bCs/>
              </w:rPr>
              <w:t>项目</w:t>
            </w:r>
          </w:p>
          <w:p>
            <w:pPr>
              <w:pStyle w:val="165"/>
              <w:jc w:val="left"/>
              <w:rPr>
                <w:b/>
                <w:bCs/>
              </w:rPr>
            </w:pPr>
            <w:r>
              <w:rPr>
                <w:b/>
                <w:bCs/>
              </w:rPr>
              <w:t>分类</w:t>
            </w:r>
          </w:p>
        </w:tc>
        <w:tc>
          <w:tcPr>
            <w:tcW w:w="1417" w:type="dxa"/>
            <w:noWrap w:val="0"/>
            <w:tcMar>
              <w:left w:w="28" w:type="dxa"/>
              <w:right w:w="28" w:type="dxa"/>
            </w:tcMar>
            <w:vAlign w:val="center"/>
          </w:tcPr>
          <w:p>
            <w:pPr>
              <w:pStyle w:val="165"/>
              <w:rPr>
                <w:b/>
                <w:bCs/>
              </w:rPr>
            </w:pPr>
            <w:r>
              <w:rPr>
                <w:b/>
                <w:bCs/>
              </w:rPr>
              <w:t>污染物名称</w:t>
            </w:r>
          </w:p>
        </w:tc>
        <w:tc>
          <w:tcPr>
            <w:tcW w:w="1701" w:type="dxa"/>
            <w:noWrap w:val="0"/>
            <w:tcMar>
              <w:left w:w="28" w:type="dxa"/>
              <w:right w:w="28" w:type="dxa"/>
            </w:tcMar>
            <w:vAlign w:val="center"/>
          </w:tcPr>
          <w:p>
            <w:pPr>
              <w:pStyle w:val="165"/>
              <w:rPr>
                <w:b/>
                <w:bCs/>
              </w:rPr>
            </w:pPr>
            <w:r>
              <w:rPr>
                <w:b/>
                <w:bCs/>
              </w:rPr>
              <w:t>现有工程</w:t>
            </w:r>
          </w:p>
          <w:p>
            <w:pPr>
              <w:pStyle w:val="165"/>
              <w:rPr>
                <w:b/>
                <w:bCs/>
              </w:rPr>
            </w:pPr>
            <w:r>
              <w:rPr>
                <w:b/>
                <w:bCs/>
              </w:rPr>
              <w:t>排放量（固体废物产生量）</w:t>
            </w:r>
            <w:r>
              <w:rPr>
                <w:b/>
                <w:bCs/>
              </w:rPr>
              <w:fldChar w:fldCharType="begin"/>
            </w:r>
            <w:r>
              <w:rPr>
                <w:b/>
                <w:bCs/>
              </w:rPr>
              <w:instrText xml:space="preserve"> = 1 \* GB3 \* MERGEFORMAT </w:instrText>
            </w:r>
            <w:r>
              <w:rPr>
                <w:b/>
                <w:bCs/>
              </w:rPr>
              <w:fldChar w:fldCharType="separate"/>
            </w:r>
            <w:r>
              <w:rPr>
                <w:b/>
                <w:bCs/>
              </w:rPr>
              <w:t>①</w:t>
            </w:r>
            <w:r>
              <w:rPr>
                <w:b/>
                <w:bCs/>
              </w:rPr>
              <w:fldChar w:fldCharType="end"/>
            </w:r>
          </w:p>
        </w:tc>
        <w:tc>
          <w:tcPr>
            <w:tcW w:w="1276" w:type="dxa"/>
            <w:noWrap w:val="0"/>
            <w:tcMar>
              <w:left w:w="28" w:type="dxa"/>
              <w:right w:w="28" w:type="dxa"/>
            </w:tcMar>
            <w:vAlign w:val="center"/>
          </w:tcPr>
          <w:p>
            <w:pPr>
              <w:pStyle w:val="165"/>
              <w:rPr>
                <w:b/>
                <w:bCs/>
              </w:rPr>
            </w:pPr>
            <w:r>
              <w:rPr>
                <w:b/>
                <w:bCs/>
              </w:rPr>
              <w:t>现有工程</w:t>
            </w:r>
          </w:p>
          <w:p>
            <w:pPr>
              <w:pStyle w:val="165"/>
              <w:rPr>
                <w:b/>
                <w:bCs/>
              </w:rPr>
            </w:pPr>
            <w:r>
              <w:rPr>
                <w:b/>
                <w:bCs/>
              </w:rPr>
              <w:t>许可排放量</w:t>
            </w:r>
          </w:p>
          <w:p>
            <w:pPr>
              <w:pStyle w:val="165"/>
              <w:rPr>
                <w:b/>
                <w:bCs/>
              </w:rPr>
            </w:pPr>
            <w:r>
              <w:rPr>
                <w:b/>
                <w:bCs/>
              </w:rPr>
              <w:fldChar w:fldCharType="begin"/>
            </w:r>
            <w:r>
              <w:rPr>
                <w:b/>
                <w:bCs/>
              </w:rPr>
              <w:instrText xml:space="preserve"> = 2 \* GB3 \* MERGEFORMAT </w:instrText>
            </w:r>
            <w:r>
              <w:rPr>
                <w:b/>
                <w:bCs/>
              </w:rPr>
              <w:fldChar w:fldCharType="separate"/>
            </w:r>
            <w:r>
              <w:rPr>
                <w:b/>
                <w:bCs/>
              </w:rPr>
              <w:t>②</w:t>
            </w:r>
            <w:r>
              <w:rPr>
                <w:b/>
                <w:bCs/>
              </w:rPr>
              <w:fldChar w:fldCharType="end"/>
            </w:r>
          </w:p>
        </w:tc>
        <w:tc>
          <w:tcPr>
            <w:tcW w:w="1701" w:type="dxa"/>
            <w:noWrap w:val="0"/>
            <w:tcMar>
              <w:left w:w="28" w:type="dxa"/>
              <w:right w:w="28" w:type="dxa"/>
            </w:tcMar>
            <w:vAlign w:val="center"/>
          </w:tcPr>
          <w:p>
            <w:pPr>
              <w:pStyle w:val="165"/>
              <w:rPr>
                <w:b/>
                <w:bCs/>
              </w:rPr>
            </w:pPr>
            <w:r>
              <w:rPr>
                <w:b/>
                <w:bCs/>
              </w:rPr>
              <w:t>在建工程</w:t>
            </w:r>
          </w:p>
          <w:p>
            <w:pPr>
              <w:pStyle w:val="165"/>
              <w:rPr>
                <w:b/>
                <w:bCs/>
              </w:rPr>
            </w:pPr>
            <w:r>
              <w:rPr>
                <w:b/>
                <w:bCs/>
              </w:rPr>
              <w:t>排放量（固体废物产生量）</w:t>
            </w:r>
            <w:r>
              <w:rPr>
                <w:b/>
                <w:bCs/>
              </w:rPr>
              <w:fldChar w:fldCharType="begin"/>
            </w:r>
            <w:r>
              <w:rPr>
                <w:b/>
                <w:bCs/>
              </w:rPr>
              <w:instrText xml:space="preserve"> = 3 \* GB3 \* MERGEFORMAT </w:instrText>
            </w:r>
            <w:r>
              <w:rPr>
                <w:b/>
                <w:bCs/>
              </w:rPr>
              <w:fldChar w:fldCharType="separate"/>
            </w:r>
            <w:r>
              <w:rPr>
                <w:b/>
                <w:bCs/>
              </w:rPr>
              <w:t>③</w:t>
            </w:r>
            <w:r>
              <w:rPr>
                <w:b/>
                <w:bCs/>
              </w:rPr>
              <w:fldChar w:fldCharType="end"/>
            </w:r>
          </w:p>
        </w:tc>
        <w:tc>
          <w:tcPr>
            <w:tcW w:w="1559" w:type="dxa"/>
            <w:noWrap w:val="0"/>
            <w:tcMar>
              <w:left w:w="28" w:type="dxa"/>
              <w:right w:w="28" w:type="dxa"/>
            </w:tcMar>
            <w:vAlign w:val="center"/>
          </w:tcPr>
          <w:p>
            <w:pPr>
              <w:pStyle w:val="165"/>
              <w:rPr>
                <w:b/>
                <w:bCs/>
              </w:rPr>
            </w:pPr>
            <w:r>
              <w:rPr>
                <w:b/>
                <w:bCs/>
              </w:rPr>
              <w:t>本项目</w:t>
            </w:r>
          </w:p>
          <w:p>
            <w:pPr>
              <w:pStyle w:val="165"/>
              <w:rPr>
                <w:b/>
                <w:bCs/>
              </w:rPr>
            </w:pPr>
            <w:r>
              <w:rPr>
                <w:b/>
                <w:bCs/>
              </w:rPr>
              <w:t>排放量（固体废物产生量）</w:t>
            </w:r>
            <w:r>
              <w:rPr>
                <w:b/>
                <w:bCs/>
              </w:rPr>
              <w:fldChar w:fldCharType="begin"/>
            </w:r>
            <w:r>
              <w:rPr>
                <w:b/>
                <w:bCs/>
              </w:rPr>
              <w:instrText xml:space="preserve"> = 4 \* GB3 \* MERGEFORMAT </w:instrText>
            </w:r>
            <w:r>
              <w:rPr>
                <w:b/>
                <w:bCs/>
              </w:rPr>
              <w:fldChar w:fldCharType="separate"/>
            </w:r>
            <w:r>
              <w:rPr>
                <w:b/>
                <w:bCs/>
              </w:rPr>
              <w:t>④</w:t>
            </w:r>
            <w:r>
              <w:rPr>
                <w:b/>
                <w:bCs/>
              </w:rPr>
              <w:fldChar w:fldCharType="end"/>
            </w:r>
          </w:p>
        </w:tc>
        <w:tc>
          <w:tcPr>
            <w:tcW w:w="1566" w:type="dxa"/>
            <w:noWrap w:val="0"/>
            <w:tcMar>
              <w:left w:w="28" w:type="dxa"/>
              <w:right w:w="28" w:type="dxa"/>
            </w:tcMar>
            <w:vAlign w:val="center"/>
          </w:tcPr>
          <w:p>
            <w:pPr>
              <w:pStyle w:val="165"/>
              <w:rPr>
                <w:b/>
                <w:bCs/>
              </w:rPr>
            </w:pPr>
            <w:r>
              <w:rPr>
                <w:b/>
                <w:bCs/>
              </w:rPr>
              <w:t>以新带老削减量</w:t>
            </w:r>
          </w:p>
          <w:p>
            <w:pPr>
              <w:pStyle w:val="165"/>
              <w:rPr>
                <w:b/>
                <w:bCs/>
              </w:rPr>
            </w:pPr>
            <w:r>
              <w:rPr>
                <w:b/>
                <w:bCs/>
              </w:rPr>
              <w:t>（新建项目不填）</w:t>
            </w:r>
            <w:r>
              <w:rPr>
                <w:b/>
                <w:bCs/>
              </w:rPr>
              <w:fldChar w:fldCharType="begin"/>
            </w:r>
            <w:r>
              <w:rPr>
                <w:b/>
                <w:bCs/>
              </w:rPr>
              <w:instrText xml:space="preserve"> = 5 \* GB3 \* MERGEFORMAT </w:instrText>
            </w:r>
            <w:r>
              <w:rPr>
                <w:b/>
                <w:bCs/>
              </w:rPr>
              <w:fldChar w:fldCharType="separate"/>
            </w:r>
            <w:r>
              <w:rPr>
                <w:b/>
                <w:bCs/>
              </w:rPr>
              <w:t>⑤</w:t>
            </w:r>
            <w:r>
              <w:rPr>
                <w:b/>
                <w:bCs/>
              </w:rPr>
              <w:fldChar w:fldCharType="end"/>
            </w:r>
          </w:p>
        </w:tc>
        <w:tc>
          <w:tcPr>
            <w:tcW w:w="1922" w:type="dxa"/>
            <w:noWrap w:val="0"/>
            <w:tcMar>
              <w:left w:w="28" w:type="dxa"/>
              <w:right w:w="28" w:type="dxa"/>
            </w:tcMar>
            <w:vAlign w:val="center"/>
          </w:tcPr>
          <w:p>
            <w:pPr>
              <w:pStyle w:val="165"/>
              <w:rPr>
                <w:b/>
                <w:bCs/>
              </w:rPr>
            </w:pPr>
            <w:r>
              <w:rPr>
                <w:b/>
                <w:bCs/>
              </w:rPr>
              <w:t>本项目建成后</w:t>
            </w:r>
          </w:p>
          <w:p>
            <w:pPr>
              <w:pStyle w:val="165"/>
              <w:rPr>
                <w:b/>
                <w:bCs/>
              </w:rPr>
            </w:pPr>
            <w:r>
              <w:rPr>
                <w:b/>
                <w:bCs/>
              </w:rPr>
              <w:t>全厂排放量（固体废物产生量）</w:t>
            </w:r>
            <w:r>
              <w:rPr>
                <w:b/>
                <w:bCs/>
              </w:rPr>
              <w:fldChar w:fldCharType="begin"/>
            </w:r>
            <w:r>
              <w:rPr>
                <w:b/>
                <w:bCs/>
              </w:rPr>
              <w:instrText xml:space="preserve"> = 6 \* GB3 \* MERGEFORMAT </w:instrText>
            </w:r>
            <w:r>
              <w:rPr>
                <w:b/>
                <w:bCs/>
              </w:rPr>
              <w:fldChar w:fldCharType="separate"/>
            </w:r>
            <w:r>
              <w:rPr>
                <w:b/>
                <w:bCs/>
              </w:rPr>
              <w:t>⑥</w:t>
            </w:r>
            <w:r>
              <w:rPr>
                <w:b/>
                <w:bCs/>
              </w:rPr>
              <w:fldChar w:fldCharType="end"/>
            </w:r>
          </w:p>
        </w:tc>
        <w:tc>
          <w:tcPr>
            <w:tcW w:w="1058" w:type="dxa"/>
            <w:noWrap w:val="0"/>
            <w:tcMar>
              <w:left w:w="28" w:type="dxa"/>
              <w:right w:w="28" w:type="dxa"/>
            </w:tcMar>
            <w:vAlign w:val="center"/>
          </w:tcPr>
          <w:p>
            <w:pPr>
              <w:pStyle w:val="165"/>
              <w:rPr>
                <w:b/>
                <w:bCs/>
              </w:rPr>
            </w:pPr>
            <w:r>
              <w:rPr>
                <w:b/>
                <w:bCs/>
              </w:rPr>
              <w:t>变化量</w:t>
            </w:r>
          </w:p>
          <w:p>
            <w:pPr>
              <w:pStyle w:val="165"/>
              <w:rPr>
                <w:b/>
                <w:bCs/>
              </w:rPr>
            </w:pPr>
            <w:r>
              <w:rPr>
                <w:b/>
                <w:bCs/>
              </w:rPr>
              <w:fldChar w:fldCharType="begin"/>
            </w:r>
            <w:r>
              <w:rPr>
                <w:b/>
                <w:bCs/>
              </w:rPr>
              <w:instrText xml:space="preserve"> = 7 \* GB3 \* MERGEFORMAT </w:instrText>
            </w:r>
            <w:r>
              <w:rPr>
                <w:b/>
                <w:bCs/>
              </w:rPr>
              <w:fldChar w:fldCharType="separate"/>
            </w:r>
            <w:r>
              <w:rPr>
                <w:b/>
                <w:bCs/>
              </w:rPr>
              <w:t>⑦</w:t>
            </w:r>
            <w:r>
              <w:rPr>
                <w:b/>
                <w:bCs/>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1588" w:type="dxa"/>
            <w:vMerge w:val="restart"/>
            <w:noWrap w:val="0"/>
            <w:vAlign w:val="center"/>
          </w:tcPr>
          <w:p>
            <w:pPr>
              <w:pStyle w:val="165"/>
            </w:pPr>
            <w:r>
              <w:t>废水</w:t>
            </w:r>
          </w:p>
        </w:tc>
        <w:tc>
          <w:tcPr>
            <w:tcW w:w="1417" w:type="dxa"/>
            <w:noWrap w:val="0"/>
            <w:vAlign w:val="center"/>
          </w:tcPr>
          <w:p>
            <w:pPr>
              <w:widowControl/>
              <w:jc w:val="center"/>
              <w:textAlignment w:val="center"/>
              <w:rPr>
                <w:color w:val="000000"/>
                <w:kern w:val="2"/>
                <w:sz w:val="21"/>
                <w:szCs w:val="21"/>
                <w:lang w:val="en-US" w:eastAsia="zh-CN" w:bidi="ar-SA"/>
              </w:rPr>
            </w:pPr>
            <w:r>
              <w:rPr>
                <w:kern w:val="0"/>
                <w:sz w:val="21"/>
                <w:szCs w:val="21"/>
                <w:lang w:bidi="ar"/>
              </w:rPr>
              <w:t>COD</w:t>
            </w:r>
          </w:p>
        </w:tc>
        <w:tc>
          <w:tcPr>
            <w:tcW w:w="1701" w:type="dxa"/>
            <w:noWrap w:val="0"/>
            <w:vAlign w:val="center"/>
          </w:tcPr>
          <w:p>
            <w:pPr>
              <w:jc w:val="center"/>
              <w:rPr>
                <w:rFonts w:hint="default" w:eastAsia="宋体"/>
                <w:color w:val="000000"/>
                <w:kern w:val="2"/>
                <w:sz w:val="21"/>
                <w:szCs w:val="21"/>
                <w:lang w:val="en-US" w:eastAsia="zh-CN" w:bidi="ar-SA"/>
              </w:rPr>
            </w:pPr>
            <w:r>
              <w:rPr>
                <w:rFonts w:hint="eastAsia" w:eastAsia="宋体"/>
                <w:color w:val="000000"/>
                <w:szCs w:val="21"/>
                <w:lang w:val="en-US" w:eastAsia="zh-CN"/>
              </w:rPr>
              <w:t>1.6907</w:t>
            </w:r>
          </w:p>
        </w:tc>
        <w:tc>
          <w:tcPr>
            <w:tcW w:w="1276" w:type="dxa"/>
            <w:noWrap w:val="0"/>
            <w:vAlign w:val="center"/>
          </w:tcPr>
          <w:p>
            <w:pPr>
              <w:pStyle w:val="165"/>
            </w:pPr>
            <w:r>
              <w:rPr>
                <w:rFonts w:hint="eastAsia"/>
              </w:rPr>
              <w:t>/</w:t>
            </w:r>
          </w:p>
        </w:tc>
        <w:tc>
          <w:tcPr>
            <w:tcW w:w="1701" w:type="dxa"/>
            <w:noWrap w:val="0"/>
            <w:vAlign w:val="center"/>
          </w:tcPr>
          <w:p>
            <w:pPr>
              <w:pStyle w:val="165"/>
            </w:pPr>
            <w:r>
              <w:rPr>
                <w:rFonts w:hint="eastAsia"/>
              </w:rPr>
              <w:t>/</w:t>
            </w:r>
          </w:p>
        </w:tc>
        <w:tc>
          <w:tcPr>
            <w:tcW w:w="1559" w:type="dxa"/>
            <w:noWrap w:val="0"/>
            <w:vAlign w:val="center"/>
          </w:tcPr>
          <w:p>
            <w:pPr>
              <w:jc w:val="center"/>
              <w:rPr>
                <w:rFonts w:hint="eastAsia" w:eastAsia="宋体"/>
                <w:color w:val="000000"/>
                <w:kern w:val="2"/>
                <w:sz w:val="21"/>
                <w:szCs w:val="21"/>
                <w:lang w:val="en-US" w:eastAsia="zh-CN" w:bidi="ar-SA"/>
              </w:rPr>
            </w:pPr>
            <w:r>
              <w:rPr>
                <w:rFonts w:hint="eastAsia" w:ascii="Times New Roman" w:hAnsi="Times New Roman" w:eastAsia="宋体"/>
                <w:b w:val="0"/>
                <w:bCs/>
                <w:color w:val="000000"/>
                <w:sz w:val="21"/>
                <w:szCs w:val="21"/>
                <w:vertAlign w:val="baseline"/>
                <w:lang w:val="en-US" w:eastAsia="zh-CN"/>
              </w:rPr>
              <w:t>2.6747</w:t>
            </w:r>
          </w:p>
        </w:tc>
        <w:tc>
          <w:tcPr>
            <w:tcW w:w="1566" w:type="dxa"/>
            <w:noWrap w:val="0"/>
            <w:vAlign w:val="center"/>
          </w:tcPr>
          <w:p>
            <w:pPr>
              <w:pStyle w:val="165"/>
              <w:rPr>
                <w:rFonts w:hint="eastAsia"/>
              </w:rPr>
            </w:pPr>
            <w:r>
              <w:rPr>
                <w:rFonts w:hint="eastAsia"/>
              </w:rPr>
              <w:t>/</w:t>
            </w:r>
          </w:p>
        </w:tc>
        <w:tc>
          <w:tcPr>
            <w:tcW w:w="1922" w:type="dxa"/>
            <w:noWrap w:val="0"/>
            <w:vAlign w:val="center"/>
          </w:tcPr>
          <w:p>
            <w:pPr>
              <w:pStyle w:val="185"/>
              <w:spacing w:line="240" w:lineRule="auto"/>
              <w:ind w:left="0" w:leftChars="0" w:firstLine="0" w:firstLineChars="0"/>
              <w:jc w:val="center"/>
              <w:rPr>
                <w:rFonts w:hint="eastAsia" w:eastAsia="宋体"/>
                <w:color w:val="000000"/>
                <w:kern w:val="2"/>
                <w:sz w:val="24"/>
                <w:szCs w:val="21"/>
                <w:lang w:val="en-US" w:eastAsia="zh-CN" w:bidi="ar-SA"/>
              </w:rPr>
            </w:pPr>
            <w:r>
              <w:rPr>
                <w:rFonts w:hint="eastAsia" w:ascii="Times New Roman" w:hAnsi="Times New Roman" w:eastAsia="宋体"/>
                <w:b w:val="0"/>
                <w:bCs/>
                <w:color w:val="000000"/>
                <w:sz w:val="21"/>
                <w:szCs w:val="21"/>
                <w:vertAlign w:val="baseline"/>
                <w:lang w:val="en-US" w:eastAsia="zh-CN"/>
              </w:rPr>
              <w:t>4.3654</w:t>
            </w:r>
          </w:p>
        </w:tc>
        <w:tc>
          <w:tcPr>
            <w:tcW w:w="1058" w:type="dxa"/>
            <w:noWrap w:val="0"/>
            <w:vAlign w:val="center"/>
          </w:tcPr>
          <w:p>
            <w:pPr>
              <w:jc w:val="center"/>
              <w:rPr>
                <w:rFonts w:hint="eastAsia" w:eastAsia="宋体"/>
                <w:color w:val="000000"/>
                <w:kern w:val="2"/>
                <w:sz w:val="21"/>
                <w:szCs w:val="21"/>
                <w:lang w:val="en-US" w:eastAsia="zh-CN" w:bidi="ar-SA"/>
              </w:rPr>
            </w:pPr>
            <w:r>
              <w:rPr>
                <w:rFonts w:hint="eastAsia" w:ascii="Times New Roman" w:hAnsi="Times New Roman" w:eastAsia="宋体"/>
                <w:b w:val="0"/>
                <w:bCs/>
                <w:color w:val="000000"/>
                <w:sz w:val="21"/>
                <w:szCs w:val="21"/>
                <w:vertAlign w:val="baseline"/>
                <w:lang w:val="en-US" w:eastAsia="zh-CN"/>
              </w:rPr>
              <w:t>+2.6747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1588" w:type="dxa"/>
            <w:vMerge w:val="continue"/>
            <w:noWrap w:val="0"/>
            <w:vAlign w:val="center"/>
          </w:tcPr>
          <w:p>
            <w:pPr>
              <w:pStyle w:val="165"/>
              <w:rPr>
                <w:rFonts w:hint="eastAsia"/>
              </w:rPr>
            </w:pPr>
          </w:p>
        </w:tc>
        <w:tc>
          <w:tcPr>
            <w:tcW w:w="1417" w:type="dxa"/>
            <w:noWrap w:val="0"/>
            <w:vAlign w:val="center"/>
          </w:tcPr>
          <w:p>
            <w:pPr>
              <w:widowControl/>
              <w:jc w:val="center"/>
              <w:textAlignment w:val="center"/>
              <w:rPr>
                <w:rFonts w:hint="eastAsia"/>
                <w:color w:val="000000"/>
                <w:kern w:val="2"/>
                <w:sz w:val="21"/>
                <w:szCs w:val="21"/>
                <w:lang w:val="en-US" w:eastAsia="zh-CN" w:bidi="ar-SA"/>
              </w:rPr>
            </w:pPr>
            <w:r>
              <w:rPr>
                <w:kern w:val="0"/>
                <w:sz w:val="21"/>
                <w:szCs w:val="21"/>
                <w:lang w:bidi="ar"/>
              </w:rPr>
              <w:t>BOD</w:t>
            </w:r>
            <w:r>
              <w:rPr>
                <w:kern w:val="0"/>
                <w:sz w:val="21"/>
                <w:szCs w:val="21"/>
                <w:vertAlign w:val="subscript"/>
                <w:lang w:bidi="ar"/>
              </w:rPr>
              <w:t>5</w:t>
            </w:r>
          </w:p>
        </w:tc>
        <w:tc>
          <w:tcPr>
            <w:tcW w:w="1701" w:type="dxa"/>
            <w:noWrap w:val="0"/>
            <w:vAlign w:val="center"/>
          </w:tcPr>
          <w:p>
            <w:pPr>
              <w:jc w:val="center"/>
              <w:rPr>
                <w:rFonts w:hint="eastAsia" w:eastAsia="宋体"/>
                <w:color w:val="000000"/>
                <w:kern w:val="2"/>
                <w:sz w:val="21"/>
                <w:szCs w:val="21"/>
                <w:lang w:val="en-US" w:eastAsia="zh-CN" w:bidi="ar-SA"/>
              </w:rPr>
            </w:pPr>
            <w:r>
              <w:rPr>
                <w:rFonts w:hint="eastAsia" w:ascii="Times New Roman" w:hAnsi="Times New Roman" w:eastAsia="宋体"/>
                <w:b w:val="0"/>
                <w:bCs/>
                <w:color w:val="000000"/>
                <w:sz w:val="21"/>
                <w:szCs w:val="21"/>
                <w:vertAlign w:val="baseline"/>
                <w:lang w:val="en-US" w:eastAsia="zh-CN"/>
              </w:rPr>
              <w:t>0.6763</w:t>
            </w:r>
          </w:p>
        </w:tc>
        <w:tc>
          <w:tcPr>
            <w:tcW w:w="1276" w:type="dxa"/>
            <w:noWrap w:val="0"/>
            <w:vAlign w:val="center"/>
          </w:tcPr>
          <w:p>
            <w:pPr>
              <w:pStyle w:val="165"/>
              <w:rPr>
                <w:rFonts w:hint="eastAsia"/>
              </w:rPr>
            </w:pPr>
            <w:r>
              <w:rPr>
                <w:rFonts w:hint="eastAsia"/>
              </w:rPr>
              <w:t>/</w:t>
            </w:r>
          </w:p>
        </w:tc>
        <w:tc>
          <w:tcPr>
            <w:tcW w:w="1701" w:type="dxa"/>
            <w:noWrap w:val="0"/>
            <w:vAlign w:val="center"/>
          </w:tcPr>
          <w:p>
            <w:pPr>
              <w:pStyle w:val="165"/>
              <w:rPr>
                <w:rFonts w:hint="eastAsia"/>
              </w:rPr>
            </w:pPr>
            <w:r>
              <w:rPr>
                <w:rFonts w:hint="eastAsia"/>
              </w:rPr>
              <w:t>/</w:t>
            </w:r>
          </w:p>
        </w:tc>
        <w:tc>
          <w:tcPr>
            <w:tcW w:w="1559" w:type="dxa"/>
            <w:noWrap w:val="0"/>
            <w:vAlign w:val="center"/>
          </w:tcPr>
          <w:p>
            <w:pPr>
              <w:jc w:val="center"/>
              <w:rPr>
                <w:rFonts w:hint="eastAsia" w:eastAsia="宋体"/>
                <w:color w:val="000000"/>
                <w:kern w:val="2"/>
                <w:sz w:val="21"/>
                <w:szCs w:val="21"/>
                <w:lang w:val="en-US" w:eastAsia="zh-CN" w:bidi="ar-SA"/>
              </w:rPr>
            </w:pPr>
            <w:r>
              <w:rPr>
                <w:rFonts w:hint="eastAsia" w:ascii="Times New Roman" w:hAnsi="Times New Roman" w:eastAsia="宋体"/>
                <w:b w:val="0"/>
                <w:bCs/>
                <w:color w:val="000000"/>
                <w:sz w:val="21"/>
                <w:szCs w:val="21"/>
                <w:vertAlign w:val="baseline"/>
                <w:lang w:val="en-US" w:eastAsia="zh-CN"/>
              </w:rPr>
              <w:t>1.0699</w:t>
            </w:r>
          </w:p>
        </w:tc>
        <w:tc>
          <w:tcPr>
            <w:tcW w:w="1566" w:type="dxa"/>
            <w:noWrap w:val="0"/>
            <w:vAlign w:val="center"/>
          </w:tcPr>
          <w:p>
            <w:pPr>
              <w:pStyle w:val="165"/>
              <w:rPr>
                <w:rFonts w:hint="eastAsia"/>
              </w:rPr>
            </w:pPr>
            <w:r>
              <w:rPr>
                <w:rFonts w:hint="eastAsia"/>
              </w:rPr>
              <w:t>/</w:t>
            </w:r>
          </w:p>
        </w:tc>
        <w:tc>
          <w:tcPr>
            <w:tcW w:w="1922" w:type="dxa"/>
            <w:noWrap w:val="0"/>
            <w:vAlign w:val="center"/>
          </w:tcPr>
          <w:p>
            <w:pPr>
              <w:pStyle w:val="185"/>
              <w:spacing w:line="240" w:lineRule="auto"/>
              <w:ind w:left="0" w:leftChars="0" w:firstLine="0" w:firstLineChars="0"/>
              <w:jc w:val="center"/>
              <w:rPr>
                <w:rFonts w:hint="eastAsia" w:eastAsia="宋体"/>
                <w:kern w:val="2"/>
                <w:sz w:val="24"/>
                <w:szCs w:val="24"/>
                <w:lang w:val="en-US" w:eastAsia="zh-CN" w:bidi="ar-SA"/>
              </w:rPr>
            </w:pPr>
            <w:r>
              <w:rPr>
                <w:rFonts w:hint="eastAsia" w:ascii="Times New Roman" w:hAnsi="Times New Roman" w:eastAsia="宋体"/>
                <w:b w:val="0"/>
                <w:bCs/>
                <w:color w:val="000000"/>
                <w:sz w:val="21"/>
                <w:szCs w:val="21"/>
                <w:vertAlign w:val="baseline"/>
                <w:lang w:val="en-US" w:eastAsia="zh-CN"/>
              </w:rPr>
              <w:t>1.7462</w:t>
            </w:r>
          </w:p>
        </w:tc>
        <w:tc>
          <w:tcPr>
            <w:tcW w:w="1058" w:type="dxa"/>
            <w:noWrap w:val="0"/>
            <w:vAlign w:val="center"/>
          </w:tcPr>
          <w:p>
            <w:pPr>
              <w:jc w:val="center"/>
              <w:rPr>
                <w:rFonts w:hint="eastAsia" w:eastAsia="宋体"/>
                <w:color w:val="000000"/>
                <w:kern w:val="2"/>
                <w:sz w:val="21"/>
                <w:szCs w:val="21"/>
                <w:lang w:val="en-US" w:eastAsia="zh-CN" w:bidi="ar-SA"/>
              </w:rPr>
            </w:pPr>
            <w:r>
              <w:rPr>
                <w:rFonts w:hint="eastAsia" w:ascii="Times New Roman" w:hAnsi="Times New Roman" w:eastAsia="宋体"/>
                <w:b w:val="0"/>
                <w:bCs/>
                <w:color w:val="000000"/>
                <w:sz w:val="21"/>
                <w:szCs w:val="21"/>
                <w:vertAlign w:val="baseline"/>
                <w:lang w:val="en-US" w:eastAsia="zh-CN"/>
              </w:rPr>
              <w:t>+1.0699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1588" w:type="dxa"/>
            <w:vMerge w:val="continue"/>
            <w:noWrap w:val="0"/>
            <w:vAlign w:val="center"/>
          </w:tcPr>
          <w:p>
            <w:pPr>
              <w:pStyle w:val="165"/>
              <w:rPr>
                <w:rFonts w:hint="eastAsia"/>
              </w:rPr>
            </w:pPr>
          </w:p>
        </w:tc>
        <w:tc>
          <w:tcPr>
            <w:tcW w:w="1417" w:type="dxa"/>
            <w:noWrap w:val="0"/>
            <w:vAlign w:val="center"/>
          </w:tcPr>
          <w:p>
            <w:pPr>
              <w:widowControl/>
              <w:jc w:val="center"/>
              <w:textAlignment w:val="center"/>
              <w:rPr>
                <w:rFonts w:hint="eastAsia"/>
                <w:color w:val="000000"/>
                <w:kern w:val="2"/>
                <w:sz w:val="21"/>
                <w:szCs w:val="21"/>
                <w:lang w:val="en-US" w:eastAsia="zh-CN" w:bidi="ar-SA"/>
              </w:rPr>
            </w:pPr>
            <w:r>
              <w:rPr>
                <w:kern w:val="0"/>
                <w:sz w:val="21"/>
                <w:szCs w:val="21"/>
                <w:lang w:bidi="ar"/>
              </w:rPr>
              <w:t>SS</w:t>
            </w:r>
          </w:p>
        </w:tc>
        <w:tc>
          <w:tcPr>
            <w:tcW w:w="1701" w:type="dxa"/>
            <w:noWrap w:val="0"/>
            <w:vAlign w:val="center"/>
          </w:tcPr>
          <w:p>
            <w:pPr>
              <w:jc w:val="center"/>
              <w:rPr>
                <w:rFonts w:hint="eastAsia" w:eastAsia="宋体"/>
                <w:color w:val="000000"/>
                <w:kern w:val="2"/>
                <w:sz w:val="21"/>
                <w:szCs w:val="21"/>
                <w:lang w:val="en-US" w:eastAsia="zh-CN" w:bidi="ar-SA"/>
              </w:rPr>
            </w:pPr>
            <w:r>
              <w:rPr>
                <w:rFonts w:hint="eastAsia" w:ascii="Times New Roman" w:hAnsi="Times New Roman" w:eastAsia="宋体"/>
                <w:b w:val="0"/>
                <w:bCs/>
                <w:color w:val="000000"/>
                <w:sz w:val="21"/>
                <w:szCs w:val="21"/>
                <w:vertAlign w:val="baseline"/>
                <w:lang w:val="en-US" w:eastAsia="zh-CN"/>
              </w:rPr>
              <w:t>0.4058</w:t>
            </w:r>
          </w:p>
        </w:tc>
        <w:tc>
          <w:tcPr>
            <w:tcW w:w="1276" w:type="dxa"/>
            <w:noWrap w:val="0"/>
            <w:vAlign w:val="center"/>
          </w:tcPr>
          <w:p>
            <w:pPr>
              <w:pStyle w:val="165"/>
              <w:rPr>
                <w:rFonts w:hint="eastAsia"/>
              </w:rPr>
            </w:pPr>
            <w:r>
              <w:rPr>
                <w:rFonts w:hint="eastAsia"/>
              </w:rPr>
              <w:t>/</w:t>
            </w:r>
          </w:p>
        </w:tc>
        <w:tc>
          <w:tcPr>
            <w:tcW w:w="1701" w:type="dxa"/>
            <w:noWrap w:val="0"/>
            <w:vAlign w:val="center"/>
          </w:tcPr>
          <w:p>
            <w:pPr>
              <w:pStyle w:val="165"/>
              <w:rPr>
                <w:rFonts w:hint="eastAsia"/>
              </w:rPr>
            </w:pPr>
            <w:r>
              <w:rPr>
                <w:rFonts w:hint="eastAsia"/>
              </w:rPr>
              <w:t>/</w:t>
            </w:r>
          </w:p>
        </w:tc>
        <w:tc>
          <w:tcPr>
            <w:tcW w:w="1559" w:type="dxa"/>
            <w:noWrap w:val="0"/>
            <w:vAlign w:val="center"/>
          </w:tcPr>
          <w:p>
            <w:pPr>
              <w:jc w:val="center"/>
              <w:rPr>
                <w:rFonts w:hint="eastAsia" w:eastAsia="宋体"/>
                <w:color w:val="000000"/>
                <w:kern w:val="2"/>
                <w:sz w:val="21"/>
                <w:szCs w:val="21"/>
                <w:lang w:val="en-US" w:eastAsia="zh-CN" w:bidi="ar-SA"/>
              </w:rPr>
            </w:pPr>
            <w:r>
              <w:rPr>
                <w:rFonts w:hint="eastAsia" w:ascii="Times New Roman" w:hAnsi="Times New Roman" w:eastAsia="宋体"/>
                <w:b w:val="0"/>
                <w:bCs/>
                <w:color w:val="000000"/>
                <w:sz w:val="21"/>
                <w:szCs w:val="21"/>
                <w:vertAlign w:val="baseline"/>
                <w:lang w:val="en-US" w:eastAsia="zh-CN"/>
              </w:rPr>
              <w:t>0.6419</w:t>
            </w:r>
          </w:p>
        </w:tc>
        <w:tc>
          <w:tcPr>
            <w:tcW w:w="1566" w:type="dxa"/>
            <w:noWrap w:val="0"/>
            <w:vAlign w:val="center"/>
          </w:tcPr>
          <w:p>
            <w:pPr>
              <w:pStyle w:val="165"/>
              <w:rPr>
                <w:rFonts w:hint="eastAsia"/>
              </w:rPr>
            </w:pPr>
            <w:r>
              <w:rPr>
                <w:rFonts w:hint="eastAsia"/>
              </w:rPr>
              <w:t>/</w:t>
            </w:r>
          </w:p>
        </w:tc>
        <w:tc>
          <w:tcPr>
            <w:tcW w:w="1922" w:type="dxa"/>
            <w:noWrap w:val="0"/>
            <w:vAlign w:val="center"/>
          </w:tcPr>
          <w:p>
            <w:pPr>
              <w:pStyle w:val="185"/>
              <w:spacing w:line="240" w:lineRule="auto"/>
              <w:ind w:left="0" w:leftChars="0" w:firstLine="0" w:firstLineChars="0"/>
              <w:jc w:val="center"/>
              <w:rPr>
                <w:rFonts w:hint="eastAsia" w:eastAsia="宋体"/>
                <w:color w:val="000000"/>
                <w:kern w:val="2"/>
                <w:sz w:val="24"/>
                <w:szCs w:val="21"/>
                <w:lang w:val="en-US" w:eastAsia="zh-CN" w:bidi="ar-SA"/>
              </w:rPr>
            </w:pPr>
            <w:r>
              <w:rPr>
                <w:rFonts w:hint="eastAsia" w:ascii="Times New Roman" w:hAnsi="Times New Roman" w:eastAsia="宋体"/>
                <w:b w:val="0"/>
                <w:bCs/>
                <w:color w:val="000000"/>
                <w:sz w:val="21"/>
                <w:szCs w:val="21"/>
                <w:vertAlign w:val="baseline"/>
                <w:lang w:val="en-US" w:eastAsia="zh-CN"/>
              </w:rPr>
              <w:t>1.0477</w:t>
            </w:r>
          </w:p>
        </w:tc>
        <w:tc>
          <w:tcPr>
            <w:tcW w:w="1058" w:type="dxa"/>
            <w:noWrap w:val="0"/>
            <w:vAlign w:val="center"/>
          </w:tcPr>
          <w:p>
            <w:pPr>
              <w:jc w:val="center"/>
              <w:rPr>
                <w:rFonts w:hint="eastAsia" w:eastAsia="宋体"/>
                <w:color w:val="000000"/>
                <w:kern w:val="2"/>
                <w:sz w:val="21"/>
                <w:szCs w:val="21"/>
                <w:lang w:val="en-US" w:eastAsia="zh-CN" w:bidi="ar-SA"/>
              </w:rPr>
            </w:pPr>
            <w:r>
              <w:rPr>
                <w:rFonts w:hint="eastAsia" w:ascii="Times New Roman" w:hAnsi="Times New Roman" w:eastAsia="宋体"/>
                <w:b w:val="0"/>
                <w:bCs/>
                <w:color w:val="000000"/>
                <w:sz w:val="21"/>
                <w:szCs w:val="21"/>
                <w:vertAlign w:val="baseline"/>
                <w:lang w:val="en-US" w:eastAsia="zh-CN"/>
              </w:rPr>
              <w:t>+0.6419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1588" w:type="dxa"/>
            <w:vMerge w:val="continue"/>
            <w:noWrap w:val="0"/>
            <w:vAlign w:val="center"/>
          </w:tcPr>
          <w:p>
            <w:pPr>
              <w:pStyle w:val="165"/>
              <w:rPr>
                <w:rFonts w:hint="eastAsia"/>
              </w:rPr>
            </w:pPr>
          </w:p>
        </w:tc>
        <w:tc>
          <w:tcPr>
            <w:tcW w:w="1417" w:type="dxa"/>
            <w:noWrap w:val="0"/>
            <w:vAlign w:val="center"/>
          </w:tcPr>
          <w:p>
            <w:pPr>
              <w:widowControl/>
              <w:jc w:val="center"/>
              <w:textAlignment w:val="center"/>
              <w:rPr>
                <w:rFonts w:hint="eastAsia"/>
                <w:color w:val="000000"/>
                <w:kern w:val="2"/>
                <w:sz w:val="21"/>
                <w:szCs w:val="21"/>
                <w:lang w:val="en-US" w:eastAsia="zh-CN" w:bidi="ar-SA"/>
              </w:rPr>
            </w:pPr>
            <w:r>
              <w:rPr>
                <w:kern w:val="0"/>
                <w:sz w:val="21"/>
                <w:szCs w:val="21"/>
                <w:lang w:bidi="ar"/>
              </w:rPr>
              <w:t>NH</w:t>
            </w:r>
            <w:r>
              <w:rPr>
                <w:kern w:val="0"/>
                <w:sz w:val="21"/>
                <w:szCs w:val="21"/>
                <w:vertAlign w:val="subscript"/>
                <w:lang w:bidi="ar"/>
              </w:rPr>
              <w:t>3</w:t>
            </w:r>
            <w:r>
              <w:rPr>
                <w:kern w:val="0"/>
                <w:sz w:val="21"/>
                <w:szCs w:val="21"/>
                <w:lang w:bidi="ar"/>
              </w:rPr>
              <w:t>-N</w:t>
            </w:r>
          </w:p>
        </w:tc>
        <w:tc>
          <w:tcPr>
            <w:tcW w:w="1701" w:type="dxa"/>
            <w:noWrap w:val="0"/>
            <w:vAlign w:val="center"/>
          </w:tcPr>
          <w:p>
            <w:pPr>
              <w:jc w:val="center"/>
              <w:rPr>
                <w:rFonts w:hint="eastAsia" w:eastAsia="宋体"/>
                <w:color w:val="000000"/>
                <w:kern w:val="2"/>
                <w:sz w:val="21"/>
                <w:szCs w:val="21"/>
                <w:lang w:val="en-US" w:eastAsia="zh-CN" w:bidi="ar-SA"/>
              </w:rPr>
            </w:pPr>
            <w:r>
              <w:rPr>
                <w:rFonts w:hint="eastAsia" w:ascii="Times New Roman" w:hAnsi="Times New Roman" w:eastAsia="宋体"/>
                <w:b w:val="0"/>
                <w:bCs/>
                <w:color w:val="000000"/>
                <w:sz w:val="21"/>
                <w:szCs w:val="21"/>
                <w:vertAlign w:val="baseline"/>
                <w:lang w:val="en-US" w:eastAsia="zh-CN"/>
              </w:rPr>
              <w:t>0.3040</w:t>
            </w:r>
          </w:p>
        </w:tc>
        <w:tc>
          <w:tcPr>
            <w:tcW w:w="1276" w:type="dxa"/>
            <w:noWrap w:val="0"/>
            <w:vAlign w:val="center"/>
          </w:tcPr>
          <w:p>
            <w:pPr>
              <w:pStyle w:val="165"/>
              <w:rPr>
                <w:rFonts w:hint="eastAsia"/>
              </w:rPr>
            </w:pPr>
            <w:r>
              <w:rPr>
                <w:rFonts w:hint="eastAsia"/>
              </w:rPr>
              <w:t>/</w:t>
            </w:r>
          </w:p>
        </w:tc>
        <w:tc>
          <w:tcPr>
            <w:tcW w:w="1701" w:type="dxa"/>
            <w:noWrap w:val="0"/>
            <w:vAlign w:val="center"/>
          </w:tcPr>
          <w:p>
            <w:pPr>
              <w:pStyle w:val="165"/>
              <w:rPr>
                <w:rFonts w:hint="eastAsia"/>
              </w:rPr>
            </w:pPr>
            <w:r>
              <w:rPr>
                <w:rFonts w:hint="eastAsia"/>
              </w:rPr>
              <w:t>/</w:t>
            </w:r>
          </w:p>
        </w:tc>
        <w:tc>
          <w:tcPr>
            <w:tcW w:w="1559" w:type="dxa"/>
            <w:noWrap w:val="0"/>
            <w:vAlign w:val="center"/>
          </w:tcPr>
          <w:p>
            <w:pPr>
              <w:jc w:val="center"/>
              <w:rPr>
                <w:rFonts w:hint="eastAsia" w:eastAsia="宋体"/>
                <w:color w:val="000000"/>
                <w:kern w:val="2"/>
                <w:sz w:val="21"/>
                <w:szCs w:val="21"/>
                <w:lang w:val="en-US" w:eastAsia="zh-CN" w:bidi="ar-SA"/>
              </w:rPr>
            </w:pPr>
            <w:r>
              <w:rPr>
                <w:rFonts w:hint="eastAsia" w:ascii="Times New Roman" w:hAnsi="Times New Roman" w:eastAsia="宋体"/>
                <w:b w:val="0"/>
                <w:bCs/>
                <w:color w:val="000000"/>
                <w:sz w:val="21"/>
                <w:szCs w:val="21"/>
                <w:vertAlign w:val="baseline"/>
                <w:lang w:val="en-US" w:eastAsia="zh-CN"/>
              </w:rPr>
              <w:t>0.4814</w:t>
            </w:r>
          </w:p>
        </w:tc>
        <w:tc>
          <w:tcPr>
            <w:tcW w:w="1566" w:type="dxa"/>
            <w:noWrap w:val="0"/>
            <w:vAlign w:val="center"/>
          </w:tcPr>
          <w:p>
            <w:pPr>
              <w:pStyle w:val="165"/>
              <w:rPr>
                <w:rFonts w:hint="eastAsia"/>
              </w:rPr>
            </w:pPr>
            <w:r>
              <w:rPr>
                <w:rFonts w:hint="eastAsia"/>
              </w:rPr>
              <w:t>/</w:t>
            </w:r>
          </w:p>
        </w:tc>
        <w:tc>
          <w:tcPr>
            <w:tcW w:w="1922" w:type="dxa"/>
            <w:noWrap w:val="0"/>
            <w:vAlign w:val="center"/>
          </w:tcPr>
          <w:p>
            <w:pPr>
              <w:pStyle w:val="185"/>
              <w:spacing w:line="240" w:lineRule="auto"/>
              <w:ind w:left="0" w:leftChars="0" w:firstLine="0" w:firstLineChars="0"/>
              <w:jc w:val="center"/>
              <w:rPr>
                <w:rFonts w:hint="eastAsia" w:eastAsia="宋体"/>
                <w:color w:val="000000"/>
                <w:kern w:val="2"/>
                <w:sz w:val="24"/>
                <w:szCs w:val="21"/>
                <w:lang w:val="en-US" w:eastAsia="zh-CN" w:bidi="ar-SA"/>
              </w:rPr>
            </w:pPr>
            <w:r>
              <w:rPr>
                <w:rFonts w:hint="eastAsia" w:ascii="Times New Roman" w:hAnsi="Times New Roman" w:eastAsia="宋体"/>
                <w:b w:val="0"/>
                <w:bCs/>
                <w:color w:val="000000"/>
                <w:sz w:val="21"/>
                <w:szCs w:val="21"/>
                <w:vertAlign w:val="baseline"/>
                <w:lang w:val="en-US" w:eastAsia="zh-CN"/>
              </w:rPr>
              <w:t>0.7858</w:t>
            </w:r>
          </w:p>
        </w:tc>
        <w:tc>
          <w:tcPr>
            <w:tcW w:w="1058" w:type="dxa"/>
            <w:noWrap w:val="0"/>
            <w:vAlign w:val="center"/>
          </w:tcPr>
          <w:p>
            <w:pPr>
              <w:jc w:val="center"/>
              <w:rPr>
                <w:rFonts w:hint="eastAsia" w:eastAsia="宋体"/>
                <w:color w:val="000000"/>
                <w:kern w:val="2"/>
                <w:sz w:val="21"/>
                <w:szCs w:val="21"/>
                <w:lang w:val="en-US" w:eastAsia="zh-CN" w:bidi="ar-SA"/>
              </w:rPr>
            </w:pPr>
            <w:r>
              <w:rPr>
                <w:rFonts w:hint="eastAsia" w:ascii="Times New Roman" w:hAnsi="Times New Roman" w:eastAsia="宋体"/>
                <w:b w:val="0"/>
                <w:bCs/>
                <w:color w:val="000000"/>
                <w:sz w:val="21"/>
                <w:szCs w:val="21"/>
                <w:vertAlign w:val="baseline"/>
                <w:lang w:val="en-US" w:eastAsia="zh-CN"/>
              </w:rPr>
              <w:t>+0.4814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165"/>
              <w:rPr>
                <w:rFonts w:hint="eastAsia"/>
              </w:rPr>
            </w:pPr>
            <w:r>
              <w:rPr>
                <w:rFonts w:hint="eastAsia"/>
              </w:rPr>
              <w:t>废气</w:t>
            </w:r>
          </w:p>
        </w:tc>
        <w:tc>
          <w:tcPr>
            <w:tcW w:w="1417" w:type="dxa"/>
            <w:noWrap w:val="0"/>
            <w:vAlign w:val="center"/>
          </w:tcPr>
          <w:p>
            <w:pPr>
              <w:pStyle w:val="165"/>
              <w:rPr>
                <w:rFonts w:hint="eastAsia"/>
              </w:rPr>
            </w:pPr>
            <w:r>
              <w:rPr>
                <w:rFonts w:hint="eastAsia"/>
              </w:rPr>
              <w:t>NH</w:t>
            </w:r>
            <w:r>
              <w:rPr>
                <w:rFonts w:hint="eastAsia"/>
                <w:vertAlign w:val="subscript"/>
              </w:rPr>
              <w:t>3</w:t>
            </w:r>
          </w:p>
        </w:tc>
        <w:tc>
          <w:tcPr>
            <w:tcW w:w="1701" w:type="dxa"/>
            <w:noWrap w:val="0"/>
            <w:vAlign w:val="center"/>
          </w:tcPr>
          <w:p>
            <w:pPr>
              <w:widowControl/>
              <w:jc w:val="center"/>
              <w:textAlignment w:val="center"/>
              <w:rPr>
                <w:rFonts w:hint="eastAsia"/>
                <w:color w:val="000000"/>
                <w:kern w:val="2"/>
                <w:sz w:val="21"/>
                <w:szCs w:val="21"/>
                <w:lang w:val="en-US" w:eastAsia="zh-CN" w:bidi="ar-SA"/>
              </w:rPr>
            </w:pPr>
            <w:r>
              <w:rPr>
                <w:rFonts w:hint="eastAsia"/>
                <w:color w:val="000000"/>
                <w:kern w:val="0"/>
                <w:szCs w:val="21"/>
                <w:lang w:bidi="ar"/>
              </w:rPr>
              <w:t>0.987</w:t>
            </w:r>
          </w:p>
        </w:tc>
        <w:tc>
          <w:tcPr>
            <w:tcW w:w="1276" w:type="dxa"/>
            <w:noWrap w:val="0"/>
            <w:vAlign w:val="center"/>
          </w:tcPr>
          <w:p>
            <w:pPr>
              <w:pStyle w:val="165"/>
              <w:rPr>
                <w:rFonts w:hint="eastAsia"/>
              </w:rPr>
            </w:pPr>
            <w:r>
              <w:rPr>
                <w:rFonts w:hint="eastAsia"/>
              </w:rPr>
              <w:t>/</w:t>
            </w:r>
          </w:p>
        </w:tc>
        <w:tc>
          <w:tcPr>
            <w:tcW w:w="1701" w:type="dxa"/>
            <w:noWrap w:val="0"/>
            <w:vAlign w:val="center"/>
          </w:tcPr>
          <w:p>
            <w:pPr>
              <w:pStyle w:val="165"/>
              <w:rPr>
                <w:rFonts w:hint="eastAsia"/>
              </w:rPr>
            </w:pPr>
            <w:r>
              <w:rPr>
                <w:rFonts w:hint="eastAsia"/>
              </w:rPr>
              <w:t>/</w:t>
            </w:r>
          </w:p>
        </w:tc>
        <w:tc>
          <w:tcPr>
            <w:tcW w:w="1559" w:type="dxa"/>
            <w:noWrap w:val="0"/>
            <w:vAlign w:val="center"/>
          </w:tcPr>
          <w:p>
            <w:pPr>
              <w:autoSpaceDE w:val="0"/>
              <w:autoSpaceDN w:val="0"/>
              <w:jc w:val="center"/>
              <w:rPr>
                <w:rFonts w:hint="eastAsia"/>
                <w:color w:val="000000"/>
                <w:kern w:val="2"/>
                <w:sz w:val="21"/>
                <w:szCs w:val="21"/>
                <w:lang w:val="en-US" w:eastAsia="zh-CN" w:bidi="ar-SA"/>
              </w:rPr>
            </w:pPr>
            <w:r>
              <w:rPr>
                <w:rFonts w:hint="eastAsia"/>
                <w:color w:val="000000"/>
                <w:szCs w:val="21"/>
              </w:rPr>
              <w:t>0</w:t>
            </w:r>
          </w:p>
        </w:tc>
        <w:tc>
          <w:tcPr>
            <w:tcW w:w="1566" w:type="dxa"/>
            <w:noWrap w:val="0"/>
            <w:vAlign w:val="center"/>
          </w:tcPr>
          <w:p>
            <w:pPr>
              <w:pStyle w:val="165"/>
              <w:rPr>
                <w:rFonts w:hint="eastAsia"/>
              </w:rPr>
            </w:pPr>
            <w:r>
              <w:rPr>
                <w:rFonts w:hint="eastAsia"/>
              </w:rPr>
              <w:t>/</w:t>
            </w:r>
          </w:p>
        </w:tc>
        <w:tc>
          <w:tcPr>
            <w:tcW w:w="1922" w:type="dxa"/>
            <w:noWrap w:val="0"/>
            <w:vAlign w:val="center"/>
          </w:tcPr>
          <w:p>
            <w:pPr>
              <w:widowControl/>
              <w:jc w:val="center"/>
              <w:textAlignment w:val="center"/>
              <w:rPr>
                <w:rFonts w:hint="eastAsia"/>
                <w:color w:val="000000"/>
                <w:kern w:val="2"/>
                <w:sz w:val="21"/>
                <w:szCs w:val="21"/>
                <w:lang w:val="en-US" w:eastAsia="zh-CN" w:bidi="ar-SA"/>
              </w:rPr>
            </w:pPr>
            <w:r>
              <w:rPr>
                <w:rFonts w:hint="eastAsia"/>
                <w:color w:val="000000"/>
                <w:kern w:val="0"/>
                <w:szCs w:val="21"/>
                <w:lang w:bidi="ar"/>
              </w:rPr>
              <w:t>0.987</w:t>
            </w:r>
          </w:p>
        </w:tc>
        <w:tc>
          <w:tcPr>
            <w:tcW w:w="1058" w:type="dxa"/>
            <w:noWrap w:val="0"/>
            <w:vAlign w:val="center"/>
          </w:tcPr>
          <w:p>
            <w:pPr>
              <w:autoSpaceDE w:val="0"/>
              <w:autoSpaceDN w:val="0"/>
              <w:jc w:val="center"/>
              <w:rPr>
                <w:rFonts w:hint="eastAsia"/>
                <w:color w:val="000000"/>
                <w:kern w:val="2"/>
                <w:sz w:val="21"/>
                <w:szCs w:val="21"/>
                <w:lang w:val="en-US" w:eastAsia="zh-CN" w:bidi="ar-SA"/>
              </w:rPr>
            </w:pPr>
            <w:r>
              <w:rPr>
                <w:rFonts w:hint="eastAsia"/>
                <w:color w:val="000000"/>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165"/>
              <w:rPr>
                <w:rFonts w:hint="eastAsia"/>
              </w:rPr>
            </w:pPr>
          </w:p>
        </w:tc>
        <w:tc>
          <w:tcPr>
            <w:tcW w:w="1417" w:type="dxa"/>
            <w:noWrap w:val="0"/>
            <w:vAlign w:val="center"/>
          </w:tcPr>
          <w:p>
            <w:pPr>
              <w:pStyle w:val="165"/>
              <w:rPr>
                <w:rFonts w:hint="eastAsia"/>
              </w:rPr>
            </w:pPr>
            <w:r>
              <w:rPr>
                <w:rFonts w:hint="eastAsia"/>
              </w:rPr>
              <w:t>H</w:t>
            </w:r>
            <w:r>
              <w:rPr>
                <w:rFonts w:hint="eastAsia"/>
                <w:vertAlign w:val="subscript"/>
              </w:rPr>
              <w:t>2</w:t>
            </w:r>
            <w:r>
              <w:rPr>
                <w:rFonts w:hint="eastAsia"/>
              </w:rPr>
              <w:t>S</w:t>
            </w:r>
          </w:p>
        </w:tc>
        <w:tc>
          <w:tcPr>
            <w:tcW w:w="1701" w:type="dxa"/>
            <w:noWrap w:val="0"/>
            <w:vAlign w:val="center"/>
          </w:tcPr>
          <w:p>
            <w:pPr>
              <w:widowControl/>
              <w:jc w:val="center"/>
              <w:textAlignment w:val="center"/>
              <w:rPr>
                <w:rFonts w:hint="eastAsia"/>
                <w:color w:val="000000"/>
                <w:kern w:val="2"/>
                <w:sz w:val="21"/>
                <w:szCs w:val="21"/>
                <w:lang w:val="en-US" w:eastAsia="zh-CN" w:bidi="ar-SA"/>
              </w:rPr>
            </w:pPr>
            <w:r>
              <w:rPr>
                <w:rFonts w:hint="eastAsia"/>
                <w:color w:val="000000"/>
                <w:kern w:val="0"/>
                <w:szCs w:val="21"/>
                <w:lang w:bidi="ar"/>
              </w:rPr>
              <w:t>0.00085</w:t>
            </w:r>
          </w:p>
        </w:tc>
        <w:tc>
          <w:tcPr>
            <w:tcW w:w="1276" w:type="dxa"/>
            <w:noWrap w:val="0"/>
            <w:vAlign w:val="center"/>
          </w:tcPr>
          <w:p>
            <w:pPr>
              <w:pStyle w:val="165"/>
              <w:rPr>
                <w:rFonts w:hint="eastAsia"/>
              </w:rPr>
            </w:pPr>
            <w:r>
              <w:rPr>
                <w:rFonts w:hint="eastAsia"/>
              </w:rPr>
              <w:t>/</w:t>
            </w:r>
          </w:p>
        </w:tc>
        <w:tc>
          <w:tcPr>
            <w:tcW w:w="1701" w:type="dxa"/>
            <w:noWrap w:val="0"/>
            <w:vAlign w:val="center"/>
          </w:tcPr>
          <w:p>
            <w:pPr>
              <w:pStyle w:val="165"/>
              <w:rPr>
                <w:rFonts w:hint="eastAsia"/>
              </w:rPr>
            </w:pPr>
            <w:r>
              <w:rPr>
                <w:rFonts w:hint="eastAsia"/>
              </w:rPr>
              <w:t>/</w:t>
            </w:r>
          </w:p>
        </w:tc>
        <w:tc>
          <w:tcPr>
            <w:tcW w:w="1559" w:type="dxa"/>
            <w:noWrap w:val="0"/>
            <w:vAlign w:val="center"/>
          </w:tcPr>
          <w:p>
            <w:pPr>
              <w:autoSpaceDE w:val="0"/>
              <w:autoSpaceDN w:val="0"/>
              <w:jc w:val="center"/>
              <w:rPr>
                <w:rFonts w:hint="eastAsia"/>
                <w:color w:val="000000"/>
                <w:kern w:val="2"/>
                <w:sz w:val="21"/>
                <w:szCs w:val="21"/>
                <w:lang w:val="en-US" w:eastAsia="zh-CN" w:bidi="ar-SA"/>
              </w:rPr>
            </w:pPr>
            <w:r>
              <w:rPr>
                <w:rFonts w:hint="eastAsia"/>
                <w:color w:val="000000"/>
                <w:szCs w:val="21"/>
              </w:rPr>
              <w:t>0</w:t>
            </w:r>
          </w:p>
        </w:tc>
        <w:tc>
          <w:tcPr>
            <w:tcW w:w="1566" w:type="dxa"/>
            <w:noWrap w:val="0"/>
            <w:vAlign w:val="center"/>
          </w:tcPr>
          <w:p>
            <w:pPr>
              <w:pStyle w:val="165"/>
              <w:rPr>
                <w:rFonts w:hint="eastAsia"/>
              </w:rPr>
            </w:pPr>
            <w:r>
              <w:rPr>
                <w:rFonts w:hint="eastAsia"/>
              </w:rPr>
              <w:t>/</w:t>
            </w:r>
          </w:p>
        </w:tc>
        <w:tc>
          <w:tcPr>
            <w:tcW w:w="1922" w:type="dxa"/>
            <w:noWrap w:val="0"/>
            <w:vAlign w:val="center"/>
          </w:tcPr>
          <w:p>
            <w:pPr>
              <w:widowControl/>
              <w:jc w:val="center"/>
              <w:textAlignment w:val="center"/>
              <w:rPr>
                <w:rFonts w:hint="eastAsia"/>
                <w:color w:val="000000"/>
                <w:kern w:val="2"/>
                <w:sz w:val="21"/>
                <w:szCs w:val="21"/>
                <w:lang w:val="en-US" w:eastAsia="zh-CN" w:bidi="ar-SA"/>
              </w:rPr>
            </w:pPr>
            <w:r>
              <w:rPr>
                <w:rFonts w:hint="eastAsia"/>
                <w:color w:val="000000"/>
                <w:kern w:val="0"/>
                <w:szCs w:val="21"/>
                <w:lang w:bidi="ar"/>
              </w:rPr>
              <w:t>0.00085</w:t>
            </w:r>
          </w:p>
        </w:tc>
        <w:tc>
          <w:tcPr>
            <w:tcW w:w="1058" w:type="dxa"/>
            <w:noWrap w:val="0"/>
            <w:vAlign w:val="center"/>
          </w:tcPr>
          <w:p>
            <w:pPr>
              <w:autoSpaceDE w:val="0"/>
              <w:autoSpaceDN w:val="0"/>
              <w:jc w:val="center"/>
              <w:rPr>
                <w:rFonts w:hint="eastAsia"/>
                <w:color w:val="000000"/>
                <w:kern w:val="2"/>
                <w:sz w:val="21"/>
                <w:szCs w:val="21"/>
                <w:lang w:val="en-US" w:eastAsia="zh-CN" w:bidi="ar-SA"/>
              </w:rPr>
            </w:pPr>
            <w:r>
              <w:rPr>
                <w:rFonts w:hint="eastAsia"/>
                <w:color w:val="000000"/>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165"/>
              <w:rPr>
                <w:rFonts w:hint="eastAsia"/>
              </w:rPr>
            </w:pPr>
          </w:p>
        </w:tc>
        <w:tc>
          <w:tcPr>
            <w:tcW w:w="1417" w:type="dxa"/>
            <w:noWrap w:val="0"/>
            <w:vAlign w:val="center"/>
          </w:tcPr>
          <w:p>
            <w:pPr>
              <w:pStyle w:val="165"/>
              <w:rPr>
                <w:rFonts w:hint="eastAsia"/>
              </w:rPr>
            </w:pPr>
            <w:r>
              <w:rPr>
                <w:rFonts w:hint="eastAsia"/>
              </w:rPr>
              <w:t>油烟</w:t>
            </w:r>
          </w:p>
        </w:tc>
        <w:tc>
          <w:tcPr>
            <w:tcW w:w="1701" w:type="dxa"/>
            <w:noWrap w:val="0"/>
            <w:vAlign w:val="center"/>
          </w:tcPr>
          <w:p>
            <w:pPr>
              <w:widowControl/>
              <w:jc w:val="center"/>
              <w:textAlignment w:val="center"/>
              <w:rPr>
                <w:rFonts w:hint="eastAsia"/>
                <w:color w:val="000000"/>
                <w:kern w:val="2"/>
                <w:sz w:val="21"/>
                <w:szCs w:val="21"/>
                <w:lang w:val="en-US" w:eastAsia="zh-CN" w:bidi="ar-SA"/>
              </w:rPr>
            </w:pPr>
            <w:r>
              <w:rPr>
                <w:rFonts w:hint="eastAsia"/>
                <w:color w:val="000000"/>
                <w:kern w:val="0"/>
                <w:szCs w:val="21"/>
                <w:lang w:bidi="ar"/>
              </w:rPr>
              <w:t>0.00876</w:t>
            </w:r>
          </w:p>
        </w:tc>
        <w:tc>
          <w:tcPr>
            <w:tcW w:w="1276" w:type="dxa"/>
            <w:noWrap w:val="0"/>
            <w:vAlign w:val="center"/>
          </w:tcPr>
          <w:p>
            <w:pPr>
              <w:pStyle w:val="165"/>
              <w:rPr>
                <w:rFonts w:hint="eastAsia"/>
              </w:rPr>
            </w:pPr>
            <w:r>
              <w:rPr>
                <w:rFonts w:hint="eastAsia"/>
              </w:rPr>
              <w:t>/</w:t>
            </w:r>
          </w:p>
        </w:tc>
        <w:tc>
          <w:tcPr>
            <w:tcW w:w="1701" w:type="dxa"/>
            <w:noWrap w:val="0"/>
            <w:vAlign w:val="center"/>
          </w:tcPr>
          <w:p>
            <w:pPr>
              <w:pStyle w:val="165"/>
              <w:rPr>
                <w:rFonts w:hint="eastAsia"/>
              </w:rPr>
            </w:pPr>
            <w:r>
              <w:rPr>
                <w:rFonts w:hint="eastAsia"/>
              </w:rPr>
              <w:t>/</w:t>
            </w:r>
          </w:p>
        </w:tc>
        <w:tc>
          <w:tcPr>
            <w:tcW w:w="1559" w:type="dxa"/>
            <w:noWrap w:val="0"/>
            <w:vAlign w:val="center"/>
          </w:tcPr>
          <w:p>
            <w:pPr>
              <w:adjustRightInd w:val="0"/>
              <w:snapToGrid w:val="0"/>
              <w:jc w:val="center"/>
              <w:rPr>
                <w:rFonts w:hint="eastAsia" w:eastAsia="宋体"/>
                <w:bCs/>
                <w:color w:val="000000"/>
                <w:kern w:val="0"/>
                <w:sz w:val="21"/>
                <w:szCs w:val="21"/>
                <w:lang w:val="en-US" w:eastAsia="zh-CN" w:bidi="ar-SA"/>
              </w:rPr>
            </w:pPr>
            <w:r>
              <w:rPr>
                <w:rFonts w:hint="eastAsia"/>
                <w:bCs/>
                <w:color w:val="000000"/>
                <w:kern w:val="0"/>
                <w:szCs w:val="21"/>
              </w:rPr>
              <w:t>0.0</w:t>
            </w:r>
            <w:r>
              <w:rPr>
                <w:rFonts w:hint="eastAsia"/>
                <w:bCs/>
                <w:color w:val="000000"/>
                <w:kern w:val="0"/>
                <w:szCs w:val="21"/>
                <w:lang w:val="en-US" w:eastAsia="zh-CN"/>
              </w:rPr>
              <w:t>4537</w:t>
            </w:r>
          </w:p>
        </w:tc>
        <w:tc>
          <w:tcPr>
            <w:tcW w:w="1566" w:type="dxa"/>
            <w:noWrap w:val="0"/>
            <w:vAlign w:val="center"/>
          </w:tcPr>
          <w:p>
            <w:pPr>
              <w:pStyle w:val="165"/>
              <w:rPr>
                <w:rFonts w:hint="eastAsia"/>
              </w:rPr>
            </w:pPr>
            <w:r>
              <w:rPr>
                <w:rFonts w:hint="eastAsia"/>
              </w:rPr>
              <w:t>/</w:t>
            </w:r>
          </w:p>
        </w:tc>
        <w:tc>
          <w:tcPr>
            <w:tcW w:w="1922" w:type="dxa"/>
            <w:noWrap w:val="0"/>
            <w:vAlign w:val="center"/>
          </w:tcPr>
          <w:p>
            <w:pPr>
              <w:widowControl/>
              <w:jc w:val="center"/>
              <w:textAlignment w:val="center"/>
              <w:rPr>
                <w:rFonts w:hint="eastAsia" w:eastAsia="宋体"/>
                <w:color w:val="000000"/>
                <w:kern w:val="2"/>
                <w:sz w:val="21"/>
                <w:szCs w:val="21"/>
                <w:lang w:val="en-US" w:eastAsia="zh-CN" w:bidi="ar-SA"/>
              </w:rPr>
            </w:pPr>
            <w:r>
              <w:rPr>
                <w:rFonts w:hint="eastAsia"/>
                <w:color w:val="000000"/>
                <w:szCs w:val="21"/>
              </w:rPr>
              <w:t>0.0</w:t>
            </w:r>
            <w:r>
              <w:rPr>
                <w:rFonts w:hint="eastAsia"/>
                <w:color w:val="000000"/>
                <w:szCs w:val="21"/>
                <w:lang w:val="en-US" w:eastAsia="zh-CN"/>
              </w:rPr>
              <w:t>5413</w:t>
            </w:r>
          </w:p>
        </w:tc>
        <w:tc>
          <w:tcPr>
            <w:tcW w:w="1058" w:type="dxa"/>
            <w:noWrap w:val="0"/>
            <w:vAlign w:val="center"/>
          </w:tcPr>
          <w:p>
            <w:pPr>
              <w:adjustRightInd w:val="0"/>
              <w:snapToGrid w:val="0"/>
              <w:jc w:val="center"/>
              <w:rPr>
                <w:rFonts w:hint="eastAsia" w:eastAsia="宋体"/>
                <w:bCs/>
                <w:color w:val="000000"/>
                <w:kern w:val="0"/>
                <w:sz w:val="21"/>
                <w:szCs w:val="21"/>
                <w:lang w:val="en-US" w:eastAsia="zh-CN" w:bidi="ar-SA"/>
              </w:rPr>
            </w:pPr>
            <w:r>
              <w:rPr>
                <w:rFonts w:hint="eastAsia"/>
                <w:bCs/>
                <w:color w:val="000000"/>
                <w:kern w:val="0"/>
                <w:szCs w:val="21"/>
                <w:lang w:val="en-US" w:eastAsia="zh-CN"/>
              </w:rPr>
              <w:t>+</w:t>
            </w:r>
            <w:r>
              <w:rPr>
                <w:rFonts w:hint="eastAsia"/>
                <w:bCs/>
                <w:color w:val="000000"/>
                <w:kern w:val="0"/>
                <w:szCs w:val="21"/>
              </w:rPr>
              <w:t>0.0</w:t>
            </w:r>
            <w:r>
              <w:rPr>
                <w:rFonts w:hint="eastAsia"/>
                <w:bCs/>
                <w:color w:val="000000"/>
                <w:kern w:val="0"/>
                <w:szCs w:val="21"/>
                <w:lang w:val="en-US" w:eastAsia="zh-CN"/>
              </w:rPr>
              <w:t>4537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noWrap w:val="0"/>
            <w:vAlign w:val="center"/>
          </w:tcPr>
          <w:p>
            <w:pPr>
              <w:pStyle w:val="165"/>
              <w:rPr>
                <w:rFonts w:hint="eastAsia"/>
              </w:rPr>
            </w:pPr>
            <w:r>
              <w:rPr>
                <w:rFonts w:hint="eastAsia"/>
              </w:rPr>
              <w:t>一般工业</w:t>
            </w:r>
          </w:p>
          <w:p>
            <w:pPr>
              <w:pStyle w:val="165"/>
              <w:rPr>
                <w:rFonts w:hint="eastAsia"/>
              </w:rPr>
            </w:pPr>
            <w:r>
              <w:rPr>
                <w:rFonts w:hint="eastAsia"/>
              </w:rPr>
              <w:t>固体废物</w:t>
            </w:r>
          </w:p>
        </w:tc>
        <w:tc>
          <w:tcPr>
            <w:tcW w:w="1417" w:type="dxa"/>
            <w:noWrap w:val="0"/>
            <w:vAlign w:val="center"/>
          </w:tcPr>
          <w:p>
            <w:pPr>
              <w:pStyle w:val="165"/>
              <w:rPr>
                <w:rFonts w:hint="eastAsia"/>
              </w:rPr>
            </w:pPr>
            <w:r>
              <w:rPr>
                <w:rFonts w:hint="eastAsia"/>
              </w:rPr>
              <w:t>生活垃圾</w:t>
            </w:r>
          </w:p>
        </w:tc>
        <w:tc>
          <w:tcPr>
            <w:tcW w:w="1701" w:type="dxa"/>
            <w:noWrap w:val="0"/>
            <w:vAlign w:val="center"/>
          </w:tcPr>
          <w:p>
            <w:pPr>
              <w:widowControl/>
              <w:jc w:val="center"/>
              <w:textAlignment w:val="bottom"/>
              <w:rPr>
                <w:rFonts w:hint="eastAsia" w:hAnsi="宋体" w:cs="宋体"/>
                <w:snapToGrid w:val="0"/>
                <w:color w:val="000000"/>
                <w:kern w:val="21"/>
                <w:sz w:val="21"/>
                <w:szCs w:val="21"/>
                <w:lang w:val="en-US" w:eastAsia="zh-CN" w:bidi="ar-SA"/>
              </w:rPr>
            </w:pPr>
            <w:r>
              <w:rPr>
                <w:rFonts w:hint="eastAsia"/>
                <w:color w:val="000000"/>
                <w:kern w:val="0"/>
                <w:szCs w:val="21"/>
                <w:lang w:bidi="ar"/>
              </w:rPr>
              <w:t>54.8</w:t>
            </w:r>
          </w:p>
        </w:tc>
        <w:tc>
          <w:tcPr>
            <w:tcW w:w="1276" w:type="dxa"/>
            <w:noWrap w:val="0"/>
            <w:vAlign w:val="center"/>
          </w:tcPr>
          <w:p>
            <w:pPr>
              <w:pStyle w:val="165"/>
              <w:rPr>
                <w:rFonts w:hint="eastAsia"/>
              </w:rPr>
            </w:pPr>
            <w:r>
              <w:rPr>
                <w:rFonts w:hint="eastAsia"/>
              </w:rPr>
              <w:t>/</w:t>
            </w:r>
          </w:p>
        </w:tc>
        <w:tc>
          <w:tcPr>
            <w:tcW w:w="1701" w:type="dxa"/>
            <w:noWrap w:val="0"/>
            <w:vAlign w:val="center"/>
          </w:tcPr>
          <w:p>
            <w:pPr>
              <w:pStyle w:val="165"/>
              <w:rPr>
                <w:rFonts w:hint="eastAsia"/>
              </w:rPr>
            </w:pPr>
            <w:r>
              <w:rPr>
                <w:rFonts w:hint="eastAsia"/>
              </w:rPr>
              <w:t>/</w:t>
            </w:r>
          </w:p>
        </w:tc>
        <w:tc>
          <w:tcPr>
            <w:tcW w:w="1559" w:type="dxa"/>
            <w:noWrap w:val="0"/>
            <w:vAlign w:val="center"/>
          </w:tcPr>
          <w:p>
            <w:pPr>
              <w:jc w:val="center"/>
              <w:rPr>
                <w:rFonts w:hint="eastAsia" w:eastAsia="宋体"/>
                <w:color w:val="000000"/>
                <w:kern w:val="2"/>
                <w:sz w:val="21"/>
                <w:szCs w:val="21"/>
                <w:lang w:val="en-US" w:eastAsia="zh-CN" w:bidi="ar-SA"/>
              </w:rPr>
            </w:pPr>
            <w:r>
              <w:rPr>
                <w:rFonts w:hint="eastAsia"/>
                <w:color w:val="000000"/>
                <w:szCs w:val="21"/>
                <w:lang w:val="en-US" w:eastAsia="zh-CN"/>
              </w:rPr>
              <w:t>40.83</w:t>
            </w:r>
          </w:p>
        </w:tc>
        <w:tc>
          <w:tcPr>
            <w:tcW w:w="1566" w:type="dxa"/>
            <w:noWrap w:val="0"/>
            <w:vAlign w:val="center"/>
          </w:tcPr>
          <w:p>
            <w:pPr>
              <w:pStyle w:val="165"/>
              <w:rPr>
                <w:rFonts w:hint="eastAsia"/>
              </w:rPr>
            </w:pPr>
            <w:r>
              <w:rPr>
                <w:rFonts w:hint="eastAsia"/>
              </w:rPr>
              <w:t>/</w:t>
            </w:r>
          </w:p>
        </w:tc>
        <w:tc>
          <w:tcPr>
            <w:tcW w:w="1922" w:type="dxa"/>
            <w:noWrap w:val="0"/>
            <w:vAlign w:val="center"/>
          </w:tcPr>
          <w:p>
            <w:pPr>
              <w:jc w:val="center"/>
              <w:rPr>
                <w:rFonts w:hint="eastAsia" w:eastAsia="宋体"/>
                <w:color w:val="000000"/>
                <w:kern w:val="2"/>
                <w:sz w:val="21"/>
                <w:szCs w:val="21"/>
                <w:lang w:val="en-US" w:eastAsia="zh-CN" w:bidi="ar-SA"/>
              </w:rPr>
            </w:pPr>
            <w:r>
              <w:rPr>
                <w:rFonts w:hint="eastAsia"/>
                <w:color w:val="000000"/>
                <w:szCs w:val="21"/>
                <w:lang w:val="en-US" w:eastAsia="zh-CN"/>
              </w:rPr>
              <w:t>95.63</w:t>
            </w:r>
          </w:p>
        </w:tc>
        <w:tc>
          <w:tcPr>
            <w:tcW w:w="1058" w:type="dxa"/>
            <w:noWrap w:val="0"/>
            <w:vAlign w:val="center"/>
          </w:tcPr>
          <w:p>
            <w:pPr>
              <w:jc w:val="center"/>
              <w:rPr>
                <w:rFonts w:hint="eastAsia" w:eastAsia="宋体"/>
                <w:color w:val="000000"/>
                <w:kern w:val="2"/>
                <w:sz w:val="21"/>
                <w:szCs w:val="21"/>
                <w:lang w:val="en-US" w:eastAsia="zh-CN" w:bidi="ar-SA"/>
              </w:rPr>
            </w:pPr>
            <w:r>
              <w:rPr>
                <w:rFonts w:hint="eastAsia"/>
                <w:color w:val="000000"/>
                <w:szCs w:val="21"/>
                <w:lang w:val="en-US" w:eastAsia="zh-CN"/>
              </w:rPr>
              <w:t>+40.83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165"/>
              <w:rPr>
                <w:rFonts w:hint="eastAsia"/>
              </w:rPr>
            </w:pPr>
            <w:r>
              <w:rPr>
                <w:rFonts w:hint="eastAsia"/>
              </w:rPr>
              <w:t>危险废物</w:t>
            </w:r>
          </w:p>
        </w:tc>
        <w:tc>
          <w:tcPr>
            <w:tcW w:w="1417" w:type="dxa"/>
            <w:noWrap w:val="0"/>
            <w:vAlign w:val="center"/>
          </w:tcPr>
          <w:p>
            <w:pPr>
              <w:pStyle w:val="165"/>
              <w:rPr>
                <w:rFonts w:hint="eastAsia"/>
              </w:rPr>
            </w:pPr>
            <w:r>
              <w:rPr>
                <w:rFonts w:hint="eastAsia"/>
              </w:rPr>
              <w:t>医疗废物</w:t>
            </w:r>
          </w:p>
        </w:tc>
        <w:tc>
          <w:tcPr>
            <w:tcW w:w="1701" w:type="dxa"/>
            <w:noWrap w:val="0"/>
            <w:vAlign w:val="center"/>
          </w:tcPr>
          <w:p>
            <w:pPr>
              <w:widowControl/>
              <w:jc w:val="center"/>
              <w:textAlignment w:val="bottom"/>
              <w:rPr>
                <w:rFonts w:hint="eastAsia" w:hAnsi="宋体" w:cs="宋体"/>
                <w:snapToGrid w:val="0"/>
                <w:color w:val="000000"/>
                <w:kern w:val="21"/>
                <w:sz w:val="21"/>
                <w:szCs w:val="21"/>
                <w:lang w:val="en-US" w:eastAsia="zh-CN" w:bidi="ar-SA"/>
              </w:rPr>
            </w:pPr>
            <w:r>
              <w:rPr>
                <w:rFonts w:hint="eastAsia"/>
                <w:color w:val="000000"/>
                <w:kern w:val="0"/>
                <w:szCs w:val="21"/>
                <w:lang w:bidi="ar"/>
              </w:rPr>
              <w:t>1.2</w:t>
            </w:r>
          </w:p>
        </w:tc>
        <w:tc>
          <w:tcPr>
            <w:tcW w:w="1276" w:type="dxa"/>
            <w:noWrap w:val="0"/>
            <w:vAlign w:val="center"/>
          </w:tcPr>
          <w:p>
            <w:pPr>
              <w:pStyle w:val="165"/>
              <w:rPr>
                <w:rFonts w:hint="eastAsia"/>
              </w:rPr>
            </w:pPr>
            <w:r>
              <w:rPr>
                <w:rFonts w:hint="eastAsia"/>
              </w:rPr>
              <w:t>/</w:t>
            </w:r>
          </w:p>
        </w:tc>
        <w:tc>
          <w:tcPr>
            <w:tcW w:w="1701" w:type="dxa"/>
            <w:noWrap w:val="0"/>
            <w:vAlign w:val="center"/>
          </w:tcPr>
          <w:p>
            <w:pPr>
              <w:pStyle w:val="165"/>
              <w:rPr>
                <w:rFonts w:hint="eastAsia"/>
              </w:rPr>
            </w:pPr>
            <w:r>
              <w:rPr>
                <w:rFonts w:hint="eastAsia"/>
              </w:rPr>
              <w:t>/</w:t>
            </w:r>
          </w:p>
        </w:tc>
        <w:tc>
          <w:tcPr>
            <w:tcW w:w="1559" w:type="dxa"/>
            <w:noWrap w:val="0"/>
            <w:vAlign w:val="center"/>
          </w:tcPr>
          <w:p>
            <w:pPr>
              <w:jc w:val="center"/>
              <w:rPr>
                <w:rFonts w:hint="eastAsia"/>
                <w:color w:val="000000"/>
                <w:kern w:val="2"/>
                <w:sz w:val="21"/>
                <w:szCs w:val="21"/>
                <w:lang w:val="en-US" w:eastAsia="zh-CN" w:bidi="ar-SA"/>
              </w:rPr>
            </w:pPr>
            <w:r>
              <w:rPr>
                <w:rFonts w:hint="eastAsia"/>
                <w:color w:val="000000"/>
                <w:szCs w:val="21"/>
              </w:rPr>
              <w:t>5.37</w:t>
            </w:r>
          </w:p>
        </w:tc>
        <w:tc>
          <w:tcPr>
            <w:tcW w:w="1566" w:type="dxa"/>
            <w:noWrap w:val="0"/>
            <w:vAlign w:val="center"/>
          </w:tcPr>
          <w:p>
            <w:pPr>
              <w:pStyle w:val="165"/>
              <w:rPr>
                <w:rFonts w:hint="eastAsia"/>
              </w:rPr>
            </w:pPr>
            <w:r>
              <w:rPr>
                <w:rFonts w:hint="eastAsia"/>
              </w:rPr>
              <w:t>/</w:t>
            </w:r>
          </w:p>
        </w:tc>
        <w:tc>
          <w:tcPr>
            <w:tcW w:w="1922" w:type="dxa"/>
            <w:noWrap w:val="0"/>
            <w:vAlign w:val="center"/>
          </w:tcPr>
          <w:p>
            <w:pPr>
              <w:jc w:val="center"/>
              <w:rPr>
                <w:rFonts w:hint="eastAsia"/>
                <w:color w:val="000000"/>
                <w:kern w:val="2"/>
                <w:sz w:val="21"/>
                <w:szCs w:val="21"/>
                <w:lang w:val="en-US" w:eastAsia="zh-CN" w:bidi="ar-SA"/>
              </w:rPr>
            </w:pPr>
            <w:r>
              <w:rPr>
                <w:rFonts w:hint="eastAsia"/>
                <w:color w:val="000000"/>
                <w:szCs w:val="21"/>
              </w:rPr>
              <w:t>6.57</w:t>
            </w:r>
          </w:p>
        </w:tc>
        <w:tc>
          <w:tcPr>
            <w:tcW w:w="1058" w:type="dxa"/>
            <w:noWrap w:val="0"/>
            <w:vAlign w:val="center"/>
          </w:tcPr>
          <w:p>
            <w:pPr>
              <w:jc w:val="center"/>
              <w:rPr>
                <w:rFonts w:hint="eastAsia"/>
                <w:color w:val="000000"/>
                <w:kern w:val="2"/>
                <w:sz w:val="21"/>
                <w:szCs w:val="21"/>
                <w:lang w:val="en-US" w:eastAsia="zh-CN" w:bidi="ar-SA"/>
              </w:rPr>
            </w:pPr>
            <w:r>
              <w:rPr>
                <w:rFonts w:hint="eastAsia"/>
                <w:color w:val="000000"/>
                <w:szCs w:val="21"/>
                <w:lang w:val="en-US" w:eastAsia="zh-CN"/>
              </w:rPr>
              <w:t>+</w:t>
            </w:r>
            <w:r>
              <w:rPr>
                <w:rFonts w:hint="eastAsia"/>
                <w:color w:val="000000"/>
                <w:szCs w:val="21"/>
              </w:rPr>
              <w:t>5.37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165"/>
              <w:rPr>
                <w:rFonts w:hint="eastAsia"/>
              </w:rPr>
            </w:pPr>
          </w:p>
        </w:tc>
        <w:tc>
          <w:tcPr>
            <w:tcW w:w="1417" w:type="dxa"/>
            <w:noWrap w:val="0"/>
            <w:vAlign w:val="center"/>
          </w:tcPr>
          <w:p>
            <w:pPr>
              <w:pStyle w:val="165"/>
              <w:rPr>
                <w:rFonts w:hint="eastAsia"/>
              </w:rPr>
            </w:pPr>
            <w:r>
              <w:rPr>
                <w:rFonts w:hint="eastAsia"/>
              </w:rPr>
              <w:t>污水处理站污泥</w:t>
            </w:r>
          </w:p>
        </w:tc>
        <w:tc>
          <w:tcPr>
            <w:tcW w:w="1701" w:type="dxa"/>
            <w:noWrap w:val="0"/>
            <w:vAlign w:val="center"/>
          </w:tcPr>
          <w:p>
            <w:pPr>
              <w:pStyle w:val="184"/>
              <w:rPr>
                <w:rFonts w:hint="eastAsia" w:ascii="Times New Roman" w:hAnsi="Times New Roman"/>
                <w:color w:val="000000"/>
                <w:kern w:val="2"/>
                <w:sz w:val="21"/>
                <w:szCs w:val="21"/>
                <w:lang w:val="en-US" w:eastAsia="zh-CN" w:bidi="ar-SA"/>
              </w:rPr>
            </w:pPr>
            <w:r>
              <w:rPr>
                <w:rFonts w:hint="eastAsia" w:ascii="Times New Roman" w:hAnsi="Times New Roman"/>
                <w:color w:val="000000"/>
                <w:kern w:val="2"/>
              </w:rPr>
              <w:t>0.96</w:t>
            </w:r>
          </w:p>
        </w:tc>
        <w:tc>
          <w:tcPr>
            <w:tcW w:w="1276" w:type="dxa"/>
            <w:noWrap w:val="0"/>
            <w:vAlign w:val="center"/>
          </w:tcPr>
          <w:p>
            <w:pPr>
              <w:pStyle w:val="165"/>
              <w:rPr>
                <w:rFonts w:hint="eastAsia"/>
              </w:rPr>
            </w:pPr>
            <w:r>
              <w:rPr>
                <w:rFonts w:hint="eastAsia"/>
              </w:rPr>
              <w:t>/</w:t>
            </w:r>
          </w:p>
        </w:tc>
        <w:tc>
          <w:tcPr>
            <w:tcW w:w="1701" w:type="dxa"/>
            <w:noWrap w:val="0"/>
            <w:vAlign w:val="center"/>
          </w:tcPr>
          <w:p>
            <w:pPr>
              <w:pStyle w:val="165"/>
              <w:rPr>
                <w:rFonts w:hint="eastAsia"/>
              </w:rPr>
            </w:pPr>
            <w:r>
              <w:rPr>
                <w:rFonts w:hint="eastAsia"/>
              </w:rPr>
              <w:t>/</w:t>
            </w:r>
          </w:p>
        </w:tc>
        <w:tc>
          <w:tcPr>
            <w:tcW w:w="1559" w:type="dxa"/>
            <w:noWrap w:val="0"/>
            <w:vAlign w:val="center"/>
          </w:tcPr>
          <w:p>
            <w:pPr>
              <w:pStyle w:val="184"/>
              <w:rPr>
                <w:rFonts w:hint="eastAsia" w:ascii="Times New Roman" w:hAnsi="Times New Roman"/>
                <w:color w:val="000000"/>
                <w:kern w:val="2"/>
                <w:sz w:val="21"/>
                <w:szCs w:val="21"/>
                <w:lang w:val="en-US" w:eastAsia="zh-CN" w:bidi="ar-SA"/>
              </w:rPr>
            </w:pPr>
            <w:r>
              <w:rPr>
                <w:rFonts w:hint="eastAsia" w:ascii="Times New Roman" w:hAnsi="Times New Roman"/>
                <w:color w:val="000000"/>
                <w:kern w:val="2"/>
              </w:rPr>
              <w:t>0.54</w:t>
            </w:r>
          </w:p>
        </w:tc>
        <w:tc>
          <w:tcPr>
            <w:tcW w:w="1566" w:type="dxa"/>
            <w:noWrap w:val="0"/>
            <w:vAlign w:val="center"/>
          </w:tcPr>
          <w:p>
            <w:pPr>
              <w:pStyle w:val="165"/>
            </w:pPr>
            <w:r>
              <w:rPr>
                <w:rFonts w:hint="eastAsia"/>
              </w:rPr>
              <w:t>/</w:t>
            </w:r>
          </w:p>
        </w:tc>
        <w:tc>
          <w:tcPr>
            <w:tcW w:w="1922" w:type="dxa"/>
            <w:noWrap w:val="0"/>
            <w:vAlign w:val="center"/>
          </w:tcPr>
          <w:p>
            <w:pPr>
              <w:pStyle w:val="184"/>
              <w:rPr>
                <w:rFonts w:hint="eastAsia" w:ascii="Times New Roman" w:hAnsi="Times New Roman"/>
                <w:color w:val="000000"/>
                <w:kern w:val="2"/>
                <w:sz w:val="21"/>
                <w:szCs w:val="21"/>
                <w:lang w:val="en-US" w:eastAsia="zh-CN" w:bidi="ar-SA"/>
              </w:rPr>
            </w:pPr>
            <w:r>
              <w:rPr>
                <w:rFonts w:hint="eastAsia" w:ascii="Times New Roman" w:hAnsi="Times New Roman"/>
                <w:color w:val="000000"/>
                <w:kern w:val="2"/>
              </w:rPr>
              <w:t>1.5</w:t>
            </w:r>
          </w:p>
        </w:tc>
        <w:tc>
          <w:tcPr>
            <w:tcW w:w="1058" w:type="dxa"/>
            <w:noWrap w:val="0"/>
            <w:vAlign w:val="center"/>
          </w:tcPr>
          <w:p>
            <w:pPr>
              <w:pStyle w:val="184"/>
              <w:rPr>
                <w:rFonts w:hint="eastAsia" w:ascii="Times New Roman" w:hAnsi="Times New Roman"/>
                <w:color w:val="000000"/>
                <w:kern w:val="2"/>
                <w:sz w:val="21"/>
                <w:szCs w:val="21"/>
                <w:lang w:val="en-US" w:eastAsia="zh-CN" w:bidi="ar-SA"/>
              </w:rPr>
            </w:pPr>
            <w:r>
              <w:rPr>
                <w:rFonts w:hint="eastAsia" w:ascii="Times New Roman" w:hAnsi="Times New Roman"/>
                <w:color w:val="000000"/>
                <w:kern w:val="2"/>
                <w:lang w:val="en-US" w:eastAsia="zh-CN"/>
              </w:rPr>
              <w:t>+</w:t>
            </w:r>
            <w:r>
              <w:rPr>
                <w:rFonts w:hint="eastAsia" w:ascii="Times New Roman" w:hAnsi="Times New Roman"/>
                <w:color w:val="000000"/>
                <w:kern w:val="2"/>
              </w:rPr>
              <w:t>0.54</w:t>
            </w:r>
          </w:p>
        </w:tc>
      </w:tr>
    </w:tbl>
    <w:p>
      <w:pPr>
        <w:pStyle w:val="94"/>
        <w:spacing w:before="192" w:beforeLines="80" w:after="24"/>
        <w:jc w:val="left"/>
        <w:rPr>
          <w:rFonts w:hint="eastAsia" w:eastAsia="黑体"/>
          <w:color w:val="000000"/>
        </w:rPr>
      </w:pPr>
      <w:r>
        <w:rPr>
          <w:rFonts w:hAnsi="宋体"/>
          <w:snapToGrid w:val="0"/>
          <w:color w:val="000000"/>
          <w:kern w:val="21"/>
          <w:szCs w:val="21"/>
        </w:rPr>
        <w:t>注：</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color w:val="000000"/>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color w:val="000000"/>
          <w:szCs w:val="21"/>
        </w:rPr>
        <w:t>①</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3 \* GB3 \* MERGEFORMAT </w:instrText>
      </w:r>
      <w:r>
        <w:rPr>
          <w:rFonts w:hAnsi="宋体"/>
          <w:snapToGrid w:val="0"/>
          <w:color w:val="000000"/>
          <w:spacing w:val="-6"/>
          <w:kern w:val="21"/>
          <w:szCs w:val="21"/>
        </w:rPr>
        <w:fldChar w:fldCharType="separate"/>
      </w:r>
      <w:r>
        <w:rPr>
          <w:rFonts w:hint="eastAsia" w:hAnsi="宋体"/>
          <w:color w:val="000000"/>
          <w:szCs w:val="21"/>
        </w:rPr>
        <w:t>③</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4 \* GB3 \* MERGEFORMAT </w:instrText>
      </w:r>
      <w:r>
        <w:rPr>
          <w:rFonts w:hAnsi="宋体"/>
          <w:snapToGrid w:val="0"/>
          <w:color w:val="000000"/>
          <w:spacing w:val="-6"/>
          <w:kern w:val="21"/>
          <w:szCs w:val="21"/>
        </w:rPr>
        <w:fldChar w:fldCharType="separate"/>
      </w:r>
      <w:r>
        <w:rPr>
          <w:rFonts w:hint="eastAsia" w:hAnsi="宋体"/>
          <w:color w:val="000000"/>
          <w:szCs w:val="21"/>
        </w:rPr>
        <w:t>④</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5 \* GB3 \* MERGEFORMAT </w:instrText>
      </w:r>
      <w:r>
        <w:rPr>
          <w:rFonts w:hAnsi="宋体"/>
          <w:snapToGrid w:val="0"/>
          <w:color w:val="000000"/>
          <w:spacing w:val="-16"/>
          <w:kern w:val="21"/>
          <w:szCs w:val="21"/>
        </w:rPr>
        <w:fldChar w:fldCharType="separate"/>
      </w:r>
      <w:r>
        <w:rPr>
          <w:rFonts w:hint="eastAsia" w:hAnsi="宋体"/>
          <w:color w:val="000000"/>
          <w:szCs w:val="21"/>
        </w:rPr>
        <w:t>⑤</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7 \* GB3 \* MERGEFORMAT </w:instrText>
      </w:r>
      <w:r>
        <w:rPr>
          <w:rFonts w:hAnsi="宋体"/>
          <w:snapToGrid w:val="0"/>
          <w:color w:val="000000"/>
          <w:spacing w:val="-6"/>
          <w:kern w:val="21"/>
          <w:szCs w:val="21"/>
        </w:rPr>
        <w:fldChar w:fldCharType="separate"/>
      </w:r>
      <w:r>
        <w:rPr>
          <w:rFonts w:hint="eastAsia" w:hAnsi="宋体"/>
          <w:color w:val="000000"/>
          <w:szCs w:val="21"/>
        </w:rPr>
        <w:t>⑦</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color w:val="000000"/>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color w:val="000000"/>
          <w:szCs w:val="21"/>
        </w:rPr>
        <w:t>①</w:t>
      </w:r>
      <w:r>
        <w:rPr>
          <w:rFonts w:hAnsi="宋体"/>
          <w:snapToGrid w:val="0"/>
          <w:color w:val="000000"/>
          <w:spacing w:val="-6"/>
          <w:kern w:val="21"/>
          <w:szCs w:val="21"/>
        </w:rPr>
        <w:fldChar w:fldCharType="end"/>
      </w:r>
    </w:p>
    <w:p>
      <w:pPr>
        <w:pStyle w:val="6"/>
        <w:rPr>
          <w:rFonts w:hint="eastAsia"/>
        </w:rPr>
      </w:pPr>
    </w:p>
    <w:p>
      <w:pPr>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pStyle w:val="49"/>
        <w:rPr>
          <w:rFonts w:hint="eastAsia"/>
        </w:rPr>
      </w:pPr>
    </w:p>
    <w:p>
      <w:pPr>
        <w:rPr>
          <w:color w:val="auto"/>
          <w:sz w:val="36"/>
          <w:szCs w:val="36"/>
        </w:rPr>
      </w:pPr>
    </w:p>
    <w:p>
      <w:pPr>
        <w:rPr>
          <w:color w:val="auto"/>
          <w:sz w:val="36"/>
          <w:szCs w:val="36"/>
        </w:rPr>
      </w:pPr>
    </w:p>
    <w:p>
      <w:pPr>
        <w:rPr>
          <w:color w:val="auto"/>
          <w:sz w:val="36"/>
          <w:szCs w:val="36"/>
        </w:rPr>
      </w:pPr>
    </w:p>
    <w:p>
      <w:pPr>
        <w:rPr>
          <w:color w:val="auto"/>
          <w:sz w:val="36"/>
          <w:szCs w:val="36"/>
        </w:rPr>
      </w:pPr>
    </w:p>
    <w:p>
      <w:pPr>
        <w:adjustRightInd w:val="0"/>
        <w:snapToGrid w:val="0"/>
        <w:jc w:val="center"/>
        <w:outlineLvl w:val="0"/>
        <w:rPr>
          <w:bCs/>
          <w:color w:val="auto"/>
          <w:sz w:val="72"/>
          <w:szCs w:val="72"/>
        </w:rPr>
      </w:pPr>
      <w:r>
        <w:rPr>
          <w:bCs/>
          <w:color w:val="auto"/>
          <w:sz w:val="72"/>
          <w:szCs w:val="72"/>
        </w:rPr>
        <w:t>建设项目环境影响报告表</w:t>
      </w:r>
    </w:p>
    <w:p>
      <w:pPr>
        <w:adjustRightInd w:val="0"/>
        <w:snapToGrid w:val="0"/>
        <w:spacing w:beforeLines="80"/>
        <w:jc w:val="center"/>
        <w:rPr>
          <w:bCs/>
          <w:color w:val="auto"/>
          <w:sz w:val="48"/>
          <w:szCs w:val="48"/>
        </w:rPr>
      </w:pPr>
      <w:r>
        <w:rPr>
          <w:bCs/>
          <w:color w:val="auto"/>
          <w:sz w:val="48"/>
          <w:szCs w:val="48"/>
        </w:rPr>
        <w:t>（污染影响类-送审本）</w:t>
      </w:r>
    </w:p>
    <w:p>
      <w:pPr>
        <w:jc w:val="center"/>
        <w:rPr>
          <w:color w:val="auto"/>
          <w:sz w:val="52"/>
          <w:szCs w:val="52"/>
        </w:rPr>
      </w:pPr>
    </w:p>
    <w:p>
      <w:pPr>
        <w:pStyle w:val="40"/>
        <w:rPr>
          <w:color w:val="auto"/>
        </w:rPr>
      </w:pPr>
    </w:p>
    <w:p>
      <w:pPr>
        <w:jc w:val="center"/>
        <w:rPr>
          <w:color w:val="auto"/>
          <w:sz w:val="52"/>
          <w:szCs w:val="52"/>
        </w:rPr>
      </w:pPr>
    </w:p>
    <w:p>
      <w:pPr>
        <w:jc w:val="center"/>
        <w:rPr>
          <w:color w:val="auto"/>
          <w:sz w:val="52"/>
          <w:szCs w:val="52"/>
        </w:rPr>
      </w:pPr>
    </w:p>
    <w:p>
      <w:pPr>
        <w:spacing w:after="120"/>
        <w:ind w:left="480" w:leftChars="200" w:firstLine="880" w:firstLineChars="200"/>
        <w:rPr>
          <w:color w:val="auto"/>
          <w:kern w:val="0"/>
          <w:sz w:val="44"/>
          <w:szCs w:val="44"/>
        </w:rPr>
      </w:pPr>
    </w:p>
    <w:p>
      <w:pPr>
        <w:adjustRightInd w:val="0"/>
        <w:snapToGrid w:val="0"/>
        <w:spacing w:line="360" w:lineRule="auto"/>
        <w:ind w:firstLine="720" w:firstLineChars="200"/>
        <w:rPr>
          <w:color w:val="auto"/>
          <w:sz w:val="36"/>
          <w:szCs w:val="36"/>
        </w:rPr>
      </w:pPr>
      <w:r>
        <w:rPr>
          <w:color w:val="auto"/>
          <w:sz w:val="36"/>
          <w:szCs w:val="36"/>
        </w:rPr>
        <w:t>项目名称：</w:t>
      </w:r>
      <w:r>
        <w:rPr>
          <w:color w:val="auto"/>
          <w:sz w:val="36"/>
          <w:szCs w:val="36"/>
          <w:u w:val="single"/>
        </w:rPr>
        <w:t>乐山鼎智建材有限公司水稳拌合站项目</w:t>
      </w:r>
    </w:p>
    <w:p>
      <w:pPr>
        <w:adjustRightInd w:val="0"/>
        <w:snapToGrid w:val="0"/>
        <w:spacing w:line="360" w:lineRule="auto"/>
        <w:ind w:firstLine="720" w:firstLineChars="200"/>
        <w:rPr>
          <w:color w:val="auto"/>
          <w:sz w:val="36"/>
          <w:szCs w:val="36"/>
          <w:u w:val="single"/>
        </w:rPr>
      </w:pPr>
      <w:r>
        <w:rPr>
          <w:color w:val="auto"/>
          <w:sz w:val="36"/>
          <w:szCs w:val="36"/>
        </w:rPr>
        <w:t>建设单位（盖章）：</w:t>
      </w:r>
      <w:r>
        <w:rPr>
          <w:color w:val="auto"/>
          <w:sz w:val="36"/>
          <w:szCs w:val="36"/>
          <w:u w:val="single"/>
        </w:rPr>
        <w:t>乐山鼎智建材有限公司</w:t>
      </w:r>
    </w:p>
    <w:p>
      <w:pPr>
        <w:adjustRightInd w:val="0"/>
        <w:snapToGrid w:val="0"/>
        <w:spacing w:line="360" w:lineRule="auto"/>
        <w:ind w:firstLine="1800" w:firstLineChars="500"/>
        <w:rPr>
          <w:color w:val="auto"/>
          <w:sz w:val="36"/>
          <w:szCs w:val="36"/>
          <w:u w:val="single"/>
        </w:rPr>
      </w:pPr>
      <w:r>
        <w:rPr>
          <w:color w:val="auto"/>
          <w:sz w:val="36"/>
          <w:szCs w:val="36"/>
        </w:rPr>
        <w:t>编制日期：</w:t>
      </w:r>
      <w:r>
        <w:rPr>
          <w:color w:val="auto"/>
          <w:sz w:val="36"/>
          <w:szCs w:val="36"/>
          <w:u w:val="single"/>
        </w:rPr>
        <w:t>2023年</w:t>
      </w:r>
      <w:r>
        <w:rPr>
          <w:rFonts w:hint="eastAsia"/>
          <w:color w:val="auto"/>
          <w:sz w:val="36"/>
          <w:szCs w:val="36"/>
          <w:u w:val="single"/>
          <w:lang w:val="en-US" w:eastAsia="zh-CN"/>
        </w:rPr>
        <w:t>5</w:t>
      </w:r>
      <w:r>
        <w:rPr>
          <w:color w:val="auto"/>
          <w:sz w:val="36"/>
          <w:szCs w:val="36"/>
          <w:u w:val="single"/>
        </w:rPr>
        <w:t>月</w:t>
      </w:r>
    </w:p>
    <w:p>
      <w:pPr>
        <w:adjustRightInd w:val="0"/>
        <w:snapToGrid w:val="0"/>
        <w:spacing w:line="288" w:lineRule="auto"/>
        <w:ind w:firstLine="1040"/>
        <w:rPr>
          <w:color w:val="auto"/>
          <w:sz w:val="36"/>
          <w:szCs w:val="36"/>
        </w:rPr>
      </w:pPr>
      <w:bookmarkStart w:id="10" w:name="_Hlk57884087"/>
    </w:p>
    <w:p>
      <w:pPr>
        <w:spacing w:after="120"/>
        <w:ind w:left="480" w:leftChars="200" w:firstLine="720" w:firstLineChars="200"/>
        <w:rPr>
          <w:color w:val="auto"/>
          <w:kern w:val="0"/>
          <w:sz w:val="36"/>
          <w:szCs w:val="36"/>
        </w:rPr>
      </w:pPr>
    </w:p>
    <w:p>
      <w:pPr>
        <w:spacing w:after="120"/>
        <w:ind w:left="480" w:leftChars="200" w:firstLine="720" w:firstLineChars="200"/>
        <w:rPr>
          <w:color w:val="auto"/>
          <w:kern w:val="0"/>
          <w:sz w:val="36"/>
          <w:szCs w:val="36"/>
        </w:rPr>
      </w:pPr>
    </w:p>
    <w:p>
      <w:pPr>
        <w:adjustRightInd w:val="0"/>
        <w:snapToGrid w:val="0"/>
        <w:spacing w:line="288" w:lineRule="auto"/>
        <w:ind w:firstLine="1040"/>
        <w:rPr>
          <w:color w:val="auto"/>
          <w:sz w:val="36"/>
          <w:szCs w:val="36"/>
        </w:rPr>
      </w:pPr>
    </w:p>
    <w:p>
      <w:pPr>
        <w:adjustRightInd w:val="0"/>
        <w:snapToGrid w:val="0"/>
        <w:spacing w:line="288" w:lineRule="auto"/>
        <w:ind w:firstLine="1040"/>
        <w:rPr>
          <w:color w:val="auto"/>
          <w:sz w:val="36"/>
          <w:szCs w:val="36"/>
        </w:rPr>
      </w:pPr>
    </w:p>
    <w:bookmarkEnd w:id="10"/>
    <w:p>
      <w:pPr>
        <w:adjustRightInd w:val="0"/>
        <w:snapToGrid w:val="0"/>
        <w:spacing w:line="288" w:lineRule="auto"/>
        <w:jc w:val="center"/>
        <w:rPr>
          <w:color w:val="auto"/>
          <w:sz w:val="36"/>
          <w:szCs w:val="36"/>
        </w:rPr>
      </w:pPr>
      <w:r>
        <w:rPr>
          <w:color w:val="auto"/>
          <w:sz w:val="36"/>
          <w:szCs w:val="36"/>
        </w:rPr>
        <w:t>中华人民共和国生态环境部制</w:t>
      </w:r>
    </w:p>
    <w:p>
      <w:pPr>
        <w:adjustRightInd w:val="0"/>
        <w:snapToGrid w:val="0"/>
        <w:spacing w:line="288" w:lineRule="auto"/>
        <w:ind w:firstLine="1040"/>
        <w:rPr>
          <w:color w:val="auto"/>
          <w:sz w:val="36"/>
          <w:szCs w:val="36"/>
        </w:rPr>
        <w:sectPr>
          <w:headerReference r:id="rId7" w:type="first"/>
          <w:footerReference r:id="rId10" w:type="first"/>
          <w:headerReference r:id="rId5" w:type="default"/>
          <w:footerReference r:id="rId8" w:type="default"/>
          <w:headerReference r:id="rId6" w:type="even"/>
          <w:footerReference r:id="rId9" w:type="even"/>
          <w:pgSz w:w="11906" w:h="16838"/>
          <w:pgMar w:top="1701" w:right="1531" w:bottom="1701" w:left="1531" w:header="851" w:footer="1077" w:gutter="0"/>
          <w:pgNumType w:start="3"/>
          <w:cols w:space="720" w:num="1"/>
          <w:docGrid w:linePitch="312" w:charSpace="0"/>
        </w:sectPr>
      </w:pPr>
    </w:p>
    <w:p>
      <w:pPr>
        <w:pStyle w:val="37"/>
        <w:spacing w:before="0" w:beforeAutospacing="0" w:after="0" w:afterAutospacing="0"/>
        <w:jc w:val="center"/>
        <w:outlineLvl w:val="0"/>
        <w:rPr>
          <w:rFonts w:ascii="Times New Roman" w:hAnsi="Times New Roman"/>
          <w:b/>
          <w:bCs/>
          <w:snapToGrid w:val="0"/>
          <w:color w:val="auto"/>
          <w:sz w:val="30"/>
          <w:szCs w:val="30"/>
        </w:rPr>
      </w:pPr>
      <w:r>
        <w:rPr>
          <w:rFonts w:ascii="Times New Roman" w:hAnsi="Times New Roman"/>
          <w:b/>
          <w:bCs/>
          <w:snapToGrid w:val="0"/>
          <w:color w:val="auto"/>
          <w:sz w:val="30"/>
          <w:szCs w:val="30"/>
        </w:rPr>
        <w:t>一、建设项目基本情况</w:t>
      </w:r>
    </w:p>
    <w:tbl>
      <w:tblPr>
        <w:tblStyle w:val="41"/>
        <w:tblW w:w="498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96"/>
        <w:gridCol w:w="1614"/>
        <w:gridCol w:w="2828"/>
        <w:gridCol w:w="429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557" w:type="pct"/>
            <w:tcMar>
              <w:top w:w="16" w:type="dxa"/>
              <w:left w:w="16" w:type="dxa"/>
              <w:right w:w="16" w:type="dxa"/>
            </w:tcMar>
            <w:vAlign w:val="center"/>
          </w:tcPr>
          <w:p>
            <w:pPr>
              <w:adjustRightInd w:val="0"/>
              <w:snapToGrid w:val="0"/>
              <w:jc w:val="center"/>
              <w:rPr>
                <w:b/>
                <w:bCs/>
                <w:color w:val="auto"/>
                <w:sz w:val="24"/>
              </w:rPr>
            </w:pPr>
            <w:r>
              <w:rPr>
                <w:b/>
                <w:bCs/>
                <w:color w:val="auto"/>
                <w:sz w:val="24"/>
              </w:rPr>
              <w:t>建设项目名称</w:t>
            </w:r>
          </w:p>
        </w:tc>
        <w:tc>
          <w:tcPr>
            <w:tcW w:w="4442" w:type="pct"/>
            <w:gridSpan w:val="3"/>
            <w:vAlign w:val="center"/>
          </w:tcPr>
          <w:p>
            <w:pPr>
              <w:adjustRightInd w:val="0"/>
              <w:snapToGrid w:val="0"/>
              <w:jc w:val="center"/>
              <w:rPr>
                <w:color w:val="auto"/>
                <w:sz w:val="24"/>
              </w:rPr>
            </w:pPr>
            <w:r>
              <w:rPr>
                <w:color w:val="auto"/>
                <w:sz w:val="24"/>
              </w:rPr>
              <w:t>乐山鼎智建材有限公司水稳拌合站项目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557" w:type="pct"/>
            <w:tcMar>
              <w:top w:w="16" w:type="dxa"/>
              <w:left w:w="16" w:type="dxa"/>
              <w:right w:w="16" w:type="dxa"/>
            </w:tcMar>
            <w:vAlign w:val="center"/>
          </w:tcPr>
          <w:p>
            <w:pPr>
              <w:adjustRightInd w:val="0"/>
              <w:snapToGrid w:val="0"/>
              <w:jc w:val="center"/>
              <w:rPr>
                <w:b/>
                <w:bCs/>
                <w:color w:val="auto"/>
                <w:sz w:val="24"/>
              </w:rPr>
            </w:pPr>
            <w:r>
              <w:rPr>
                <w:b/>
                <w:bCs/>
                <w:color w:val="auto"/>
                <w:sz w:val="24"/>
              </w:rPr>
              <w:t>项目代码</w:t>
            </w:r>
          </w:p>
        </w:tc>
        <w:tc>
          <w:tcPr>
            <w:tcW w:w="4442" w:type="pct"/>
            <w:gridSpan w:val="3"/>
            <w:vAlign w:val="center"/>
          </w:tcPr>
          <w:p>
            <w:pPr>
              <w:adjustRightInd w:val="0"/>
              <w:snapToGrid w:val="0"/>
              <w:jc w:val="center"/>
              <w:rPr>
                <w:color w:val="auto"/>
                <w:sz w:val="24"/>
              </w:rPr>
            </w:pPr>
            <w:r>
              <w:rPr>
                <w:color w:val="auto"/>
                <w:sz w:val="24"/>
              </w:rPr>
              <w:t>2303-511102-04-01-773947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557" w:type="pct"/>
            <w:tcMar>
              <w:top w:w="16" w:type="dxa"/>
              <w:left w:w="16" w:type="dxa"/>
              <w:right w:w="16" w:type="dxa"/>
            </w:tcMar>
            <w:vAlign w:val="center"/>
          </w:tcPr>
          <w:p>
            <w:pPr>
              <w:adjustRightInd w:val="0"/>
              <w:snapToGrid w:val="0"/>
              <w:jc w:val="center"/>
              <w:rPr>
                <w:b/>
                <w:bCs/>
                <w:color w:val="auto"/>
                <w:sz w:val="24"/>
              </w:rPr>
            </w:pPr>
            <w:r>
              <w:rPr>
                <w:b/>
                <w:bCs/>
                <w:color w:val="auto"/>
                <w:sz w:val="24"/>
              </w:rPr>
              <w:t>建设单位联系人</w:t>
            </w:r>
          </w:p>
        </w:tc>
        <w:tc>
          <w:tcPr>
            <w:tcW w:w="820" w:type="pct"/>
            <w:vAlign w:val="center"/>
          </w:tcPr>
          <w:p>
            <w:pPr>
              <w:adjustRightInd w:val="0"/>
              <w:snapToGrid w:val="0"/>
              <w:jc w:val="center"/>
              <w:rPr>
                <w:color w:val="auto"/>
                <w:sz w:val="24"/>
              </w:rPr>
            </w:pPr>
            <w:r>
              <w:rPr>
                <w:color w:val="auto"/>
                <w:sz w:val="24"/>
              </w:rPr>
              <w:t>卓建</w:t>
            </w:r>
          </w:p>
        </w:tc>
        <w:tc>
          <w:tcPr>
            <w:tcW w:w="1437" w:type="pct"/>
            <w:vAlign w:val="center"/>
          </w:tcPr>
          <w:p>
            <w:pPr>
              <w:adjustRightInd w:val="0"/>
              <w:snapToGrid w:val="0"/>
              <w:jc w:val="center"/>
              <w:rPr>
                <w:color w:val="auto"/>
                <w:sz w:val="24"/>
              </w:rPr>
            </w:pPr>
            <w:r>
              <w:rPr>
                <w:color w:val="auto"/>
                <w:sz w:val="24"/>
              </w:rPr>
              <w:t>联系方式</w:t>
            </w:r>
          </w:p>
        </w:tc>
        <w:tc>
          <w:tcPr>
            <w:tcW w:w="2184" w:type="pct"/>
            <w:vAlign w:val="center"/>
          </w:tcPr>
          <w:p>
            <w:pPr>
              <w:adjustRightInd w:val="0"/>
              <w:snapToGrid w:val="0"/>
              <w:jc w:val="center"/>
              <w:rPr>
                <w:color w:val="auto"/>
                <w:sz w:val="24"/>
              </w:rPr>
            </w:pPr>
            <w:r>
              <w:rPr>
                <w:color w:val="auto"/>
                <w:sz w:val="24"/>
              </w:rPr>
              <w:t>15583229222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557" w:type="pct"/>
            <w:tcMar>
              <w:top w:w="16" w:type="dxa"/>
              <w:left w:w="16" w:type="dxa"/>
              <w:right w:w="16" w:type="dxa"/>
            </w:tcMar>
            <w:vAlign w:val="center"/>
          </w:tcPr>
          <w:p>
            <w:pPr>
              <w:adjustRightInd w:val="0"/>
              <w:snapToGrid w:val="0"/>
              <w:jc w:val="center"/>
              <w:rPr>
                <w:b/>
                <w:bCs/>
                <w:color w:val="auto"/>
                <w:sz w:val="24"/>
              </w:rPr>
            </w:pPr>
            <w:r>
              <w:rPr>
                <w:b/>
                <w:bCs/>
                <w:color w:val="auto"/>
                <w:sz w:val="24"/>
              </w:rPr>
              <w:t>建设地点</w:t>
            </w:r>
          </w:p>
        </w:tc>
        <w:tc>
          <w:tcPr>
            <w:tcW w:w="4442" w:type="pct"/>
            <w:gridSpan w:val="3"/>
            <w:vAlign w:val="center"/>
          </w:tcPr>
          <w:p>
            <w:pPr>
              <w:adjustRightInd w:val="0"/>
              <w:snapToGrid w:val="0"/>
              <w:jc w:val="center"/>
              <w:rPr>
                <w:color w:val="auto"/>
                <w:sz w:val="24"/>
              </w:rPr>
            </w:pPr>
            <w:r>
              <w:rPr>
                <w:color w:val="auto"/>
                <w:sz w:val="24"/>
              </w:rPr>
              <w:t>四川省乐山市市中区悦来镇龙岩村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557" w:type="pct"/>
            <w:tcMar>
              <w:top w:w="16" w:type="dxa"/>
              <w:left w:w="16" w:type="dxa"/>
              <w:right w:w="16" w:type="dxa"/>
            </w:tcMar>
            <w:vAlign w:val="center"/>
          </w:tcPr>
          <w:p>
            <w:pPr>
              <w:adjustRightInd w:val="0"/>
              <w:snapToGrid w:val="0"/>
              <w:jc w:val="center"/>
              <w:rPr>
                <w:b/>
                <w:bCs/>
                <w:color w:val="auto"/>
                <w:sz w:val="24"/>
              </w:rPr>
            </w:pPr>
            <w:r>
              <w:rPr>
                <w:b/>
                <w:bCs/>
                <w:color w:val="auto"/>
                <w:sz w:val="24"/>
              </w:rPr>
              <w:t>地理坐标</w:t>
            </w:r>
          </w:p>
        </w:tc>
        <w:tc>
          <w:tcPr>
            <w:tcW w:w="4442" w:type="pct"/>
            <w:gridSpan w:val="3"/>
            <w:vAlign w:val="center"/>
          </w:tcPr>
          <w:p>
            <w:pPr>
              <w:jc w:val="center"/>
              <w:rPr>
                <w:color w:val="auto"/>
                <w:sz w:val="24"/>
              </w:rPr>
            </w:pPr>
            <w:r>
              <w:rPr>
                <w:color w:val="auto"/>
                <w:sz w:val="24"/>
              </w:rPr>
              <w:t>（东经：</w:t>
            </w:r>
            <w:r>
              <w:rPr>
                <w:color w:val="auto"/>
                <w:sz w:val="24"/>
                <w:u w:val="single"/>
              </w:rPr>
              <w:t>103</w:t>
            </w:r>
            <w:r>
              <w:rPr>
                <w:color w:val="auto"/>
                <w:sz w:val="24"/>
              </w:rPr>
              <w:t>度</w:t>
            </w:r>
            <w:r>
              <w:rPr>
                <w:color w:val="auto"/>
                <w:sz w:val="24"/>
                <w:u w:val="single"/>
              </w:rPr>
              <w:t>43</w:t>
            </w:r>
            <w:r>
              <w:rPr>
                <w:color w:val="auto"/>
                <w:sz w:val="24"/>
              </w:rPr>
              <w:t>分</w:t>
            </w:r>
            <w:r>
              <w:rPr>
                <w:color w:val="auto"/>
                <w:sz w:val="24"/>
                <w:u w:val="single"/>
              </w:rPr>
              <w:t>58.688</w:t>
            </w:r>
            <w:r>
              <w:rPr>
                <w:color w:val="auto"/>
                <w:sz w:val="24"/>
              </w:rPr>
              <w:t>秒，北纬：</w:t>
            </w:r>
            <w:r>
              <w:rPr>
                <w:color w:val="auto"/>
                <w:sz w:val="24"/>
                <w:u w:val="single"/>
              </w:rPr>
              <w:t>29</w:t>
            </w:r>
            <w:r>
              <w:rPr>
                <w:color w:val="auto"/>
                <w:sz w:val="24"/>
              </w:rPr>
              <w:t>度</w:t>
            </w:r>
            <w:r>
              <w:rPr>
                <w:color w:val="auto"/>
                <w:sz w:val="24"/>
                <w:u w:val="single"/>
              </w:rPr>
              <w:t>40</w:t>
            </w:r>
            <w:r>
              <w:rPr>
                <w:color w:val="auto"/>
                <w:sz w:val="24"/>
              </w:rPr>
              <w:t>分</w:t>
            </w:r>
            <w:r>
              <w:rPr>
                <w:color w:val="auto"/>
                <w:sz w:val="24"/>
                <w:u w:val="single"/>
              </w:rPr>
              <w:t>27.914</w:t>
            </w:r>
            <w:r>
              <w:rPr>
                <w:color w:val="auto"/>
                <w:sz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557" w:type="pct"/>
            <w:tcMar>
              <w:top w:w="16" w:type="dxa"/>
              <w:left w:w="16" w:type="dxa"/>
              <w:right w:w="16" w:type="dxa"/>
            </w:tcMar>
            <w:vAlign w:val="center"/>
          </w:tcPr>
          <w:p>
            <w:pPr>
              <w:adjustRightInd w:val="0"/>
              <w:snapToGrid w:val="0"/>
              <w:jc w:val="center"/>
              <w:rPr>
                <w:b/>
                <w:bCs/>
                <w:color w:val="auto"/>
                <w:sz w:val="24"/>
              </w:rPr>
            </w:pPr>
            <w:r>
              <w:rPr>
                <w:b/>
                <w:bCs/>
                <w:color w:val="auto"/>
                <w:sz w:val="24"/>
              </w:rPr>
              <w:t>国民经济</w:t>
            </w:r>
          </w:p>
          <w:p>
            <w:pPr>
              <w:adjustRightInd w:val="0"/>
              <w:snapToGrid w:val="0"/>
              <w:jc w:val="center"/>
              <w:rPr>
                <w:b/>
                <w:bCs/>
                <w:color w:val="auto"/>
                <w:sz w:val="24"/>
              </w:rPr>
            </w:pPr>
            <w:r>
              <w:rPr>
                <w:b/>
                <w:bCs/>
                <w:color w:val="auto"/>
                <w:sz w:val="24"/>
              </w:rPr>
              <w:t>行业类别</w:t>
            </w:r>
          </w:p>
        </w:tc>
        <w:tc>
          <w:tcPr>
            <w:tcW w:w="820" w:type="pct"/>
            <w:vAlign w:val="center"/>
          </w:tcPr>
          <w:p>
            <w:pPr>
              <w:adjustRightInd w:val="0"/>
              <w:snapToGrid w:val="0"/>
              <w:jc w:val="center"/>
              <w:rPr>
                <w:color w:val="auto"/>
              </w:rPr>
            </w:pPr>
            <w:r>
              <w:rPr>
                <w:rFonts w:hint="eastAsia"/>
                <w:color w:val="auto"/>
                <w:sz w:val="24"/>
                <w:lang w:eastAsia="zh-CN"/>
              </w:rPr>
              <w:t>C3029其他水泥类似制品制造</w:t>
            </w:r>
          </w:p>
        </w:tc>
        <w:tc>
          <w:tcPr>
            <w:tcW w:w="1437" w:type="pct"/>
            <w:vAlign w:val="center"/>
          </w:tcPr>
          <w:p>
            <w:pPr>
              <w:adjustRightInd w:val="0"/>
              <w:snapToGrid w:val="0"/>
              <w:jc w:val="center"/>
              <w:rPr>
                <w:b/>
                <w:bCs/>
                <w:color w:val="auto"/>
                <w:sz w:val="24"/>
              </w:rPr>
            </w:pPr>
            <w:r>
              <w:rPr>
                <w:b/>
                <w:bCs/>
                <w:color w:val="auto"/>
                <w:sz w:val="24"/>
              </w:rPr>
              <w:t>建设项目</w:t>
            </w:r>
          </w:p>
          <w:p>
            <w:pPr>
              <w:adjustRightInd w:val="0"/>
              <w:snapToGrid w:val="0"/>
              <w:jc w:val="center"/>
              <w:rPr>
                <w:b/>
                <w:bCs/>
                <w:color w:val="auto"/>
                <w:sz w:val="24"/>
              </w:rPr>
            </w:pPr>
            <w:r>
              <w:rPr>
                <w:b/>
                <w:bCs/>
                <w:color w:val="auto"/>
                <w:sz w:val="24"/>
              </w:rPr>
              <w:t>行业类别</w:t>
            </w:r>
          </w:p>
        </w:tc>
        <w:tc>
          <w:tcPr>
            <w:tcW w:w="2184" w:type="pct"/>
            <w:vAlign w:val="center"/>
          </w:tcPr>
          <w:p>
            <w:pPr>
              <w:adjustRightInd w:val="0"/>
              <w:snapToGrid w:val="0"/>
              <w:rPr>
                <w:color w:val="auto"/>
                <w:sz w:val="24"/>
              </w:rPr>
            </w:pPr>
            <w:r>
              <w:rPr>
                <w:rFonts w:hint="eastAsia"/>
                <w:color w:val="auto"/>
                <w:sz w:val="24"/>
              </w:rPr>
              <w:t>二十七非金属矿物制品业中55“石膏、水泥制品及类似制品制造302”中“水泥制品制造”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9" w:hRule="atLeast"/>
          <w:jc w:val="center"/>
        </w:trPr>
        <w:tc>
          <w:tcPr>
            <w:tcW w:w="557" w:type="pct"/>
            <w:tcMar>
              <w:top w:w="16" w:type="dxa"/>
              <w:left w:w="16" w:type="dxa"/>
              <w:right w:w="16" w:type="dxa"/>
            </w:tcMar>
            <w:vAlign w:val="center"/>
          </w:tcPr>
          <w:p>
            <w:pPr>
              <w:adjustRightInd w:val="0"/>
              <w:snapToGrid w:val="0"/>
              <w:jc w:val="center"/>
              <w:rPr>
                <w:b/>
                <w:bCs/>
                <w:color w:val="auto"/>
                <w:sz w:val="24"/>
              </w:rPr>
            </w:pPr>
            <w:r>
              <w:rPr>
                <w:b/>
                <w:bCs/>
                <w:color w:val="auto"/>
                <w:sz w:val="24"/>
              </w:rPr>
              <w:t>建设性质</w:t>
            </w:r>
          </w:p>
        </w:tc>
        <w:tc>
          <w:tcPr>
            <w:tcW w:w="820" w:type="pct"/>
            <w:vAlign w:val="center"/>
          </w:tcPr>
          <w:p>
            <w:pPr>
              <w:jc w:val="left"/>
              <w:rPr>
                <w:color w:val="auto"/>
                <w:sz w:val="24"/>
              </w:rPr>
            </w:pPr>
            <w:r>
              <w:rPr>
                <w:color w:val="auto"/>
                <w:sz w:val="24"/>
              </w:rPr>
              <w:sym w:font="Wingdings 2" w:char="0052"/>
            </w:r>
            <w:r>
              <w:rPr>
                <w:color w:val="auto"/>
                <w:sz w:val="24"/>
              </w:rPr>
              <w:t>新建（迁建）</w:t>
            </w:r>
          </w:p>
          <w:p>
            <w:pPr>
              <w:jc w:val="left"/>
              <w:rPr>
                <w:color w:val="auto"/>
                <w:sz w:val="24"/>
              </w:rPr>
            </w:pPr>
            <w:r>
              <w:rPr>
                <w:color w:val="auto"/>
                <w:sz w:val="24"/>
              </w:rPr>
              <w:sym w:font="Wingdings 2" w:char="00A3"/>
            </w:r>
            <w:r>
              <w:rPr>
                <w:color w:val="auto"/>
                <w:sz w:val="24"/>
              </w:rPr>
              <w:t>改建</w:t>
            </w:r>
          </w:p>
          <w:p>
            <w:pPr>
              <w:jc w:val="left"/>
              <w:rPr>
                <w:color w:val="auto"/>
                <w:sz w:val="24"/>
              </w:rPr>
            </w:pPr>
            <w:r>
              <w:rPr>
                <w:color w:val="auto"/>
                <w:sz w:val="24"/>
              </w:rPr>
              <w:sym w:font="Wingdings 2" w:char="00A3"/>
            </w:r>
            <w:r>
              <w:rPr>
                <w:color w:val="auto"/>
                <w:sz w:val="24"/>
              </w:rPr>
              <w:t>扩建</w:t>
            </w:r>
          </w:p>
          <w:p>
            <w:pPr>
              <w:jc w:val="left"/>
              <w:rPr>
                <w:color w:val="auto"/>
                <w:sz w:val="24"/>
              </w:rPr>
            </w:pPr>
            <w:r>
              <w:rPr>
                <w:color w:val="auto"/>
                <w:sz w:val="24"/>
              </w:rPr>
              <w:sym w:font="Wingdings 2" w:char="00A3"/>
            </w:r>
            <w:r>
              <w:rPr>
                <w:color w:val="auto"/>
                <w:sz w:val="24"/>
              </w:rPr>
              <w:t>技术改造</w:t>
            </w:r>
          </w:p>
        </w:tc>
        <w:tc>
          <w:tcPr>
            <w:tcW w:w="1437" w:type="pct"/>
            <w:vAlign w:val="center"/>
          </w:tcPr>
          <w:p>
            <w:pPr>
              <w:adjustRightInd w:val="0"/>
              <w:snapToGrid w:val="0"/>
              <w:jc w:val="center"/>
              <w:rPr>
                <w:b/>
                <w:bCs/>
                <w:color w:val="auto"/>
                <w:sz w:val="24"/>
              </w:rPr>
            </w:pPr>
            <w:r>
              <w:rPr>
                <w:b/>
                <w:bCs/>
                <w:color w:val="auto"/>
                <w:sz w:val="24"/>
              </w:rPr>
              <w:t>建设项目</w:t>
            </w:r>
          </w:p>
          <w:p>
            <w:pPr>
              <w:adjustRightInd w:val="0"/>
              <w:snapToGrid w:val="0"/>
              <w:jc w:val="center"/>
              <w:rPr>
                <w:b/>
                <w:bCs/>
                <w:color w:val="auto"/>
                <w:sz w:val="24"/>
              </w:rPr>
            </w:pPr>
            <w:r>
              <w:rPr>
                <w:b/>
                <w:bCs/>
                <w:color w:val="auto"/>
                <w:sz w:val="24"/>
              </w:rPr>
              <w:t>申报情形</w:t>
            </w:r>
          </w:p>
        </w:tc>
        <w:tc>
          <w:tcPr>
            <w:tcW w:w="2184" w:type="pct"/>
            <w:vAlign w:val="center"/>
          </w:tcPr>
          <w:p>
            <w:pPr>
              <w:jc w:val="left"/>
              <w:rPr>
                <w:color w:val="auto"/>
                <w:sz w:val="24"/>
              </w:rPr>
            </w:pPr>
            <w:r>
              <w:rPr>
                <w:color w:val="auto"/>
                <w:sz w:val="24"/>
              </w:rPr>
              <w:sym w:font="Wingdings 2" w:char="0052"/>
            </w:r>
            <w:r>
              <w:rPr>
                <w:color w:val="auto"/>
                <w:sz w:val="24"/>
              </w:rPr>
              <w:t xml:space="preserve">首次申报项目             </w:t>
            </w:r>
          </w:p>
          <w:p>
            <w:pPr>
              <w:jc w:val="left"/>
              <w:rPr>
                <w:color w:val="auto"/>
                <w:sz w:val="24"/>
              </w:rPr>
            </w:pPr>
            <w:r>
              <w:rPr>
                <w:color w:val="auto"/>
                <w:sz w:val="24"/>
              </w:rPr>
              <w:sym w:font="Wingdings 2" w:char="00A3"/>
            </w:r>
            <w:r>
              <w:rPr>
                <w:color w:val="auto"/>
                <w:sz w:val="24"/>
              </w:rPr>
              <w:t>不予批准后再次申报项目</w:t>
            </w:r>
          </w:p>
          <w:p>
            <w:pPr>
              <w:jc w:val="left"/>
              <w:rPr>
                <w:color w:val="auto"/>
                <w:sz w:val="24"/>
              </w:rPr>
            </w:pPr>
            <w:r>
              <w:rPr>
                <w:color w:val="auto"/>
                <w:sz w:val="24"/>
              </w:rPr>
              <w:sym w:font="Wingdings 2" w:char="00A3"/>
            </w:r>
            <w:r>
              <w:rPr>
                <w:color w:val="auto"/>
                <w:sz w:val="24"/>
              </w:rPr>
              <w:t xml:space="preserve">超五年重新审核项目     </w:t>
            </w:r>
          </w:p>
          <w:p>
            <w:pPr>
              <w:jc w:val="left"/>
              <w:rPr>
                <w:color w:val="auto"/>
                <w:sz w:val="24"/>
              </w:rPr>
            </w:pPr>
            <w:r>
              <w:rPr>
                <w:color w:val="auto"/>
                <w:sz w:val="24"/>
              </w:rPr>
              <w:sym w:font="Wingdings 2" w:char="00A3"/>
            </w:r>
            <w:r>
              <w:rPr>
                <w:color w:val="auto"/>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7" w:type="pct"/>
            <w:tcMar>
              <w:top w:w="16" w:type="dxa"/>
              <w:left w:w="16" w:type="dxa"/>
              <w:right w:w="16" w:type="dxa"/>
            </w:tcMar>
            <w:vAlign w:val="center"/>
          </w:tcPr>
          <w:p>
            <w:pPr>
              <w:adjustRightInd w:val="0"/>
              <w:snapToGrid w:val="0"/>
              <w:jc w:val="center"/>
              <w:rPr>
                <w:b/>
                <w:bCs/>
                <w:color w:val="auto"/>
                <w:sz w:val="24"/>
              </w:rPr>
            </w:pPr>
            <w:r>
              <w:rPr>
                <w:b/>
                <w:bCs/>
                <w:color w:val="auto"/>
                <w:sz w:val="24"/>
              </w:rPr>
              <w:t>项目审批（核准/备案）部门（选填）</w:t>
            </w:r>
          </w:p>
        </w:tc>
        <w:tc>
          <w:tcPr>
            <w:tcW w:w="820" w:type="pct"/>
            <w:vAlign w:val="center"/>
          </w:tcPr>
          <w:p>
            <w:pPr>
              <w:adjustRightInd w:val="0"/>
              <w:snapToGrid w:val="0"/>
              <w:jc w:val="center"/>
              <w:rPr>
                <w:color w:val="auto"/>
                <w:sz w:val="24"/>
              </w:rPr>
            </w:pPr>
            <w:r>
              <w:rPr>
                <w:color w:val="auto"/>
                <w:sz w:val="24"/>
              </w:rPr>
              <w:t>乐山市中区发展和改革局</w:t>
            </w:r>
          </w:p>
        </w:tc>
        <w:tc>
          <w:tcPr>
            <w:tcW w:w="1437" w:type="pct"/>
            <w:vAlign w:val="center"/>
          </w:tcPr>
          <w:p>
            <w:pPr>
              <w:adjustRightInd w:val="0"/>
              <w:snapToGrid w:val="0"/>
              <w:jc w:val="center"/>
              <w:rPr>
                <w:b/>
                <w:bCs/>
                <w:color w:val="auto"/>
                <w:sz w:val="24"/>
              </w:rPr>
            </w:pPr>
            <w:r>
              <w:rPr>
                <w:b/>
                <w:bCs/>
                <w:color w:val="auto"/>
                <w:sz w:val="24"/>
              </w:rPr>
              <w:t>项目审批（核准/</w:t>
            </w:r>
          </w:p>
          <w:p>
            <w:pPr>
              <w:adjustRightInd w:val="0"/>
              <w:snapToGrid w:val="0"/>
              <w:jc w:val="center"/>
              <w:rPr>
                <w:b/>
                <w:bCs/>
                <w:color w:val="auto"/>
                <w:sz w:val="24"/>
              </w:rPr>
            </w:pPr>
            <w:r>
              <w:rPr>
                <w:b/>
                <w:bCs/>
                <w:color w:val="auto"/>
                <w:sz w:val="24"/>
              </w:rPr>
              <w:t>备案）文号（选填）</w:t>
            </w:r>
          </w:p>
        </w:tc>
        <w:tc>
          <w:tcPr>
            <w:tcW w:w="2184" w:type="pct"/>
            <w:vAlign w:val="center"/>
          </w:tcPr>
          <w:p>
            <w:pPr>
              <w:adjustRightInd w:val="0"/>
              <w:snapToGrid w:val="0"/>
              <w:jc w:val="center"/>
              <w:rPr>
                <w:color w:val="auto"/>
                <w:sz w:val="24"/>
              </w:rPr>
            </w:pPr>
            <w:r>
              <w:rPr>
                <w:color w:val="auto"/>
                <w:sz w:val="24"/>
              </w:rPr>
              <w:t>川投资备【2303-511102-04-01-773947】FGQB-0053号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557" w:type="pct"/>
            <w:tcMar>
              <w:top w:w="16" w:type="dxa"/>
              <w:left w:w="16" w:type="dxa"/>
              <w:right w:w="16" w:type="dxa"/>
            </w:tcMar>
            <w:vAlign w:val="center"/>
          </w:tcPr>
          <w:p>
            <w:pPr>
              <w:adjustRightInd w:val="0"/>
              <w:snapToGrid w:val="0"/>
              <w:jc w:val="center"/>
              <w:rPr>
                <w:b/>
                <w:bCs/>
                <w:color w:val="auto"/>
                <w:sz w:val="24"/>
              </w:rPr>
            </w:pPr>
            <w:r>
              <w:rPr>
                <w:b/>
                <w:bCs/>
                <w:color w:val="auto"/>
                <w:sz w:val="24"/>
              </w:rPr>
              <w:t>总投资（万元）</w:t>
            </w:r>
          </w:p>
        </w:tc>
        <w:tc>
          <w:tcPr>
            <w:tcW w:w="820" w:type="pct"/>
            <w:vAlign w:val="center"/>
          </w:tcPr>
          <w:p>
            <w:pPr>
              <w:adjustRightInd w:val="0"/>
              <w:snapToGrid w:val="0"/>
              <w:jc w:val="center"/>
              <w:rPr>
                <w:color w:val="auto"/>
                <w:sz w:val="24"/>
              </w:rPr>
            </w:pPr>
            <w:r>
              <w:rPr>
                <w:color w:val="auto"/>
                <w:sz w:val="24"/>
              </w:rPr>
              <w:t>300</w:t>
            </w:r>
          </w:p>
        </w:tc>
        <w:tc>
          <w:tcPr>
            <w:tcW w:w="1437" w:type="pct"/>
            <w:tcMar>
              <w:top w:w="16" w:type="dxa"/>
              <w:left w:w="16" w:type="dxa"/>
              <w:right w:w="16" w:type="dxa"/>
            </w:tcMar>
            <w:vAlign w:val="center"/>
          </w:tcPr>
          <w:p>
            <w:pPr>
              <w:adjustRightInd w:val="0"/>
              <w:snapToGrid w:val="0"/>
              <w:jc w:val="center"/>
              <w:rPr>
                <w:b/>
                <w:bCs/>
                <w:color w:val="auto"/>
                <w:sz w:val="24"/>
              </w:rPr>
            </w:pPr>
            <w:r>
              <w:rPr>
                <w:b/>
                <w:bCs/>
                <w:color w:val="auto"/>
                <w:sz w:val="24"/>
              </w:rPr>
              <w:t>环保投资（万元）</w:t>
            </w:r>
          </w:p>
        </w:tc>
        <w:tc>
          <w:tcPr>
            <w:tcW w:w="2184" w:type="pct"/>
            <w:vAlign w:val="center"/>
          </w:tcPr>
          <w:p>
            <w:pPr>
              <w:adjustRightInd w:val="0"/>
              <w:snapToGrid w:val="0"/>
              <w:jc w:val="center"/>
              <w:rPr>
                <w:color w:val="auto"/>
                <w:sz w:val="24"/>
              </w:rPr>
            </w:pPr>
            <w:r>
              <w:rPr>
                <w:color w:val="auto"/>
                <w:sz w:val="24"/>
              </w:rPr>
              <w:t>35.2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8" w:hRule="atLeast"/>
          <w:jc w:val="center"/>
        </w:trPr>
        <w:tc>
          <w:tcPr>
            <w:tcW w:w="557" w:type="pct"/>
            <w:tcMar>
              <w:top w:w="16" w:type="dxa"/>
              <w:left w:w="16" w:type="dxa"/>
              <w:right w:w="16" w:type="dxa"/>
            </w:tcMar>
            <w:vAlign w:val="center"/>
          </w:tcPr>
          <w:p>
            <w:pPr>
              <w:adjustRightInd w:val="0"/>
              <w:snapToGrid w:val="0"/>
              <w:jc w:val="center"/>
              <w:rPr>
                <w:b/>
                <w:bCs/>
                <w:color w:val="auto"/>
                <w:sz w:val="24"/>
              </w:rPr>
            </w:pPr>
            <w:r>
              <w:rPr>
                <w:b/>
                <w:bCs/>
                <w:color w:val="auto"/>
                <w:sz w:val="24"/>
              </w:rPr>
              <w:t>环保投资占比（%）</w:t>
            </w:r>
          </w:p>
        </w:tc>
        <w:tc>
          <w:tcPr>
            <w:tcW w:w="820" w:type="pct"/>
            <w:vAlign w:val="center"/>
          </w:tcPr>
          <w:p>
            <w:pPr>
              <w:adjustRightInd w:val="0"/>
              <w:snapToGrid w:val="0"/>
              <w:jc w:val="center"/>
              <w:rPr>
                <w:color w:val="auto"/>
                <w:sz w:val="24"/>
              </w:rPr>
            </w:pPr>
            <w:r>
              <w:rPr>
                <w:color w:val="auto"/>
                <w:sz w:val="24"/>
              </w:rPr>
              <w:t>11.7</w:t>
            </w:r>
          </w:p>
        </w:tc>
        <w:tc>
          <w:tcPr>
            <w:tcW w:w="1437" w:type="pct"/>
            <w:tcMar>
              <w:top w:w="16" w:type="dxa"/>
              <w:left w:w="16" w:type="dxa"/>
              <w:right w:w="16" w:type="dxa"/>
            </w:tcMar>
            <w:vAlign w:val="center"/>
          </w:tcPr>
          <w:p>
            <w:pPr>
              <w:adjustRightInd w:val="0"/>
              <w:snapToGrid w:val="0"/>
              <w:jc w:val="center"/>
              <w:rPr>
                <w:b/>
                <w:bCs/>
                <w:color w:val="auto"/>
                <w:sz w:val="24"/>
              </w:rPr>
            </w:pPr>
            <w:r>
              <w:rPr>
                <w:b/>
                <w:bCs/>
                <w:color w:val="auto"/>
                <w:sz w:val="24"/>
              </w:rPr>
              <w:t>施工工期</w:t>
            </w:r>
          </w:p>
        </w:tc>
        <w:tc>
          <w:tcPr>
            <w:tcW w:w="2184" w:type="pct"/>
            <w:vAlign w:val="center"/>
          </w:tcPr>
          <w:p>
            <w:pPr>
              <w:adjustRightInd w:val="0"/>
              <w:snapToGrid w:val="0"/>
              <w:jc w:val="center"/>
              <w:rPr>
                <w:color w:val="auto"/>
                <w:sz w:val="24"/>
              </w:rPr>
            </w:pPr>
            <w:r>
              <w:rPr>
                <w:color w:val="auto"/>
                <w:sz w:val="24"/>
              </w:rPr>
              <w:t>2个月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557" w:type="pct"/>
            <w:tcMar>
              <w:top w:w="16" w:type="dxa"/>
              <w:left w:w="16" w:type="dxa"/>
              <w:right w:w="16" w:type="dxa"/>
            </w:tcMar>
            <w:vAlign w:val="center"/>
          </w:tcPr>
          <w:p>
            <w:pPr>
              <w:adjustRightInd w:val="0"/>
              <w:snapToGrid w:val="0"/>
              <w:jc w:val="center"/>
              <w:rPr>
                <w:b/>
                <w:bCs/>
                <w:color w:val="auto"/>
                <w:sz w:val="24"/>
              </w:rPr>
            </w:pPr>
            <w:r>
              <w:rPr>
                <w:b/>
                <w:bCs/>
                <w:color w:val="auto"/>
                <w:sz w:val="24"/>
              </w:rPr>
              <w:t>是否开工建设</w:t>
            </w:r>
          </w:p>
        </w:tc>
        <w:tc>
          <w:tcPr>
            <w:tcW w:w="820" w:type="pct"/>
            <w:vAlign w:val="center"/>
          </w:tcPr>
          <w:p>
            <w:pPr>
              <w:adjustRightInd w:val="0"/>
              <w:snapToGrid w:val="0"/>
              <w:rPr>
                <w:color w:val="auto"/>
              </w:rPr>
            </w:pPr>
            <w:r>
              <w:rPr>
                <w:color w:val="auto"/>
                <w:sz w:val="24"/>
              </w:rPr>
              <w:sym w:font="Wingdings 2" w:char="0052"/>
            </w:r>
            <w:r>
              <w:rPr>
                <w:color w:val="auto"/>
              </w:rPr>
              <w:t>否</w:t>
            </w:r>
          </w:p>
          <w:p>
            <w:pPr>
              <w:adjustRightInd w:val="0"/>
              <w:snapToGrid w:val="0"/>
              <w:rPr>
                <w:color w:val="auto"/>
              </w:rPr>
            </w:pPr>
            <w:r>
              <w:rPr>
                <w:color w:val="auto"/>
                <w:sz w:val="24"/>
              </w:rPr>
              <w:sym w:font="Wingdings 2" w:char="00A3"/>
            </w:r>
            <w:r>
              <w:rPr>
                <w:color w:val="auto"/>
              </w:rPr>
              <w:t>是：</w:t>
            </w:r>
          </w:p>
        </w:tc>
        <w:tc>
          <w:tcPr>
            <w:tcW w:w="1437" w:type="pct"/>
            <w:tcMar>
              <w:top w:w="16" w:type="dxa"/>
              <w:left w:w="16" w:type="dxa"/>
              <w:right w:w="16" w:type="dxa"/>
            </w:tcMar>
            <w:vAlign w:val="center"/>
          </w:tcPr>
          <w:p>
            <w:pPr>
              <w:adjustRightInd w:val="0"/>
              <w:snapToGrid w:val="0"/>
              <w:jc w:val="center"/>
              <w:rPr>
                <w:b/>
                <w:bCs/>
                <w:color w:val="auto"/>
                <w:spacing w:val="-6"/>
                <w:sz w:val="24"/>
              </w:rPr>
            </w:pPr>
            <w:r>
              <w:rPr>
                <w:b/>
                <w:bCs/>
                <w:color w:val="auto"/>
                <w:spacing w:val="-6"/>
                <w:sz w:val="24"/>
              </w:rPr>
              <w:t>用地（用海）</w:t>
            </w:r>
          </w:p>
          <w:p>
            <w:pPr>
              <w:adjustRightInd w:val="0"/>
              <w:snapToGrid w:val="0"/>
              <w:jc w:val="center"/>
              <w:rPr>
                <w:b/>
                <w:bCs/>
                <w:color w:val="auto"/>
                <w:sz w:val="24"/>
              </w:rPr>
            </w:pPr>
            <w:r>
              <w:rPr>
                <w:b/>
                <w:bCs/>
                <w:color w:val="auto"/>
                <w:spacing w:val="-6"/>
                <w:sz w:val="24"/>
              </w:rPr>
              <w:t>面积（m</w:t>
            </w:r>
            <w:r>
              <w:rPr>
                <w:b/>
                <w:bCs/>
                <w:color w:val="auto"/>
                <w:spacing w:val="-6"/>
                <w:sz w:val="24"/>
                <w:vertAlign w:val="superscript"/>
              </w:rPr>
              <w:t>2</w:t>
            </w:r>
            <w:r>
              <w:rPr>
                <w:b/>
                <w:bCs/>
                <w:color w:val="auto"/>
                <w:spacing w:val="-6"/>
                <w:sz w:val="24"/>
              </w:rPr>
              <w:t>）</w:t>
            </w:r>
          </w:p>
        </w:tc>
        <w:tc>
          <w:tcPr>
            <w:tcW w:w="2184" w:type="pct"/>
            <w:vAlign w:val="center"/>
          </w:tcPr>
          <w:p>
            <w:pPr>
              <w:adjustRightInd w:val="0"/>
              <w:snapToGrid w:val="0"/>
              <w:jc w:val="center"/>
              <w:rPr>
                <w:color w:val="auto"/>
                <w:sz w:val="24"/>
              </w:rPr>
            </w:pPr>
            <w:r>
              <w:rPr>
                <w:color w:val="auto"/>
                <w:spacing w:val="-6"/>
                <w:sz w:val="24"/>
              </w:rPr>
              <w:t>2666.68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557" w:type="pct"/>
            <w:tcMar>
              <w:top w:w="16" w:type="dxa"/>
              <w:left w:w="16" w:type="dxa"/>
              <w:right w:w="16" w:type="dxa"/>
            </w:tcMar>
            <w:vAlign w:val="center"/>
          </w:tcPr>
          <w:p>
            <w:pPr>
              <w:adjustRightInd w:val="0"/>
              <w:snapToGrid w:val="0"/>
              <w:jc w:val="center"/>
              <w:rPr>
                <w:b/>
                <w:bCs/>
                <w:color w:val="auto"/>
                <w:sz w:val="24"/>
              </w:rPr>
            </w:pPr>
            <w:r>
              <w:rPr>
                <w:b/>
                <w:bCs/>
                <w:color w:val="auto"/>
                <w:kern w:val="0"/>
                <w:sz w:val="24"/>
              </w:rPr>
              <w:t>专项评价设置情况</w:t>
            </w:r>
          </w:p>
        </w:tc>
        <w:tc>
          <w:tcPr>
            <w:tcW w:w="4442" w:type="pct"/>
            <w:gridSpan w:val="3"/>
            <w:vAlign w:val="center"/>
          </w:tcPr>
          <w:p>
            <w:pPr>
              <w:adjustRightInd w:val="0"/>
              <w:snapToGrid w:val="0"/>
              <w:jc w:val="center"/>
              <w:rPr>
                <w:b/>
                <w:bCs/>
                <w:color w:val="auto"/>
                <w:sz w:val="24"/>
              </w:rPr>
            </w:pPr>
            <w:r>
              <w:rPr>
                <w:b/>
                <w:bCs/>
                <w:color w:val="auto"/>
                <w:sz w:val="24"/>
              </w:rPr>
              <w:t>专项评价设置要求一览表</w:t>
            </w:r>
          </w:p>
          <w:tbl>
            <w:tblPr>
              <w:tblStyle w:val="41"/>
              <w:tblW w:w="4999"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970"/>
              <w:gridCol w:w="4510"/>
              <w:gridCol w:w="2022"/>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8" w:hRule="atLeast"/>
                <w:jc w:val="center"/>
              </w:trPr>
              <w:tc>
                <w:tcPr>
                  <w:tcW w:w="1158" w:type="pct"/>
                  <w:tcBorders>
                    <w:bottom w:val="single" w:color="000000" w:sz="4" w:space="0"/>
                    <w:right w:val="single" w:color="000000" w:sz="4" w:space="0"/>
                  </w:tcBorders>
                  <w:vAlign w:val="center"/>
                </w:tcPr>
                <w:p>
                  <w:pPr>
                    <w:autoSpaceDE w:val="0"/>
                    <w:autoSpaceDN w:val="0"/>
                    <w:adjustRightInd w:val="0"/>
                    <w:snapToGrid w:val="0"/>
                    <w:jc w:val="center"/>
                    <w:rPr>
                      <w:b/>
                      <w:bCs/>
                      <w:color w:val="auto"/>
                      <w:kern w:val="21"/>
                      <w:szCs w:val="21"/>
                    </w:rPr>
                  </w:pPr>
                  <w:r>
                    <w:rPr>
                      <w:b/>
                      <w:bCs/>
                      <w:color w:val="auto"/>
                      <w:kern w:val="21"/>
                      <w:szCs w:val="21"/>
                    </w:rPr>
                    <w:t>专项评价的类别</w:t>
                  </w:r>
                </w:p>
              </w:tc>
              <w:tc>
                <w:tcPr>
                  <w:tcW w:w="2652" w:type="pct"/>
                  <w:tcBorders>
                    <w:left w:val="single" w:color="000000" w:sz="4" w:space="0"/>
                    <w:bottom w:val="single" w:color="000000" w:sz="4" w:space="0"/>
                  </w:tcBorders>
                  <w:vAlign w:val="center"/>
                </w:tcPr>
                <w:p>
                  <w:pPr>
                    <w:autoSpaceDE w:val="0"/>
                    <w:autoSpaceDN w:val="0"/>
                    <w:adjustRightInd w:val="0"/>
                    <w:snapToGrid w:val="0"/>
                    <w:jc w:val="center"/>
                    <w:rPr>
                      <w:b/>
                      <w:bCs/>
                      <w:color w:val="auto"/>
                      <w:kern w:val="21"/>
                      <w:szCs w:val="21"/>
                    </w:rPr>
                  </w:pPr>
                  <w:r>
                    <w:rPr>
                      <w:b/>
                      <w:bCs/>
                      <w:color w:val="auto"/>
                      <w:kern w:val="21"/>
                      <w:szCs w:val="21"/>
                    </w:rPr>
                    <w:t>设置原则</w:t>
                  </w:r>
                </w:p>
              </w:tc>
              <w:tc>
                <w:tcPr>
                  <w:tcW w:w="1189" w:type="pct"/>
                  <w:tcBorders>
                    <w:left w:val="single" w:color="000000" w:sz="4" w:space="0"/>
                    <w:bottom w:val="single" w:color="000000" w:sz="4" w:space="0"/>
                  </w:tcBorders>
                  <w:vAlign w:val="center"/>
                </w:tcPr>
                <w:p>
                  <w:pPr>
                    <w:autoSpaceDE w:val="0"/>
                    <w:autoSpaceDN w:val="0"/>
                    <w:adjustRightInd w:val="0"/>
                    <w:snapToGrid w:val="0"/>
                    <w:jc w:val="center"/>
                    <w:rPr>
                      <w:b/>
                      <w:bCs/>
                      <w:color w:val="auto"/>
                      <w:kern w:val="21"/>
                      <w:szCs w:val="21"/>
                    </w:rPr>
                  </w:pPr>
                  <w:r>
                    <w:rPr>
                      <w:b/>
                      <w:bCs/>
                      <w:color w:val="auto"/>
                      <w:kern w:val="21"/>
                      <w:szCs w:val="21"/>
                    </w:rPr>
                    <w:t>本项目</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1158" w:type="pct"/>
                  <w:tcBorders>
                    <w:top w:val="single" w:color="000000" w:sz="4" w:space="0"/>
                    <w:bottom w:val="single" w:color="000000" w:sz="4" w:space="0"/>
                    <w:right w:val="single" w:color="000000" w:sz="4" w:space="0"/>
                  </w:tcBorders>
                  <w:vAlign w:val="center"/>
                </w:tcPr>
                <w:p>
                  <w:pPr>
                    <w:autoSpaceDE w:val="0"/>
                    <w:autoSpaceDN w:val="0"/>
                    <w:adjustRightInd w:val="0"/>
                    <w:snapToGrid w:val="0"/>
                    <w:jc w:val="center"/>
                    <w:rPr>
                      <w:color w:val="auto"/>
                      <w:kern w:val="21"/>
                      <w:szCs w:val="21"/>
                    </w:rPr>
                  </w:pPr>
                  <w:r>
                    <w:rPr>
                      <w:color w:val="auto"/>
                      <w:kern w:val="21"/>
                      <w:szCs w:val="21"/>
                    </w:rPr>
                    <w:t>大气</w:t>
                  </w:r>
                </w:p>
              </w:tc>
              <w:tc>
                <w:tcPr>
                  <w:tcW w:w="2652" w:type="pct"/>
                  <w:tcBorders>
                    <w:top w:val="single" w:color="000000" w:sz="4" w:space="0"/>
                    <w:left w:val="single" w:color="000000" w:sz="4" w:space="0"/>
                    <w:bottom w:val="single" w:color="000000" w:sz="4" w:space="0"/>
                  </w:tcBorders>
                  <w:vAlign w:val="center"/>
                </w:tcPr>
                <w:p>
                  <w:pPr>
                    <w:autoSpaceDE w:val="0"/>
                    <w:autoSpaceDN w:val="0"/>
                    <w:adjustRightInd w:val="0"/>
                    <w:snapToGrid w:val="0"/>
                    <w:jc w:val="center"/>
                    <w:rPr>
                      <w:color w:val="auto"/>
                      <w:kern w:val="21"/>
                      <w:szCs w:val="21"/>
                    </w:rPr>
                  </w:pPr>
                  <w:r>
                    <w:rPr>
                      <w:color w:val="auto"/>
                      <w:kern w:val="21"/>
                      <w:szCs w:val="21"/>
                    </w:rPr>
                    <w:t>排放废气含有毒有害污染物、二噁英、苯并〔a〕芘、氰化物、氯气且厂界外500米范围内有环境空气保护目标的建设项目</w:t>
                  </w:r>
                </w:p>
              </w:tc>
              <w:tc>
                <w:tcPr>
                  <w:tcW w:w="1189" w:type="pct"/>
                  <w:tcBorders>
                    <w:top w:val="single" w:color="000000" w:sz="4" w:space="0"/>
                    <w:left w:val="single" w:color="000000" w:sz="4" w:space="0"/>
                    <w:bottom w:val="single" w:color="000000" w:sz="4" w:space="0"/>
                  </w:tcBorders>
                  <w:vAlign w:val="center"/>
                </w:tcPr>
                <w:p>
                  <w:pPr>
                    <w:autoSpaceDE w:val="0"/>
                    <w:autoSpaceDN w:val="0"/>
                    <w:adjustRightInd w:val="0"/>
                    <w:snapToGrid w:val="0"/>
                    <w:jc w:val="center"/>
                    <w:rPr>
                      <w:color w:val="auto"/>
                      <w:kern w:val="21"/>
                      <w:szCs w:val="21"/>
                    </w:rPr>
                  </w:pPr>
                  <w:r>
                    <w:rPr>
                      <w:color w:val="auto"/>
                      <w:kern w:val="0"/>
                      <w:szCs w:val="21"/>
                    </w:rPr>
                    <w:t>本项目排放的废气主要为颗粒物，不涉及有毒有害污染物、二噁英、苯并〔α〕芘、氰化物、氯气等</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8" w:hRule="atLeast"/>
                <w:jc w:val="center"/>
              </w:trPr>
              <w:tc>
                <w:tcPr>
                  <w:tcW w:w="1158" w:type="pct"/>
                  <w:tcBorders>
                    <w:top w:val="single" w:color="000000" w:sz="4" w:space="0"/>
                    <w:bottom w:val="single" w:color="000000" w:sz="4" w:space="0"/>
                    <w:right w:val="single" w:color="000000" w:sz="4" w:space="0"/>
                  </w:tcBorders>
                  <w:vAlign w:val="center"/>
                </w:tcPr>
                <w:p>
                  <w:pPr>
                    <w:autoSpaceDE w:val="0"/>
                    <w:autoSpaceDN w:val="0"/>
                    <w:adjustRightInd w:val="0"/>
                    <w:snapToGrid w:val="0"/>
                    <w:jc w:val="center"/>
                    <w:rPr>
                      <w:color w:val="auto"/>
                      <w:kern w:val="21"/>
                      <w:szCs w:val="21"/>
                    </w:rPr>
                  </w:pPr>
                  <w:r>
                    <w:rPr>
                      <w:color w:val="auto"/>
                      <w:kern w:val="21"/>
                      <w:szCs w:val="21"/>
                    </w:rPr>
                    <w:t>地表水</w:t>
                  </w:r>
                </w:p>
              </w:tc>
              <w:tc>
                <w:tcPr>
                  <w:tcW w:w="2652" w:type="pct"/>
                  <w:tcBorders>
                    <w:top w:val="single" w:color="000000" w:sz="4" w:space="0"/>
                    <w:left w:val="single" w:color="000000" w:sz="4" w:space="0"/>
                    <w:bottom w:val="single" w:color="000000" w:sz="4" w:space="0"/>
                  </w:tcBorders>
                  <w:vAlign w:val="center"/>
                </w:tcPr>
                <w:p>
                  <w:pPr>
                    <w:autoSpaceDE w:val="0"/>
                    <w:autoSpaceDN w:val="0"/>
                    <w:adjustRightInd w:val="0"/>
                    <w:snapToGrid w:val="0"/>
                    <w:jc w:val="center"/>
                    <w:rPr>
                      <w:color w:val="auto"/>
                      <w:kern w:val="21"/>
                      <w:szCs w:val="21"/>
                    </w:rPr>
                  </w:pPr>
                  <w:r>
                    <w:rPr>
                      <w:color w:val="auto"/>
                      <w:kern w:val="21"/>
                      <w:szCs w:val="21"/>
                    </w:rPr>
                    <w:t>新增工业废水直排建设项目（槽罐车外送污水处理厂的除外）；新增废水直排的污水集中处理厂</w:t>
                  </w:r>
                </w:p>
              </w:tc>
              <w:tc>
                <w:tcPr>
                  <w:tcW w:w="1189" w:type="pct"/>
                  <w:tcBorders>
                    <w:top w:val="single" w:color="000000" w:sz="4" w:space="0"/>
                    <w:left w:val="single" w:color="000000" w:sz="4" w:space="0"/>
                    <w:bottom w:val="single" w:color="000000" w:sz="4" w:space="0"/>
                  </w:tcBorders>
                  <w:vAlign w:val="center"/>
                </w:tcPr>
                <w:p>
                  <w:pPr>
                    <w:autoSpaceDE w:val="0"/>
                    <w:autoSpaceDN w:val="0"/>
                    <w:adjustRightInd w:val="0"/>
                    <w:snapToGrid w:val="0"/>
                    <w:jc w:val="center"/>
                    <w:rPr>
                      <w:b/>
                      <w:bCs/>
                      <w:color w:val="auto"/>
                      <w:kern w:val="21"/>
                      <w:szCs w:val="21"/>
                    </w:rPr>
                  </w:pPr>
                  <w:r>
                    <w:rPr>
                      <w:color w:val="auto"/>
                      <w:kern w:val="21"/>
                      <w:szCs w:val="21"/>
                    </w:rPr>
                    <w:t>项目不涉及废水外排</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8" w:hRule="atLeast"/>
                <w:jc w:val="center"/>
              </w:trPr>
              <w:tc>
                <w:tcPr>
                  <w:tcW w:w="1158" w:type="pct"/>
                  <w:tcBorders>
                    <w:top w:val="single" w:color="000000" w:sz="4" w:space="0"/>
                    <w:bottom w:val="single" w:color="000000" w:sz="4" w:space="0"/>
                    <w:right w:val="single" w:color="000000" w:sz="4" w:space="0"/>
                  </w:tcBorders>
                  <w:vAlign w:val="center"/>
                </w:tcPr>
                <w:p>
                  <w:pPr>
                    <w:autoSpaceDE w:val="0"/>
                    <w:autoSpaceDN w:val="0"/>
                    <w:adjustRightInd w:val="0"/>
                    <w:snapToGrid w:val="0"/>
                    <w:jc w:val="center"/>
                    <w:rPr>
                      <w:color w:val="auto"/>
                      <w:kern w:val="21"/>
                      <w:szCs w:val="21"/>
                    </w:rPr>
                  </w:pPr>
                  <w:r>
                    <w:rPr>
                      <w:color w:val="auto"/>
                      <w:kern w:val="21"/>
                      <w:szCs w:val="21"/>
                    </w:rPr>
                    <w:t>环境风险</w:t>
                  </w:r>
                </w:p>
              </w:tc>
              <w:tc>
                <w:tcPr>
                  <w:tcW w:w="2652" w:type="pct"/>
                  <w:tcBorders>
                    <w:top w:val="single" w:color="000000" w:sz="4" w:space="0"/>
                    <w:left w:val="single" w:color="000000" w:sz="4" w:space="0"/>
                    <w:bottom w:val="single" w:color="000000" w:sz="4" w:space="0"/>
                  </w:tcBorders>
                  <w:vAlign w:val="center"/>
                </w:tcPr>
                <w:p>
                  <w:pPr>
                    <w:autoSpaceDE w:val="0"/>
                    <w:autoSpaceDN w:val="0"/>
                    <w:adjustRightInd w:val="0"/>
                    <w:snapToGrid w:val="0"/>
                    <w:jc w:val="center"/>
                    <w:rPr>
                      <w:color w:val="auto"/>
                      <w:kern w:val="21"/>
                      <w:szCs w:val="21"/>
                    </w:rPr>
                  </w:pPr>
                  <w:r>
                    <w:rPr>
                      <w:color w:val="auto"/>
                      <w:kern w:val="21"/>
                      <w:szCs w:val="21"/>
                    </w:rPr>
                    <w:t>有毒有害和易燃易爆危险物质存储量超过临界量的建设项目</w:t>
                  </w:r>
                </w:p>
              </w:tc>
              <w:tc>
                <w:tcPr>
                  <w:tcW w:w="1189" w:type="pct"/>
                  <w:tcBorders>
                    <w:top w:val="single" w:color="000000" w:sz="4" w:space="0"/>
                    <w:left w:val="single" w:color="000000" w:sz="4" w:space="0"/>
                    <w:bottom w:val="single" w:color="000000" w:sz="4" w:space="0"/>
                  </w:tcBorders>
                  <w:vAlign w:val="center"/>
                </w:tcPr>
                <w:p>
                  <w:pPr>
                    <w:autoSpaceDE w:val="0"/>
                    <w:autoSpaceDN w:val="0"/>
                    <w:adjustRightInd w:val="0"/>
                    <w:snapToGrid w:val="0"/>
                    <w:jc w:val="center"/>
                    <w:rPr>
                      <w:color w:val="auto"/>
                      <w:kern w:val="21"/>
                      <w:szCs w:val="21"/>
                    </w:rPr>
                  </w:pPr>
                  <w:r>
                    <w:rPr>
                      <w:color w:val="auto"/>
                      <w:kern w:val="21"/>
                      <w:szCs w:val="21"/>
                    </w:rPr>
                    <w:t>项目危险物质储存量未超过临界值，故不设置专项评价</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8" w:hRule="atLeast"/>
                <w:jc w:val="center"/>
              </w:trPr>
              <w:tc>
                <w:tcPr>
                  <w:tcW w:w="1158" w:type="pct"/>
                  <w:tcBorders>
                    <w:top w:val="single" w:color="000000" w:sz="4" w:space="0"/>
                    <w:bottom w:val="single" w:color="000000" w:sz="4" w:space="0"/>
                    <w:right w:val="single" w:color="000000" w:sz="4" w:space="0"/>
                  </w:tcBorders>
                  <w:vAlign w:val="center"/>
                </w:tcPr>
                <w:p>
                  <w:pPr>
                    <w:autoSpaceDE w:val="0"/>
                    <w:autoSpaceDN w:val="0"/>
                    <w:adjustRightInd w:val="0"/>
                    <w:snapToGrid w:val="0"/>
                    <w:jc w:val="center"/>
                    <w:rPr>
                      <w:color w:val="auto"/>
                      <w:kern w:val="21"/>
                      <w:szCs w:val="21"/>
                    </w:rPr>
                  </w:pPr>
                  <w:r>
                    <w:rPr>
                      <w:color w:val="auto"/>
                      <w:kern w:val="21"/>
                      <w:szCs w:val="21"/>
                    </w:rPr>
                    <w:t>生态</w:t>
                  </w:r>
                </w:p>
              </w:tc>
              <w:tc>
                <w:tcPr>
                  <w:tcW w:w="2652" w:type="pct"/>
                  <w:tcBorders>
                    <w:top w:val="single" w:color="000000" w:sz="4" w:space="0"/>
                    <w:left w:val="single" w:color="000000" w:sz="4" w:space="0"/>
                    <w:bottom w:val="single" w:color="000000" w:sz="4" w:space="0"/>
                  </w:tcBorders>
                  <w:vAlign w:val="center"/>
                </w:tcPr>
                <w:p>
                  <w:pPr>
                    <w:autoSpaceDE w:val="0"/>
                    <w:autoSpaceDN w:val="0"/>
                    <w:adjustRightInd w:val="0"/>
                    <w:snapToGrid w:val="0"/>
                    <w:jc w:val="center"/>
                    <w:rPr>
                      <w:color w:val="auto"/>
                      <w:kern w:val="21"/>
                      <w:szCs w:val="21"/>
                    </w:rPr>
                  </w:pPr>
                  <w:r>
                    <w:rPr>
                      <w:color w:val="auto"/>
                      <w:kern w:val="21"/>
                      <w:szCs w:val="21"/>
                    </w:rPr>
                    <w:t>取水口下游500米范围内有重要水生生物的自然产卵场、索饵场、越冬场和洄游通道的新增河道取水的污染类建设项目</w:t>
                  </w:r>
                </w:p>
              </w:tc>
              <w:tc>
                <w:tcPr>
                  <w:tcW w:w="1189" w:type="pct"/>
                  <w:tcBorders>
                    <w:top w:val="single" w:color="000000" w:sz="4" w:space="0"/>
                    <w:left w:val="single" w:color="000000" w:sz="4" w:space="0"/>
                    <w:bottom w:val="single" w:color="000000" w:sz="4" w:space="0"/>
                  </w:tcBorders>
                  <w:vAlign w:val="center"/>
                </w:tcPr>
                <w:p>
                  <w:pPr>
                    <w:autoSpaceDE w:val="0"/>
                    <w:autoSpaceDN w:val="0"/>
                    <w:adjustRightInd w:val="0"/>
                    <w:snapToGrid w:val="0"/>
                    <w:jc w:val="center"/>
                    <w:rPr>
                      <w:color w:val="auto"/>
                      <w:kern w:val="21"/>
                      <w:szCs w:val="21"/>
                    </w:rPr>
                  </w:pPr>
                  <w:r>
                    <w:rPr>
                      <w:color w:val="auto"/>
                      <w:kern w:val="21"/>
                      <w:szCs w:val="21"/>
                    </w:rPr>
                    <w:t>项目用水为自来水，不涉及</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8" w:hRule="atLeast"/>
                <w:jc w:val="center"/>
              </w:trPr>
              <w:tc>
                <w:tcPr>
                  <w:tcW w:w="1158" w:type="pct"/>
                  <w:tcBorders>
                    <w:top w:val="single" w:color="000000" w:sz="4" w:space="0"/>
                    <w:bottom w:val="single" w:color="000000" w:sz="4" w:space="0"/>
                    <w:right w:val="single" w:color="000000" w:sz="4" w:space="0"/>
                  </w:tcBorders>
                  <w:vAlign w:val="center"/>
                </w:tcPr>
                <w:p>
                  <w:pPr>
                    <w:autoSpaceDE w:val="0"/>
                    <w:autoSpaceDN w:val="0"/>
                    <w:adjustRightInd w:val="0"/>
                    <w:snapToGrid w:val="0"/>
                    <w:jc w:val="center"/>
                    <w:rPr>
                      <w:color w:val="auto"/>
                      <w:kern w:val="21"/>
                      <w:szCs w:val="21"/>
                    </w:rPr>
                  </w:pPr>
                  <w:r>
                    <w:rPr>
                      <w:color w:val="auto"/>
                      <w:kern w:val="21"/>
                      <w:szCs w:val="21"/>
                    </w:rPr>
                    <w:t>海洋</w:t>
                  </w:r>
                </w:p>
              </w:tc>
              <w:tc>
                <w:tcPr>
                  <w:tcW w:w="2652" w:type="pct"/>
                  <w:tcBorders>
                    <w:top w:val="single" w:color="000000" w:sz="4" w:space="0"/>
                    <w:left w:val="single" w:color="000000" w:sz="4" w:space="0"/>
                    <w:bottom w:val="single" w:color="000000" w:sz="4" w:space="0"/>
                  </w:tcBorders>
                  <w:vAlign w:val="center"/>
                </w:tcPr>
                <w:p>
                  <w:pPr>
                    <w:autoSpaceDE w:val="0"/>
                    <w:autoSpaceDN w:val="0"/>
                    <w:adjustRightInd w:val="0"/>
                    <w:snapToGrid w:val="0"/>
                    <w:jc w:val="center"/>
                    <w:rPr>
                      <w:color w:val="auto"/>
                      <w:kern w:val="21"/>
                      <w:szCs w:val="21"/>
                    </w:rPr>
                  </w:pPr>
                  <w:r>
                    <w:rPr>
                      <w:color w:val="auto"/>
                      <w:kern w:val="21"/>
                      <w:szCs w:val="21"/>
                    </w:rPr>
                    <w:t>直接向海排放污染物的海洋工程建设项目</w:t>
                  </w:r>
                </w:p>
              </w:tc>
              <w:tc>
                <w:tcPr>
                  <w:tcW w:w="1189" w:type="pct"/>
                  <w:tcBorders>
                    <w:top w:val="single" w:color="000000" w:sz="4" w:space="0"/>
                    <w:left w:val="single" w:color="000000" w:sz="4" w:space="0"/>
                    <w:bottom w:val="single" w:color="000000" w:sz="4" w:space="0"/>
                  </w:tcBorders>
                  <w:vAlign w:val="center"/>
                </w:tcPr>
                <w:p>
                  <w:pPr>
                    <w:autoSpaceDE w:val="0"/>
                    <w:autoSpaceDN w:val="0"/>
                    <w:adjustRightInd w:val="0"/>
                    <w:snapToGrid w:val="0"/>
                    <w:jc w:val="center"/>
                    <w:rPr>
                      <w:color w:val="auto"/>
                      <w:kern w:val="21"/>
                      <w:szCs w:val="21"/>
                    </w:rPr>
                  </w:pPr>
                  <w:r>
                    <w:rPr>
                      <w:color w:val="auto"/>
                      <w:kern w:val="21"/>
                      <w:szCs w:val="21"/>
                    </w:rPr>
                    <w:t>不涉及</w:t>
                  </w:r>
                </w:p>
              </w:tc>
            </w:tr>
          </w:tbl>
          <w:p>
            <w:pPr>
              <w:adjustRightInd w:val="0"/>
              <w:snapToGrid w:val="0"/>
              <w:ind w:firstLine="480" w:firstLineChars="200"/>
              <w:rPr>
                <w:color w:val="auto"/>
                <w:szCs w:val="21"/>
              </w:rPr>
            </w:pPr>
            <w:r>
              <w:rPr>
                <w:color w:val="auto"/>
                <w:szCs w:val="21"/>
              </w:rPr>
              <w:t>注：1.废气中有毒有害污染物指纳入《有毒有害大气污染物名录》的污染物（不包括无排放标准的污染物）。</w:t>
            </w:r>
          </w:p>
          <w:p>
            <w:pPr>
              <w:adjustRightInd w:val="0"/>
              <w:snapToGrid w:val="0"/>
              <w:ind w:firstLine="480" w:firstLineChars="200"/>
              <w:rPr>
                <w:color w:val="auto"/>
                <w:szCs w:val="21"/>
              </w:rPr>
            </w:pPr>
            <w:r>
              <w:rPr>
                <w:color w:val="auto"/>
                <w:szCs w:val="21"/>
              </w:rPr>
              <w:t>2.环境空气保护目标指自然保护区、风景名胜区、居住区、文化区和农村地区中人群较集中的区域。</w:t>
            </w:r>
          </w:p>
          <w:p>
            <w:pPr>
              <w:adjustRightInd w:val="0"/>
              <w:snapToGrid w:val="0"/>
              <w:ind w:firstLine="480" w:firstLineChars="200"/>
              <w:rPr>
                <w:color w:val="auto"/>
                <w:sz w:val="24"/>
                <w:highlight w:val="green"/>
              </w:rPr>
            </w:pPr>
            <w:r>
              <w:rPr>
                <w:color w:val="auto"/>
                <w:szCs w:val="21"/>
              </w:rPr>
              <w:t>3.临界量及其计算方法可参考《建设项目环境风险评价技术导则》（HJ 169）附录B、附录C。</w:t>
            </w:r>
          </w:p>
          <w:p>
            <w:pPr>
              <w:adjustRightInd w:val="0"/>
              <w:snapToGrid w:val="0"/>
              <w:ind w:firstLine="480" w:firstLineChars="200"/>
              <w:rPr>
                <w:color w:val="auto"/>
                <w:sz w:val="24"/>
              </w:rPr>
            </w:pPr>
            <w:r>
              <w:rPr>
                <w:color w:val="auto"/>
                <w:sz w:val="24"/>
              </w:rPr>
              <w:t>综上所述，本项目不设置专项评价。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557" w:type="pct"/>
            <w:tcMar>
              <w:top w:w="16" w:type="dxa"/>
              <w:left w:w="16" w:type="dxa"/>
              <w:right w:w="16" w:type="dxa"/>
            </w:tcMar>
            <w:vAlign w:val="center"/>
          </w:tcPr>
          <w:p>
            <w:pPr>
              <w:autoSpaceDE w:val="0"/>
              <w:autoSpaceDN w:val="0"/>
              <w:adjustRightInd w:val="0"/>
              <w:snapToGrid w:val="0"/>
              <w:jc w:val="center"/>
              <w:rPr>
                <w:color w:val="auto"/>
                <w:kern w:val="0"/>
                <w:sz w:val="24"/>
              </w:rPr>
            </w:pPr>
            <w:r>
              <w:rPr>
                <w:color w:val="auto"/>
                <w:sz w:val="24"/>
              </w:rPr>
              <w:t>规划情况</w:t>
            </w:r>
          </w:p>
        </w:tc>
        <w:tc>
          <w:tcPr>
            <w:tcW w:w="4442" w:type="pct"/>
            <w:gridSpan w:val="3"/>
            <w:vAlign w:val="center"/>
          </w:tcPr>
          <w:p>
            <w:pPr>
              <w:autoSpaceDE w:val="0"/>
              <w:autoSpaceDN w:val="0"/>
              <w:adjustRightInd w:val="0"/>
              <w:snapToGrid w:val="0"/>
              <w:jc w:val="center"/>
              <w:rPr>
                <w:color w:val="auto"/>
                <w:sz w:val="24"/>
              </w:rPr>
            </w:pPr>
            <w:r>
              <w:rPr>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557" w:type="pct"/>
            <w:tcMar>
              <w:top w:w="16" w:type="dxa"/>
              <w:left w:w="16" w:type="dxa"/>
              <w:right w:w="16" w:type="dxa"/>
            </w:tcMar>
            <w:vAlign w:val="center"/>
          </w:tcPr>
          <w:p>
            <w:pPr>
              <w:adjustRightInd w:val="0"/>
              <w:snapToGrid w:val="0"/>
              <w:jc w:val="center"/>
              <w:rPr>
                <w:color w:val="auto"/>
                <w:sz w:val="24"/>
              </w:rPr>
            </w:pPr>
            <w:r>
              <w:rPr>
                <w:color w:val="auto"/>
                <w:sz w:val="24"/>
              </w:rPr>
              <w:t>规划环境影响</w:t>
            </w:r>
          </w:p>
          <w:p>
            <w:pPr>
              <w:adjustRightInd w:val="0"/>
              <w:snapToGrid w:val="0"/>
              <w:jc w:val="center"/>
              <w:rPr>
                <w:color w:val="auto"/>
                <w:kern w:val="0"/>
                <w:sz w:val="24"/>
              </w:rPr>
            </w:pPr>
            <w:r>
              <w:rPr>
                <w:color w:val="auto"/>
                <w:sz w:val="24"/>
              </w:rPr>
              <w:t>评价情况</w:t>
            </w:r>
          </w:p>
        </w:tc>
        <w:tc>
          <w:tcPr>
            <w:tcW w:w="4442" w:type="pct"/>
            <w:gridSpan w:val="3"/>
            <w:vAlign w:val="center"/>
          </w:tcPr>
          <w:p>
            <w:pPr>
              <w:autoSpaceDE w:val="0"/>
              <w:autoSpaceDN w:val="0"/>
              <w:adjustRightInd w:val="0"/>
              <w:snapToGrid w:val="0"/>
              <w:jc w:val="center"/>
              <w:rPr>
                <w:color w:val="auto"/>
                <w:sz w:val="24"/>
              </w:rPr>
            </w:pPr>
            <w:r>
              <w:rPr>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7" w:type="pct"/>
            <w:tcMar>
              <w:top w:w="16" w:type="dxa"/>
              <w:left w:w="16" w:type="dxa"/>
              <w:right w:w="16" w:type="dxa"/>
            </w:tcMar>
            <w:vAlign w:val="center"/>
          </w:tcPr>
          <w:p>
            <w:pPr>
              <w:autoSpaceDE w:val="0"/>
              <w:autoSpaceDN w:val="0"/>
              <w:adjustRightInd w:val="0"/>
              <w:snapToGrid w:val="0"/>
              <w:jc w:val="center"/>
              <w:rPr>
                <w:color w:val="auto"/>
                <w:kern w:val="0"/>
                <w:sz w:val="24"/>
              </w:rPr>
            </w:pPr>
            <w:r>
              <w:rPr>
                <w:color w:val="auto"/>
                <w:kern w:val="0"/>
                <w:sz w:val="24"/>
              </w:rPr>
              <w:t>规划及规划环境影响评价符合性分析</w:t>
            </w:r>
          </w:p>
        </w:tc>
        <w:tc>
          <w:tcPr>
            <w:tcW w:w="4442" w:type="pct"/>
            <w:gridSpan w:val="3"/>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color w:val="auto"/>
                <w:sz w:val="24"/>
              </w:rPr>
            </w:pPr>
            <w:r>
              <w:rPr>
                <w:color w:val="auto"/>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7" w:type="pct"/>
            <w:tcMar>
              <w:top w:w="16" w:type="dxa"/>
              <w:left w:w="16" w:type="dxa"/>
              <w:right w:w="16" w:type="dxa"/>
            </w:tcMar>
            <w:vAlign w:val="center"/>
          </w:tcPr>
          <w:p>
            <w:pPr>
              <w:autoSpaceDE w:val="0"/>
              <w:autoSpaceDN w:val="0"/>
              <w:adjustRightInd w:val="0"/>
              <w:snapToGrid w:val="0"/>
              <w:jc w:val="center"/>
              <w:rPr>
                <w:color w:val="auto"/>
                <w:kern w:val="0"/>
                <w:sz w:val="24"/>
              </w:rPr>
            </w:pPr>
            <w:r>
              <w:rPr>
                <w:color w:val="auto"/>
                <w:kern w:val="0"/>
                <w:sz w:val="24"/>
              </w:rPr>
              <w:t>其他符合性分析</w:t>
            </w:r>
          </w:p>
        </w:tc>
        <w:tc>
          <w:tcPr>
            <w:tcW w:w="4442" w:type="pct"/>
            <w:gridSpan w:val="3"/>
            <w:vAlign w:val="center"/>
          </w:tcPr>
          <w:p>
            <w:pPr>
              <w:keepNext/>
              <w:keepLines/>
              <w:pageBreakBefore w:val="0"/>
              <w:widowControl w:val="0"/>
              <w:kinsoku/>
              <w:wordWrap/>
              <w:overflowPunct/>
              <w:topLinePunct w:val="0"/>
              <w:autoSpaceDE/>
              <w:autoSpaceDN/>
              <w:bidi w:val="0"/>
              <w:adjustRightInd w:val="0"/>
              <w:snapToGrid w:val="0"/>
              <w:spacing w:line="360" w:lineRule="auto"/>
              <w:ind w:firstLine="482" w:firstLineChars="200"/>
              <w:textAlignment w:val="auto"/>
              <w:rPr>
                <w:b/>
                <w:bCs/>
                <w:color w:val="auto"/>
                <w:sz w:val="24"/>
              </w:rPr>
            </w:pPr>
            <w:r>
              <w:rPr>
                <w:b/>
                <w:bCs/>
                <w:color w:val="auto"/>
                <w:sz w:val="24"/>
              </w:rPr>
              <w:t>1、产业政策及选址合理性符合性分析</w:t>
            </w:r>
          </w:p>
          <w:p>
            <w:pPr>
              <w:pageBreakBefore w:val="0"/>
              <w:kinsoku/>
              <w:wordWrap/>
              <w:overflowPunct/>
              <w:topLinePunct w:val="0"/>
              <w:autoSpaceDE/>
              <w:autoSpaceDN/>
              <w:bidi w:val="0"/>
              <w:adjustRightInd w:val="0"/>
              <w:snapToGrid w:val="0"/>
              <w:spacing w:line="360" w:lineRule="auto"/>
              <w:ind w:firstLine="480" w:firstLineChars="200"/>
              <w:textAlignment w:val="auto"/>
              <w:rPr>
                <w:color w:val="auto"/>
                <w:sz w:val="24"/>
              </w:rPr>
            </w:pPr>
            <w:r>
              <w:rPr>
                <w:color w:val="auto"/>
                <w:sz w:val="24"/>
              </w:rPr>
              <w:t>（1）产业政策符合性分析</w:t>
            </w:r>
          </w:p>
          <w:p>
            <w:pPr>
              <w:pageBreakBefore w:val="0"/>
              <w:kinsoku/>
              <w:wordWrap/>
              <w:overflowPunct/>
              <w:topLinePunct w:val="0"/>
              <w:autoSpaceDE/>
              <w:autoSpaceDN/>
              <w:bidi w:val="0"/>
              <w:adjustRightInd w:val="0"/>
              <w:snapToGrid w:val="0"/>
              <w:spacing w:line="360" w:lineRule="auto"/>
              <w:ind w:firstLine="480" w:firstLineChars="200"/>
              <w:textAlignment w:val="auto"/>
              <w:rPr>
                <w:color w:val="auto"/>
                <w:sz w:val="24"/>
              </w:rPr>
            </w:pPr>
            <w:r>
              <w:rPr>
                <w:color w:val="auto"/>
                <w:sz w:val="24"/>
              </w:rPr>
              <w:t>本项目为水稳层生产项目，根据《产业结构调整指导目录》（2019年本，2021年修订），本项目涉及产品、工艺、设备均不属于《产业结构调整指导目录（2019年本，2021年修订）》</w:t>
            </w:r>
            <w:r>
              <w:rPr>
                <w:rFonts w:hint="eastAsia"/>
                <w:color w:val="auto"/>
                <w:sz w:val="24"/>
              </w:rPr>
              <w:t>中</w:t>
            </w:r>
            <w:r>
              <w:rPr>
                <w:color w:val="auto"/>
                <w:sz w:val="24"/>
              </w:rPr>
              <w:t>规定的鼓励类、淘汰类和限制类，属于允许类。</w:t>
            </w:r>
          </w:p>
          <w:p>
            <w:pPr>
              <w:pageBreakBefore w:val="0"/>
              <w:kinsoku/>
              <w:wordWrap/>
              <w:overflowPunct/>
              <w:topLinePunct w:val="0"/>
              <w:autoSpaceDE/>
              <w:autoSpaceDN/>
              <w:bidi w:val="0"/>
              <w:adjustRightInd w:val="0"/>
              <w:snapToGrid w:val="0"/>
              <w:spacing w:line="360" w:lineRule="auto"/>
              <w:ind w:firstLine="480" w:firstLineChars="200"/>
              <w:textAlignment w:val="auto"/>
              <w:rPr>
                <w:color w:val="auto"/>
                <w:sz w:val="24"/>
              </w:rPr>
            </w:pPr>
            <w:r>
              <w:rPr>
                <w:color w:val="auto"/>
                <w:sz w:val="24"/>
              </w:rPr>
              <w:t>同时，本项目已经取得乐山市中区发展和改革局备案（川投资备〔2303-511102-04-01-773947〕FGQB-0053</w:t>
            </w:r>
            <w:r>
              <w:rPr>
                <w:rFonts w:hint="eastAsia"/>
                <w:color w:val="auto"/>
                <w:sz w:val="24"/>
                <w:lang w:eastAsia="zh-CN"/>
              </w:rPr>
              <w:t>号</w:t>
            </w:r>
            <w:r>
              <w:rPr>
                <w:color w:val="auto"/>
                <w:sz w:val="24"/>
              </w:rPr>
              <w:t>），同意本项目的建设。</w:t>
            </w:r>
          </w:p>
          <w:p>
            <w:pPr>
              <w:pageBreakBefore w:val="0"/>
              <w:kinsoku/>
              <w:wordWrap/>
              <w:overflowPunct/>
              <w:topLinePunct w:val="0"/>
              <w:autoSpaceDE/>
              <w:autoSpaceDN/>
              <w:bidi w:val="0"/>
              <w:adjustRightInd w:val="0"/>
              <w:snapToGrid w:val="0"/>
              <w:spacing w:line="360" w:lineRule="auto"/>
              <w:ind w:firstLine="480" w:firstLineChars="200"/>
              <w:textAlignment w:val="auto"/>
              <w:rPr>
                <w:color w:val="auto"/>
                <w:sz w:val="24"/>
              </w:rPr>
            </w:pPr>
            <w:r>
              <w:rPr>
                <w:color w:val="auto"/>
                <w:sz w:val="24"/>
              </w:rPr>
              <w:t>（2）选址合理性分析</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outlineLvl w:val="0"/>
              <w:rPr>
                <w:color w:val="auto"/>
                <w:sz w:val="24"/>
              </w:rPr>
            </w:pPr>
            <w:r>
              <w:rPr>
                <w:color w:val="auto"/>
                <w:kern w:val="0"/>
                <w:sz w:val="24"/>
              </w:rPr>
              <w:t>本项目位于</w:t>
            </w:r>
            <w:r>
              <w:rPr>
                <w:bCs/>
                <w:color w:val="auto"/>
                <w:sz w:val="24"/>
              </w:rPr>
              <w:t>四川省乐山市市中区悦来镇龙岩村</w:t>
            </w:r>
            <w:r>
              <w:rPr>
                <w:color w:val="auto"/>
                <w:kern w:val="0"/>
                <w:sz w:val="24"/>
              </w:rPr>
              <w:t>，</w:t>
            </w:r>
            <w:r>
              <w:rPr>
                <w:bCs/>
                <w:color w:val="auto"/>
                <w:kern w:val="0"/>
                <w:sz w:val="24"/>
              </w:rPr>
              <w:t>营运期产生的污染物主要为废水、废气、噪声、固废等，项目整个加工生产区为封闭厂房（采用彩钢瓦四面围挡+顶棚遮盖），顶部设有喷淋设施；原料堆场位于厂房东侧，不设置成品堆场，搅拌机设置在西侧出厂门口。项目污染物经治理后对周围环境影响较小。</w:t>
            </w:r>
          </w:p>
          <w:p>
            <w:pPr>
              <w:pageBreakBefore w:val="0"/>
              <w:kinsoku/>
              <w:wordWrap/>
              <w:overflowPunct/>
              <w:topLinePunct w:val="0"/>
              <w:autoSpaceDE/>
              <w:autoSpaceDN/>
              <w:bidi w:val="0"/>
              <w:adjustRightInd w:val="0"/>
              <w:snapToGrid w:val="0"/>
              <w:spacing w:line="360" w:lineRule="auto"/>
              <w:ind w:firstLine="480" w:firstLineChars="200"/>
              <w:textAlignment w:val="auto"/>
              <w:rPr>
                <w:color w:val="auto"/>
                <w:sz w:val="24"/>
              </w:rPr>
            </w:pPr>
            <w:r>
              <w:rPr>
                <w:color w:val="auto"/>
                <w:sz w:val="24"/>
              </w:rPr>
              <w:t>本项目由乐山鼎智建材有限公司与乐山铁匠世家手工刀具有限公司共同出资建设，项目租用乐山市交通投资开发有限公司用地（该厂已关闭，生产设施已全部拆除，仅保留了部分辅助、生活设施）（租赁协议见附件5），根据</w:t>
            </w:r>
            <w:r>
              <w:rPr>
                <w:rFonts w:hint="eastAsia"/>
                <w:color w:val="auto"/>
                <w:sz w:val="24"/>
                <w:lang w:eastAsia="zh-CN"/>
              </w:rPr>
              <w:t>乐山市市中区自然资源局出具的情况说明，本</w:t>
            </w:r>
            <w:r>
              <w:rPr>
                <w:rFonts w:hint="eastAsia"/>
                <w:color w:val="auto"/>
                <w:sz w:val="24"/>
              </w:rPr>
              <w:t>项目在建设用地范围内，不在悦来镇场镇规划范围内，符合土地利用规划，不涉及生态红线管控范围、饮用水源保护区、永久基本农田、风景名胜区等各级各类保护区域，同意选址建设。</w:t>
            </w:r>
          </w:p>
          <w:p>
            <w:pPr>
              <w:pageBreakBefore w:val="0"/>
              <w:kinsoku/>
              <w:wordWrap/>
              <w:overflowPunct/>
              <w:topLinePunct w:val="0"/>
              <w:autoSpaceDE/>
              <w:autoSpaceDN/>
              <w:bidi w:val="0"/>
              <w:adjustRightInd w:val="0"/>
              <w:snapToGrid w:val="0"/>
              <w:spacing w:line="360" w:lineRule="auto"/>
              <w:ind w:firstLine="480" w:firstLineChars="200"/>
              <w:textAlignment w:val="auto"/>
              <w:rPr>
                <w:color w:val="auto"/>
                <w:sz w:val="24"/>
              </w:rPr>
            </w:pPr>
            <w:r>
              <w:rPr>
                <w:color w:val="auto"/>
                <w:sz w:val="24"/>
              </w:rPr>
              <w:t>因此，本项目选址较合理。</w:t>
            </w:r>
          </w:p>
          <w:p>
            <w:pPr>
              <w:pageBreakBefore w:val="0"/>
              <w:kinsoku/>
              <w:wordWrap/>
              <w:overflowPunct/>
              <w:topLinePunct w:val="0"/>
              <w:autoSpaceDE/>
              <w:autoSpaceDN/>
              <w:bidi w:val="0"/>
              <w:adjustRightInd w:val="0"/>
              <w:snapToGrid w:val="0"/>
              <w:spacing w:line="360" w:lineRule="auto"/>
              <w:ind w:firstLine="480" w:firstLineChars="200"/>
              <w:textAlignment w:val="auto"/>
              <w:rPr>
                <w:color w:val="auto"/>
                <w:sz w:val="24"/>
              </w:rPr>
            </w:pPr>
            <w:r>
              <w:rPr>
                <w:bCs/>
                <w:color w:val="auto"/>
                <w:sz w:val="24"/>
              </w:rPr>
              <w:t>2</w:t>
            </w:r>
            <w:r>
              <w:rPr>
                <w:b/>
                <w:bCs/>
                <w:color w:val="auto"/>
                <w:kern w:val="0"/>
                <w:sz w:val="24"/>
              </w:rPr>
              <w:t>、与《水污染防治行动计划》（国发﹝2015﹞17号）、《土壤污染防治行动计划》（国发﹝2016﹞31号）、《打赢蓝天保卫战三年行动计划》（国发﹝2018﹞22号）</w:t>
            </w:r>
            <w:r>
              <w:rPr>
                <w:b/>
                <w:bCs/>
                <w:color w:val="auto"/>
                <w:sz w:val="24"/>
              </w:rPr>
              <w:t>符合性分析</w:t>
            </w:r>
          </w:p>
          <w:p>
            <w:pPr>
              <w:pageBreakBefore w:val="0"/>
              <w:kinsoku/>
              <w:wordWrap/>
              <w:overflowPunct/>
              <w:topLinePunct w:val="0"/>
              <w:autoSpaceDE/>
              <w:autoSpaceDN/>
              <w:bidi w:val="0"/>
              <w:adjustRightInd w:val="0"/>
              <w:snapToGrid w:val="0"/>
              <w:spacing w:line="360" w:lineRule="auto"/>
              <w:ind w:firstLine="480" w:firstLineChars="200"/>
              <w:textAlignment w:val="auto"/>
              <w:rPr>
                <w:color w:val="auto"/>
                <w:sz w:val="24"/>
              </w:rPr>
            </w:pPr>
            <w:r>
              <w:rPr>
                <w:color w:val="auto"/>
                <w:sz w:val="24"/>
                <w:lang w:val="zh-CN"/>
              </w:rPr>
              <w:t>本项目为</w:t>
            </w:r>
            <w:r>
              <w:rPr>
                <w:rFonts w:hint="eastAsia"/>
                <w:color w:val="auto"/>
                <w:sz w:val="24"/>
                <w:lang w:eastAsia="zh-CN"/>
              </w:rPr>
              <w:t>C3029其他水泥类似制品制造</w:t>
            </w:r>
            <w:r>
              <w:rPr>
                <w:color w:val="auto"/>
                <w:sz w:val="24"/>
                <w:lang w:val="zh-CN"/>
              </w:rPr>
              <w:t>，根据</w:t>
            </w:r>
            <w:r>
              <w:rPr>
                <w:color w:val="auto"/>
                <w:sz w:val="24"/>
              </w:rPr>
              <w:t>《产业结构调整指导目录》（2019年本</w:t>
            </w:r>
            <w:r>
              <w:rPr>
                <w:rFonts w:hint="eastAsia"/>
                <w:color w:val="auto"/>
                <w:sz w:val="24"/>
              </w:rPr>
              <w:t>，2021年修订</w:t>
            </w:r>
            <w:r>
              <w:rPr>
                <w:color w:val="auto"/>
                <w:sz w:val="24"/>
              </w:rPr>
              <w:t>），本项目不属于鼓励类、限制类和淘汰类，视为允许类。</w:t>
            </w:r>
          </w:p>
          <w:p>
            <w:pPr>
              <w:pageBreakBefore w:val="0"/>
              <w:kinsoku/>
              <w:wordWrap/>
              <w:overflowPunct/>
              <w:topLinePunct w:val="0"/>
              <w:autoSpaceDE/>
              <w:autoSpaceDN/>
              <w:bidi w:val="0"/>
              <w:adjustRightInd w:val="0"/>
              <w:snapToGrid w:val="0"/>
              <w:spacing w:line="360" w:lineRule="auto"/>
              <w:jc w:val="center"/>
              <w:textAlignment w:val="auto"/>
              <w:rPr>
                <w:b/>
                <w:bCs/>
                <w:color w:val="auto"/>
                <w:szCs w:val="21"/>
              </w:rPr>
            </w:pPr>
            <w:r>
              <w:rPr>
                <w:b/>
                <w:bCs/>
                <w:color w:val="auto"/>
                <w:szCs w:val="21"/>
              </w:rPr>
              <w:t>表1-1  与水十条、土十条、蓝天行动的符合性分析</w:t>
            </w:r>
          </w:p>
          <w:tbl>
            <w:tblPr>
              <w:tblStyle w:val="4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279"/>
              <w:gridCol w:w="5032"/>
              <w:gridCol w:w="1260"/>
              <w:gridCol w:w="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193" w:hRule="atLeast"/>
                <w:jc w:val="center"/>
              </w:trPr>
              <w:tc>
                <w:tcPr>
                  <w:tcW w:w="751" w:type="pct"/>
                  <w:vAlign w:val="center"/>
                </w:tcPr>
                <w:p>
                  <w:pPr>
                    <w:ind w:left="48" w:leftChars="20" w:right="48" w:rightChars="20"/>
                    <w:jc w:val="center"/>
                    <w:rPr>
                      <w:b/>
                      <w:bCs/>
                      <w:color w:val="auto"/>
                    </w:rPr>
                  </w:pPr>
                  <w:r>
                    <w:rPr>
                      <w:b/>
                      <w:bCs/>
                      <w:color w:val="auto"/>
                    </w:rPr>
                    <w:t>条例名称</w:t>
                  </w:r>
                </w:p>
              </w:tc>
              <w:tc>
                <w:tcPr>
                  <w:tcW w:w="2956" w:type="pct"/>
                  <w:vAlign w:val="center"/>
                </w:tcPr>
                <w:p>
                  <w:pPr>
                    <w:ind w:left="48" w:leftChars="20" w:right="48" w:rightChars="20"/>
                    <w:jc w:val="center"/>
                    <w:rPr>
                      <w:b/>
                      <w:bCs/>
                      <w:color w:val="auto"/>
                    </w:rPr>
                  </w:pPr>
                  <w:r>
                    <w:rPr>
                      <w:b/>
                      <w:bCs/>
                      <w:color w:val="auto"/>
                    </w:rPr>
                    <w:t>相关要求</w:t>
                  </w:r>
                </w:p>
              </w:tc>
              <w:tc>
                <w:tcPr>
                  <w:tcW w:w="740" w:type="pct"/>
                  <w:vAlign w:val="center"/>
                </w:tcPr>
                <w:p>
                  <w:pPr>
                    <w:ind w:left="48" w:leftChars="20" w:right="48" w:rightChars="20"/>
                    <w:jc w:val="center"/>
                    <w:rPr>
                      <w:b/>
                      <w:bCs/>
                      <w:color w:val="auto"/>
                    </w:rPr>
                  </w:pPr>
                  <w:r>
                    <w:rPr>
                      <w:b/>
                      <w:bCs/>
                      <w:color w:val="auto"/>
                    </w:rPr>
                    <w:t>本项目建设情况</w:t>
                  </w:r>
                </w:p>
              </w:tc>
              <w:tc>
                <w:tcPr>
                  <w:tcW w:w="552" w:type="pct"/>
                  <w:vAlign w:val="center"/>
                </w:tcPr>
                <w:p>
                  <w:pPr>
                    <w:ind w:left="48" w:leftChars="20" w:right="48" w:rightChars="20"/>
                    <w:jc w:val="center"/>
                    <w:rPr>
                      <w:b/>
                      <w:bCs/>
                      <w:color w:val="auto"/>
                    </w:rPr>
                  </w:pPr>
                  <w:r>
                    <w:rPr>
                      <w:b/>
                      <w:bCs/>
                      <w:color w:val="auto"/>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1810" w:hRule="atLeast"/>
                <w:jc w:val="center"/>
              </w:trPr>
              <w:tc>
                <w:tcPr>
                  <w:tcW w:w="751" w:type="pct"/>
                  <w:vAlign w:val="center"/>
                </w:tcPr>
                <w:p>
                  <w:pPr>
                    <w:ind w:left="48" w:leftChars="20" w:right="48" w:rightChars="20"/>
                    <w:jc w:val="center"/>
                    <w:rPr>
                      <w:color w:val="auto"/>
                    </w:rPr>
                  </w:pPr>
                  <w:r>
                    <w:rPr>
                      <w:color w:val="auto"/>
                    </w:rPr>
                    <w:t>《水污染防治行动计划》（国发〔2015〕17号）</w:t>
                  </w:r>
                </w:p>
              </w:tc>
              <w:tc>
                <w:tcPr>
                  <w:tcW w:w="2956" w:type="pct"/>
                  <w:vAlign w:val="center"/>
                </w:tcPr>
                <w:p>
                  <w:pPr>
                    <w:ind w:left="48" w:leftChars="20" w:right="48" w:rightChars="20"/>
                    <w:jc w:val="center"/>
                    <w:rPr>
                      <w:color w:val="auto"/>
                    </w:rPr>
                  </w:pPr>
                  <w:r>
                    <w:rPr>
                      <w:color w:val="auto"/>
                    </w:rPr>
                    <w:t>调整产业结构。依法淘汰落后产能。自2015年起，各地要依据部分工业行业淘汰落后生产工艺装备和产品指导目录、产业结构调整指导目录及相关行业污染物排放标准，结合水质改善要求及产业发展情况，制定并实施分年度的落后产能淘汰方案，报工业和信息化部、环境保护部备案。未完成淘汰任务的地区，暂停审批和核准其相关行业新建项目。</w:t>
                  </w:r>
                </w:p>
              </w:tc>
              <w:tc>
                <w:tcPr>
                  <w:tcW w:w="740" w:type="pct"/>
                  <w:vAlign w:val="center"/>
                </w:tcPr>
                <w:p>
                  <w:pPr>
                    <w:ind w:left="48" w:leftChars="20" w:right="48" w:rightChars="20"/>
                    <w:jc w:val="center"/>
                    <w:rPr>
                      <w:color w:val="auto"/>
                    </w:rPr>
                  </w:pPr>
                  <w:r>
                    <w:rPr>
                      <w:color w:val="auto"/>
                    </w:rPr>
                    <w:t>符合产业政策要求，为允许类</w:t>
                  </w:r>
                </w:p>
              </w:tc>
              <w:tc>
                <w:tcPr>
                  <w:tcW w:w="552" w:type="pct"/>
                  <w:vAlign w:val="center"/>
                </w:tcPr>
                <w:p>
                  <w:pPr>
                    <w:ind w:left="48" w:leftChars="20" w:right="48" w:rightChars="20"/>
                    <w:jc w:val="center"/>
                    <w:rPr>
                      <w:color w:val="auto"/>
                    </w:rPr>
                  </w:pPr>
                  <w:r>
                    <w:rPr>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525" w:hRule="atLeast"/>
                <w:jc w:val="center"/>
              </w:trPr>
              <w:tc>
                <w:tcPr>
                  <w:tcW w:w="751" w:type="pct"/>
                  <w:vMerge w:val="restart"/>
                  <w:vAlign w:val="center"/>
                </w:tcPr>
                <w:p>
                  <w:pPr>
                    <w:ind w:left="48" w:leftChars="20" w:right="48" w:rightChars="20"/>
                    <w:jc w:val="center"/>
                    <w:rPr>
                      <w:color w:val="auto"/>
                    </w:rPr>
                  </w:pPr>
                  <w:r>
                    <w:rPr>
                      <w:color w:val="auto"/>
                    </w:rPr>
                    <w:t>《土壤污染防治行动计划》（国发〔2016〕31号）</w:t>
                  </w:r>
                </w:p>
              </w:tc>
              <w:tc>
                <w:tcPr>
                  <w:tcW w:w="2956" w:type="pct"/>
                  <w:vAlign w:val="center"/>
                </w:tcPr>
                <w:p>
                  <w:pPr>
                    <w:ind w:left="48" w:leftChars="20" w:right="48" w:rightChars="20"/>
                    <w:jc w:val="center"/>
                    <w:rPr>
                      <w:color w:val="auto"/>
                    </w:rPr>
                  </w:pPr>
                  <w:r>
                    <w:rPr>
                      <w:color w:val="auto"/>
                    </w:rPr>
                    <w:t>自2017年起，对拟收回土地使用权的有色金属冶炼、石油加工、化工、焦化、电镀、制革等行业企业用地，以及用途拟变更为居住和商业、学校、医疗、养老机构等公共设施的上述企业用地，由土地使用权人负责开展土壤环境状况调查评估。</w:t>
                  </w:r>
                </w:p>
              </w:tc>
              <w:tc>
                <w:tcPr>
                  <w:tcW w:w="740" w:type="pct"/>
                  <w:vAlign w:val="center"/>
                </w:tcPr>
                <w:p>
                  <w:pPr>
                    <w:ind w:left="48" w:leftChars="20" w:right="48" w:rightChars="20"/>
                    <w:jc w:val="center"/>
                    <w:rPr>
                      <w:color w:val="auto"/>
                    </w:rPr>
                  </w:pPr>
                  <w:r>
                    <w:rPr>
                      <w:color w:val="auto"/>
                    </w:rPr>
                    <w:t>不涉及</w:t>
                  </w:r>
                </w:p>
              </w:tc>
              <w:tc>
                <w:tcPr>
                  <w:tcW w:w="552" w:type="pct"/>
                  <w:vAlign w:val="center"/>
                </w:tcPr>
                <w:p>
                  <w:pPr>
                    <w:ind w:left="48" w:leftChars="20" w:right="48" w:rightChars="20"/>
                    <w:jc w:val="center"/>
                    <w:rPr>
                      <w:color w:val="auto"/>
                    </w:rPr>
                  </w:pPr>
                  <w:r>
                    <w:rPr>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525" w:hRule="atLeast"/>
                <w:jc w:val="center"/>
              </w:trPr>
              <w:tc>
                <w:tcPr>
                  <w:tcW w:w="751" w:type="pct"/>
                  <w:vMerge w:val="continue"/>
                  <w:vAlign w:val="center"/>
                </w:tcPr>
                <w:p>
                  <w:pPr>
                    <w:ind w:left="48" w:leftChars="20" w:right="48" w:rightChars="20"/>
                    <w:jc w:val="center"/>
                    <w:rPr>
                      <w:color w:val="auto"/>
                    </w:rPr>
                  </w:pPr>
                </w:p>
              </w:tc>
              <w:tc>
                <w:tcPr>
                  <w:tcW w:w="2956" w:type="pct"/>
                  <w:vAlign w:val="center"/>
                </w:tcPr>
                <w:p>
                  <w:pPr>
                    <w:ind w:left="48" w:leftChars="20" w:right="48" w:rightChars="20"/>
                    <w:jc w:val="center"/>
                    <w:rPr>
                      <w:color w:val="auto"/>
                    </w:rPr>
                  </w:pPr>
                  <w:r>
                    <w:rPr>
                      <w:color w:val="auto"/>
                    </w:rPr>
                    <w:t>排放重点污染物的建设项目，在开展环境影响评价时，要增加对土壤环境影响的评价的评价内容，并提出防范土壤污染的具体措施；需要建设的土壤污染防治设施，要与主体工程同时设计、同时施工、同时投产使用。</w:t>
                  </w:r>
                </w:p>
              </w:tc>
              <w:tc>
                <w:tcPr>
                  <w:tcW w:w="740" w:type="pct"/>
                  <w:vAlign w:val="center"/>
                </w:tcPr>
                <w:p>
                  <w:pPr>
                    <w:ind w:left="48" w:leftChars="20" w:right="48" w:rightChars="20"/>
                    <w:jc w:val="center"/>
                    <w:rPr>
                      <w:color w:val="auto"/>
                    </w:rPr>
                  </w:pPr>
                  <w:r>
                    <w:rPr>
                      <w:color w:val="auto"/>
                    </w:rPr>
                    <w:t>不涉及重点污染物的排放</w:t>
                  </w:r>
                </w:p>
              </w:tc>
              <w:tc>
                <w:tcPr>
                  <w:tcW w:w="552" w:type="pct"/>
                  <w:vAlign w:val="center"/>
                </w:tcPr>
                <w:p>
                  <w:pPr>
                    <w:ind w:left="48" w:leftChars="20" w:right="48" w:rightChars="20"/>
                    <w:jc w:val="center"/>
                    <w:rPr>
                      <w:color w:val="auto"/>
                    </w:rPr>
                  </w:pPr>
                  <w:r>
                    <w:rPr>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90" w:hRule="atLeast"/>
                <w:jc w:val="center"/>
              </w:trPr>
              <w:tc>
                <w:tcPr>
                  <w:tcW w:w="751" w:type="pct"/>
                  <w:vMerge w:val="continue"/>
                  <w:vAlign w:val="center"/>
                </w:tcPr>
                <w:p>
                  <w:pPr>
                    <w:ind w:left="48" w:leftChars="20" w:right="48" w:rightChars="20"/>
                    <w:jc w:val="center"/>
                    <w:rPr>
                      <w:color w:val="auto"/>
                    </w:rPr>
                  </w:pPr>
                </w:p>
              </w:tc>
              <w:tc>
                <w:tcPr>
                  <w:tcW w:w="2956" w:type="pct"/>
                  <w:vAlign w:val="center"/>
                </w:tcPr>
                <w:p>
                  <w:pPr>
                    <w:ind w:left="48" w:leftChars="20" w:right="48" w:rightChars="20"/>
                    <w:jc w:val="center"/>
                    <w:rPr>
                      <w:color w:val="auto"/>
                    </w:rPr>
                  </w:pPr>
                  <w:r>
                    <w:rPr>
                      <w:color w:val="auto"/>
                    </w:rPr>
                    <w:t>严格执行相关行业企业布局选址要求，禁止在居民区、学校、医疗和养老机构等周边新建有色金属冶炼、焦化等行业企业。</w:t>
                  </w:r>
                </w:p>
              </w:tc>
              <w:tc>
                <w:tcPr>
                  <w:tcW w:w="740" w:type="pct"/>
                  <w:vAlign w:val="center"/>
                </w:tcPr>
                <w:p>
                  <w:pPr>
                    <w:ind w:left="48" w:leftChars="20" w:right="48" w:rightChars="20"/>
                    <w:jc w:val="center"/>
                    <w:rPr>
                      <w:color w:val="auto"/>
                    </w:rPr>
                  </w:pPr>
                  <w:r>
                    <w:rPr>
                      <w:color w:val="auto"/>
                    </w:rPr>
                    <w:t>不在禁止新建行业企业范围内</w:t>
                  </w:r>
                </w:p>
              </w:tc>
              <w:tc>
                <w:tcPr>
                  <w:tcW w:w="552" w:type="pct"/>
                  <w:vAlign w:val="center"/>
                </w:tcPr>
                <w:p>
                  <w:pPr>
                    <w:ind w:left="48" w:leftChars="20" w:right="48" w:rightChars="20"/>
                    <w:jc w:val="center"/>
                    <w:rPr>
                      <w:color w:val="auto"/>
                    </w:rPr>
                  </w:pPr>
                  <w:r>
                    <w:rPr>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525" w:hRule="atLeast"/>
                <w:jc w:val="center"/>
              </w:trPr>
              <w:tc>
                <w:tcPr>
                  <w:tcW w:w="751" w:type="pct"/>
                  <w:vMerge w:val="continue"/>
                  <w:vAlign w:val="center"/>
                </w:tcPr>
                <w:p>
                  <w:pPr>
                    <w:ind w:left="48" w:leftChars="20" w:right="48" w:rightChars="20"/>
                    <w:jc w:val="center"/>
                    <w:rPr>
                      <w:color w:val="auto"/>
                    </w:rPr>
                  </w:pPr>
                </w:p>
              </w:tc>
              <w:tc>
                <w:tcPr>
                  <w:tcW w:w="2956" w:type="pct"/>
                  <w:vAlign w:val="center"/>
                </w:tcPr>
                <w:p>
                  <w:pPr>
                    <w:ind w:left="48" w:leftChars="20" w:right="48" w:rightChars="20"/>
                    <w:jc w:val="center"/>
                    <w:rPr>
                      <w:color w:val="auto"/>
                    </w:rPr>
                  </w:pPr>
                  <w:r>
                    <w:rPr>
                      <w:color w:val="auto"/>
                    </w:rPr>
                    <w:t>防控企业污染。严格控制在优先保护类耕地集中区域新建有色金属冶炼、石油加工、化工、焦化、电镀、制革等行业企业，现有相关行业企业要采用新技术、新工艺，加快提标升级改造步伐。</w:t>
                  </w:r>
                </w:p>
              </w:tc>
              <w:tc>
                <w:tcPr>
                  <w:tcW w:w="740" w:type="pct"/>
                  <w:vAlign w:val="center"/>
                </w:tcPr>
                <w:p>
                  <w:pPr>
                    <w:ind w:left="48" w:leftChars="20" w:right="48" w:rightChars="20"/>
                    <w:jc w:val="center"/>
                    <w:rPr>
                      <w:color w:val="auto"/>
                    </w:rPr>
                  </w:pPr>
                  <w:r>
                    <w:rPr>
                      <w:color w:val="auto"/>
                    </w:rPr>
                    <w:t>选址不属于优先保护类耕地集中区域</w:t>
                  </w:r>
                </w:p>
              </w:tc>
              <w:tc>
                <w:tcPr>
                  <w:tcW w:w="552" w:type="pct"/>
                  <w:vAlign w:val="center"/>
                </w:tcPr>
                <w:p>
                  <w:pPr>
                    <w:ind w:left="48" w:leftChars="20" w:right="48" w:rightChars="20"/>
                    <w:jc w:val="center"/>
                    <w:rPr>
                      <w:color w:val="auto"/>
                    </w:rPr>
                  </w:pPr>
                  <w:r>
                    <w:rPr>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525" w:hRule="atLeast"/>
                <w:jc w:val="center"/>
              </w:trPr>
              <w:tc>
                <w:tcPr>
                  <w:tcW w:w="751" w:type="pct"/>
                  <w:vAlign w:val="center"/>
                </w:tcPr>
                <w:p>
                  <w:pPr>
                    <w:ind w:left="48" w:leftChars="20" w:right="48" w:rightChars="20"/>
                    <w:jc w:val="center"/>
                    <w:rPr>
                      <w:color w:val="auto"/>
                    </w:rPr>
                  </w:pPr>
                  <w:r>
                    <w:rPr>
                      <w:color w:val="auto"/>
                    </w:rPr>
                    <w:t>《打赢蓝天保卫战三年行动计划》（国发〔2018〕22号）</w:t>
                  </w:r>
                </w:p>
              </w:tc>
              <w:tc>
                <w:tcPr>
                  <w:tcW w:w="2956" w:type="pct"/>
                  <w:vAlign w:val="center"/>
                </w:tcPr>
                <w:p>
                  <w:pPr>
                    <w:ind w:left="48" w:leftChars="20" w:right="48" w:rightChars="20"/>
                    <w:jc w:val="center"/>
                    <w:rPr>
                      <w:color w:val="auto"/>
                    </w:rPr>
                  </w:pPr>
                  <w:r>
                    <w:rPr>
                      <w:color w:val="auto"/>
                    </w:rPr>
                    <w:t>（四）优化产业布局。各地完成生态保护红线、环境质量底线、资源利用上线、环境准入清单编制工作，明确禁止和限制发展的行业、生产工艺和产业目录。修订完善高耗能、高污染和资源型行业准入条件，环境空气质量未达标城市应制订更严格的产业准入门槛。积极推行区域、规划环境影响评价，新、改、扩建钢铁、石化、化工、焦化、建材、有色等项目的环境影响评价，应满足区域、规划环评要求。</w:t>
                  </w:r>
                </w:p>
              </w:tc>
              <w:tc>
                <w:tcPr>
                  <w:tcW w:w="740" w:type="pct"/>
                  <w:vAlign w:val="center"/>
                </w:tcPr>
                <w:p>
                  <w:pPr>
                    <w:ind w:left="48" w:leftChars="20" w:right="48" w:rightChars="20"/>
                    <w:jc w:val="center"/>
                    <w:rPr>
                      <w:color w:val="auto"/>
                    </w:rPr>
                  </w:pPr>
                  <w:r>
                    <w:rPr>
                      <w:color w:val="auto"/>
                    </w:rPr>
                    <w:t>符合“三线一单”要求。</w:t>
                  </w:r>
                </w:p>
              </w:tc>
              <w:tc>
                <w:tcPr>
                  <w:tcW w:w="552" w:type="pct"/>
                  <w:vAlign w:val="center"/>
                </w:tcPr>
                <w:p>
                  <w:pPr>
                    <w:ind w:left="48" w:leftChars="20" w:right="48" w:rightChars="20"/>
                    <w:jc w:val="center"/>
                    <w:rPr>
                      <w:color w:val="auto"/>
                    </w:rPr>
                  </w:pPr>
                  <w:r>
                    <w:rPr>
                      <w:color w:val="auto"/>
                    </w:rPr>
                    <w:t>符合</w:t>
                  </w:r>
                </w:p>
              </w:tc>
            </w:tr>
          </w:tbl>
          <w:p>
            <w:pPr>
              <w:pStyle w:val="290"/>
              <w:adjustRightInd w:val="0"/>
              <w:snapToGrid w:val="0"/>
              <w:spacing w:line="360" w:lineRule="auto"/>
              <w:ind w:firstLine="482" w:firstLineChars="200"/>
              <w:jc w:val="both"/>
              <w:rPr>
                <w:rFonts w:ascii="Times New Roman" w:hAnsi="Times New Roman"/>
                <w:b/>
                <w:color w:val="auto"/>
                <w:kern w:val="0"/>
                <w:szCs w:val="24"/>
              </w:rPr>
            </w:pPr>
            <w:r>
              <w:rPr>
                <w:rFonts w:ascii="Times New Roman" w:hAnsi="Times New Roman"/>
                <w:b/>
                <w:color w:val="auto"/>
                <w:kern w:val="0"/>
                <w:szCs w:val="24"/>
              </w:rPr>
              <w:t>3、与《四川省打赢蓝天保卫战等九个实施方案》（川府发〔2019〕4号）符合性分析</w:t>
            </w:r>
          </w:p>
          <w:p>
            <w:pPr>
              <w:adjustRightInd w:val="0"/>
              <w:snapToGrid w:val="0"/>
              <w:spacing w:line="360" w:lineRule="auto"/>
              <w:jc w:val="center"/>
              <w:rPr>
                <w:b/>
                <w:bCs/>
                <w:color w:val="auto"/>
                <w:szCs w:val="21"/>
              </w:rPr>
            </w:pPr>
            <w:r>
              <w:rPr>
                <w:b/>
                <w:bCs/>
                <w:color w:val="auto"/>
                <w:szCs w:val="21"/>
              </w:rPr>
              <w:t>表1-2  与《四川省打赢蓝天保卫战等九个实施方案》的符合性分析</w:t>
            </w:r>
          </w:p>
          <w:tbl>
            <w:tblPr>
              <w:tblStyle w:val="4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235"/>
              <w:gridCol w:w="4962"/>
              <w:gridCol w:w="1482"/>
              <w:gridCol w:w="8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71" w:hRule="atLeast"/>
                <w:jc w:val="center"/>
              </w:trPr>
              <w:tc>
                <w:tcPr>
                  <w:tcW w:w="725" w:type="pct"/>
                  <w:vAlign w:val="center"/>
                </w:tcPr>
                <w:p>
                  <w:pPr>
                    <w:jc w:val="center"/>
                    <w:rPr>
                      <w:b/>
                      <w:bCs/>
                      <w:color w:val="auto"/>
                    </w:rPr>
                  </w:pPr>
                  <w:r>
                    <w:rPr>
                      <w:b/>
                      <w:bCs/>
                      <w:color w:val="auto"/>
                    </w:rPr>
                    <w:t>条例名称</w:t>
                  </w:r>
                </w:p>
              </w:tc>
              <w:tc>
                <w:tcPr>
                  <w:tcW w:w="2915" w:type="pct"/>
                  <w:vAlign w:val="center"/>
                </w:tcPr>
                <w:p>
                  <w:pPr>
                    <w:jc w:val="center"/>
                    <w:rPr>
                      <w:b/>
                      <w:bCs/>
                      <w:color w:val="auto"/>
                    </w:rPr>
                  </w:pPr>
                  <w:r>
                    <w:rPr>
                      <w:b/>
                      <w:bCs/>
                      <w:color w:val="auto"/>
                    </w:rPr>
                    <w:t>相关要求</w:t>
                  </w:r>
                </w:p>
              </w:tc>
              <w:tc>
                <w:tcPr>
                  <w:tcW w:w="871" w:type="pct"/>
                  <w:vAlign w:val="center"/>
                </w:tcPr>
                <w:p>
                  <w:pPr>
                    <w:jc w:val="center"/>
                    <w:rPr>
                      <w:b/>
                      <w:bCs/>
                      <w:color w:val="auto"/>
                    </w:rPr>
                  </w:pPr>
                  <w:r>
                    <w:rPr>
                      <w:b/>
                      <w:bCs/>
                      <w:color w:val="auto"/>
                    </w:rPr>
                    <w:t>项目情况</w:t>
                  </w:r>
                </w:p>
              </w:tc>
              <w:tc>
                <w:tcPr>
                  <w:tcW w:w="487" w:type="pct"/>
                  <w:vAlign w:val="center"/>
                </w:tcPr>
                <w:p>
                  <w:pPr>
                    <w:jc w:val="center"/>
                    <w:rPr>
                      <w:b/>
                      <w:bCs/>
                      <w:color w:val="auto"/>
                    </w:rPr>
                  </w:pPr>
                  <w:r>
                    <w:rPr>
                      <w:b/>
                      <w:bCs/>
                      <w:color w:val="auto"/>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725" w:type="pct"/>
                  <w:vMerge w:val="restart"/>
                  <w:vAlign w:val="center"/>
                </w:tcPr>
                <w:p>
                  <w:pPr>
                    <w:jc w:val="center"/>
                    <w:rPr>
                      <w:color w:val="auto"/>
                    </w:rPr>
                  </w:pPr>
                  <w:r>
                    <w:rPr>
                      <w:color w:val="auto"/>
                    </w:rPr>
                    <w:t>《四川省打赢蓝天保卫战等九个实施方案》（川府发〔2019〕4号）</w:t>
                  </w:r>
                </w:p>
              </w:tc>
              <w:tc>
                <w:tcPr>
                  <w:tcW w:w="2915" w:type="pct"/>
                  <w:vAlign w:val="center"/>
                </w:tcPr>
                <w:p>
                  <w:pPr>
                    <w:jc w:val="center"/>
                    <w:rPr>
                      <w:color w:val="auto"/>
                    </w:rPr>
                  </w:pPr>
                  <w:r>
                    <w:rPr>
                      <w:color w:val="auto"/>
                    </w:rPr>
                    <w:t>调整产业结构，深化工业污染治理。强化“三线一单”（生态保护红线、环境质量底线、资源利用上线、生态环境准入清单）约束，明确禁止和限制发展的行业、生产工艺和产业目录，优化产业布局和资源配置。积极推行区域、规划环境影响评价，新、改、扩建钢铁、石化、化工、焦化、建材、有色等项目的环境影响评价应满足区域、规划环境影响评价要求。</w:t>
                  </w:r>
                </w:p>
              </w:tc>
              <w:tc>
                <w:tcPr>
                  <w:tcW w:w="871" w:type="pct"/>
                  <w:vAlign w:val="center"/>
                </w:tcPr>
                <w:p>
                  <w:pPr>
                    <w:jc w:val="center"/>
                    <w:rPr>
                      <w:color w:val="auto"/>
                    </w:rPr>
                  </w:pPr>
                  <w:r>
                    <w:rPr>
                      <w:color w:val="auto"/>
                    </w:rPr>
                    <w:t>符合“三线一单”要求</w:t>
                  </w:r>
                </w:p>
              </w:tc>
              <w:tc>
                <w:tcPr>
                  <w:tcW w:w="487" w:type="pct"/>
                  <w:vAlign w:val="center"/>
                </w:tcPr>
                <w:p>
                  <w:pPr>
                    <w:jc w:val="center"/>
                    <w:rPr>
                      <w:color w:val="auto"/>
                    </w:rPr>
                  </w:pPr>
                  <w:r>
                    <w:rPr>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58" w:hRule="atLeast"/>
                <w:jc w:val="center"/>
              </w:trPr>
              <w:tc>
                <w:tcPr>
                  <w:tcW w:w="725" w:type="pct"/>
                  <w:vMerge w:val="continue"/>
                  <w:vAlign w:val="center"/>
                </w:tcPr>
                <w:p>
                  <w:pPr>
                    <w:jc w:val="center"/>
                    <w:rPr>
                      <w:color w:val="auto"/>
                    </w:rPr>
                  </w:pPr>
                </w:p>
              </w:tc>
              <w:tc>
                <w:tcPr>
                  <w:tcW w:w="2915" w:type="pct"/>
                  <w:vAlign w:val="center"/>
                </w:tcPr>
                <w:p>
                  <w:pPr>
                    <w:jc w:val="center"/>
                    <w:rPr>
                      <w:color w:val="auto"/>
                    </w:rPr>
                  </w:pPr>
                  <w:r>
                    <w:rPr>
                      <w:color w:val="auto"/>
                    </w:rPr>
                    <w:t>工业企业堆场实施规范化全封闭管理。易产生扬尘的物料堆场采用封闭式库仓，不具备封闭式库仓改造条件的，应设置不低于料堆高度的严密围挡，并采取覆盖措施有效控制扬尘污染；堆场内进行搅拌、粉碎、筛分等作业时应喷水抑尘，遇重污染天气时禁止进行产生扬尘的作业。物料装卸配备喷淋等防尘设施，转运物料尽量采取封闭式皮带输送。厂区主要运输通道实施硬化并定期冲洗或湿式清扫，堆场进出口设置车辆冲洗设施，运输车辆实施密闭或全覆盖，及时收集清理堆场外道路上撒落的物料。建设工业企业堆场数据库，并组织安装工业堆场视频监控设施，实现工业企业堆场扬尘动态管理。加强砂石厂扬尘管控。</w:t>
                  </w:r>
                </w:p>
              </w:tc>
              <w:tc>
                <w:tcPr>
                  <w:tcW w:w="871" w:type="pct"/>
                  <w:vAlign w:val="center"/>
                </w:tcPr>
                <w:p>
                  <w:pPr>
                    <w:jc w:val="center"/>
                    <w:rPr>
                      <w:color w:val="auto"/>
                    </w:rPr>
                  </w:pPr>
                  <w:r>
                    <w:rPr>
                      <w:color w:val="auto"/>
                    </w:rPr>
                    <w:t>堆场采取彩钢瓦四面围挡+顶棚遮盖+喷雾降尘措施；加工生产区采用密闭厂房，并设喷淋设施，湿法作业；设置有车辆冲洗设施等。</w:t>
                  </w:r>
                </w:p>
              </w:tc>
              <w:tc>
                <w:tcPr>
                  <w:tcW w:w="487" w:type="pct"/>
                  <w:vAlign w:val="center"/>
                </w:tcPr>
                <w:p>
                  <w:pPr>
                    <w:jc w:val="center"/>
                    <w:rPr>
                      <w:color w:val="auto"/>
                    </w:rPr>
                  </w:pPr>
                  <w:r>
                    <w:rPr>
                      <w:color w:val="auto"/>
                    </w:rPr>
                    <w:t>符合</w:t>
                  </w:r>
                </w:p>
              </w:tc>
            </w:tr>
          </w:tbl>
          <w:p>
            <w:pPr>
              <w:pStyle w:val="2"/>
              <w:spacing w:line="360" w:lineRule="auto"/>
              <w:ind w:left="0" w:firstLine="482" w:firstLineChars="200"/>
              <w:rPr>
                <w:b/>
                <w:color w:val="auto"/>
                <w:kern w:val="0"/>
                <w:sz w:val="24"/>
              </w:rPr>
            </w:pPr>
            <w:r>
              <w:rPr>
                <w:b/>
                <w:bCs/>
                <w:color w:val="auto"/>
                <w:sz w:val="24"/>
              </w:rPr>
              <w:t>4、</w:t>
            </w:r>
            <w:r>
              <w:rPr>
                <w:b/>
                <w:color w:val="auto"/>
                <w:kern w:val="0"/>
                <w:sz w:val="24"/>
              </w:rPr>
              <w:t>与《乐山市打赢蓝天保卫战九个实施方案》符合性分析</w:t>
            </w:r>
          </w:p>
          <w:p>
            <w:pPr>
              <w:autoSpaceDE w:val="0"/>
              <w:autoSpaceDN w:val="0"/>
              <w:spacing w:line="360" w:lineRule="auto"/>
              <w:ind w:firstLine="480" w:firstLineChars="200"/>
              <w:jc w:val="left"/>
              <w:rPr>
                <w:color w:val="auto"/>
                <w:sz w:val="24"/>
                <w:shd w:val="clear" w:color="auto" w:fill="FFFFFF"/>
              </w:rPr>
            </w:pPr>
            <w:r>
              <w:rPr>
                <w:color w:val="auto"/>
                <w:sz w:val="24"/>
                <w:shd w:val="clear" w:color="auto" w:fill="FFFFFF"/>
              </w:rPr>
              <w:t>根据《乐山市城市总体规划（2011-2030）（2017版）》可知：乐山市中心城区主要是北至嘉峨旅游通道-乐北快速路，西至苏西大道-乐沙快速路，东至乐五快速路，西南至沙湾区谭坝乡以北，东南至乐山绕城高速公路，面积约288平方公里。</w:t>
            </w:r>
          </w:p>
          <w:p>
            <w:pPr>
              <w:autoSpaceDE w:val="0"/>
              <w:autoSpaceDN w:val="0"/>
              <w:spacing w:line="360" w:lineRule="auto"/>
              <w:ind w:firstLine="480" w:firstLineChars="200"/>
              <w:jc w:val="left"/>
              <w:rPr>
                <w:color w:val="auto"/>
                <w:sz w:val="24"/>
                <w:shd w:val="clear" w:color="auto" w:fill="FFFFFF"/>
              </w:rPr>
            </w:pPr>
            <w:r>
              <w:rPr>
                <w:color w:val="auto"/>
                <w:sz w:val="24"/>
                <w:shd w:val="clear" w:color="auto" w:fill="FFFFFF"/>
              </w:rPr>
              <w:t>根据《乐山市打赢蓝天保卫战实施方案》，“六、深化扬尘污染治理全面治理全</w:t>
            </w:r>
            <w:r>
              <w:rPr>
                <w:color w:val="auto"/>
                <w:sz w:val="24"/>
                <w:szCs w:val="24"/>
                <w:shd w:val="clear" w:color="auto" w:fill="FFFFFF"/>
              </w:rPr>
              <w:t>市砂石开采加工行业，2019年全面完成中心城区砂石行业退出，全市保留的</w:t>
            </w:r>
            <w:r>
              <w:rPr>
                <w:rFonts w:hint="eastAsia"/>
                <w:color w:val="auto"/>
                <w:sz w:val="24"/>
                <w:szCs w:val="24"/>
                <w:lang w:eastAsia="zh-CN"/>
              </w:rPr>
              <w:t>砂石生产加工</w:t>
            </w:r>
            <w:r>
              <w:rPr>
                <w:color w:val="auto"/>
                <w:sz w:val="24"/>
                <w:szCs w:val="24"/>
                <w:shd w:val="clear" w:color="auto" w:fill="FFFFFF"/>
              </w:rPr>
              <w:t>生产企</w:t>
            </w:r>
            <w:r>
              <w:rPr>
                <w:color w:val="auto"/>
                <w:sz w:val="24"/>
                <w:shd w:val="clear" w:color="auto" w:fill="FFFFFF"/>
              </w:rPr>
              <w:t>业应当建设封闭式厂房，杜绝露天加工，配套建设自动喷淋、除尘设施，使用清洁能源，科学制定重污染天气预防和应急预案落实方案，重污染天气期间除保障抢险工程、重大民生工程外，停止生产加工。”</w:t>
            </w:r>
          </w:p>
          <w:p>
            <w:pPr>
              <w:autoSpaceDE w:val="0"/>
              <w:autoSpaceDN w:val="0"/>
              <w:spacing w:line="360" w:lineRule="auto"/>
              <w:ind w:firstLine="480" w:firstLineChars="200"/>
              <w:jc w:val="left"/>
              <w:rPr>
                <w:color w:val="auto"/>
                <w:sz w:val="24"/>
                <w:shd w:val="clear" w:color="auto" w:fill="FFFFFF"/>
              </w:rPr>
            </w:pPr>
            <w:r>
              <w:rPr>
                <w:color w:val="auto"/>
                <w:sz w:val="24"/>
                <w:shd w:val="clear" w:color="auto" w:fill="FFFFFF"/>
              </w:rPr>
              <w:t>本项目位于</w:t>
            </w:r>
            <w:r>
              <w:rPr>
                <w:color w:val="auto"/>
                <w:kern w:val="0"/>
                <w:sz w:val="24"/>
              </w:rPr>
              <w:t>四川省乐山市</w:t>
            </w:r>
            <w:r>
              <w:rPr>
                <w:bCs/>
                <w:color w:val="auto"/>
                <w:sz w:val="24"/>
              </w:rPr>
              <w:t>市中区悦来镇龙岩村</w:t>
            </w:r>
            <w:r>
              <w:rPr>
                <w:rFonts w:hint="eastAsia"/>
                <w:bCs/>
                <w:color w:val="auto"/>
                <w:sz w:val="24"/>
                <w:lang w:eastAsia="zh-CN"/>
              </w:rPr>
              <w:t>，不在划定的</w:t>
            </w:r>
            <w:r>
              <w:rPr>
                <w:color w:val="auto"/>
                <w:sz w:val="24"/>
                <w:shd w:val="clear" w:color="auto" w:fill="FFFFFF"/>
              </w:rPr>
              <w:t>乐山市中心城区</w:t>
            </w:r>
            <w:r>
              <w:rPr>
                <w:rFonts w:hint="eastAsia"/>
                <w:color w:val="auto"/>
                <w:sz w:val="24"/>
                <w:shd w:val="clear" w:color="auto" w:fill="FFFFFF"/>
                <w:lang w:eastAsia="zh-CN"/>
              </w:rPr>
              <w:t>范围内</w:t>
            </w:r>
            <w:r>
              <w:rPr>
                <w:color w:val="auto"/>
                <w:sz w:val="24"/>
                <w:shd w:val="clear" w:color="auto" w:fill="FFFFFF"/>
              </w:rPr>
              <w:t>，本项目建成后加工生产工序均在封闭车间内，并配套喷雾降尘措施；</w:t>
            </w:r>
            <w:r>
              <w:rPr>
                <w:color w:val="auto"/>
                <w:sz w:val="24"/>
              </w:rPr>
              <w:t>建设单位在拟建场地南侧布置一座三级沉淀池，项目运营产生的冲洗废水及雨天的初期雨水通过排水沟流入沉淀池，废水经沉淀池沉淀后回用于生产、冲洗、洒水降尘等，不外排</w:t>
            </w:r>
            <w:r>
              <w:rPr>
                <w:color w:val="auto"/>
                <w:sz w:val="24"/>
                <w:shd w:val="clear" w:color="auto" w:fill="FFFFFF"/>
              </w:rPr>
              <w:t>。同时评价要求建设单位，在重污染天气情况下停止产生扬尘的作业。</w:t>
            </w:r>
          </w:p>
          <w:p>
            <w:pPr>
              <w:autoSpaceDE w:val="0"/>
              <w:autoSpaceDN w:val="0"/>
              <w:spacing w:line="360" w:lineRule="auto"/>
              <w:ind w:firstLine="480" w:firstLineChars="200"/>
              <w:jc w:val="left"/>
              <w:rPr>
                <w:b/>
                <w:bCs/>
                <w:color w:val="auto"/>
                <w:sz w:val="24"/>
                <w:shd w:val="clear" w:color="auto" w:fill="FFFFFF"/>
              </w:rPr>
            </w:pPr>
            <w:r>
              <w:rPr>
                <w:color w:val="auto"/>
                <w:sz w:val="24"/>
                <w:shd w:val="clear" w:color="auto" w:fill="FFFFFF"/>
              </w:rPr>
              <w:t>综上，项目符合《乐山市打赢蓝天保卫战实施方案》相关要求。</w:t>
            </w:r>
          </w:p>
          <w:p>
            <w:pPr>
              <w:spacing w:line="360" w:lineRule="auto"/>
              <w:ind w:firstLine="482" w:firstLineChars="200"/>
              <w:rPr>
                <w:b/>
                <w:bCs/>
                <w:color w:val="auto"/>
                <w:sz w:val="24"/>
              </w:rPr>
            </w:pPr>
            <w:r>
              <w:rPr>
                <w:b/>
                <w:bCs/>
                <w:color w:val="auto"/>
                <w:sz w:val="24"/>
              </w:rPr>
              <w:t>5、与《四川省〈中华人民共和国大气污染防治法〉实施办法》（2018年修订）的符合性分析</w:t>
            </w:r>
          </w:p>
          <w:p>
            <w:pPr>
              <w:autoSpaceDE w:val="0"/>
              <w:autoSpaceDN w:val="0"/>
              <w:spacing w:line="360" w:lineRule="auto"/>
              <w:jc w:val="center"/>
              <w:rPr>
                <w:b/>
                <w:bCs/>
                <w:color w:val="auto"/>
                <w:kern w:val="0"/>
                <w:szCs w:val="21"/>
              </w:rPr>
            </w:pPr>
            <w:r>
              <w:rPr>
                <w:b/>
                <w:bCs/>
                <w:color w:val="auto"/>
                <w:kern w:val="0"/>
                <w:szCs w:val="21"/>
              </w:rPr>
              <w:t>表1-3  与《四川省〈中华人民共和国大气污染防治法〉实施办法》符合性</w:t>
            </w:r>
          </w:p>
          <w:tbl>
            <w:tblPr>
              <w:tblStyle w:val="4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3"/>
              <w:gridCol w:w="2772"/>
              <w:gridCol w:w="2925"/>
              <w:gridCol w:w="1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pct"/>
                  <w:noWrap/>
                  <w:vAlign w:val="center"/>
                </w:tcPr>
                <w:p>
                  <w:pPr>
                    <w:widowControl/>
                    <w:jc w:val="center"/>
                    <w:rPr>
                      <w:b/>
                      <w:bCs/>
                      <w:color w:val="auto"/>
                      <w:kern w:val="0"/>
                      <w:szCs w:val="21"/>
                    </w:rPr>
                  </w:pPr>
                  <w:r>
                    <w:rPr>
                      <w:b/>
                      <w:bCs/>
                      <w:color w:val="auto"/>
                      <w:kern w:val="0"/>
                      <w:szCs w:val="21"/>
                    </w:rPr>
                    <w:t>文件</w:t>
                  </w:r>
                </w:p>
              </w:tc>
              <w:tc>
                <w:tcPr>
                  <w:tcW w:w="1628" w:type="pct"/>
                  <w:noWrap/>
                  <w:vAlign w:val="center"/>
                </w:tcPr>
                <w:p>
                  <w:pPr>
                    <w:widowControl/>
                    <w:jc w:val="center"/>
                    <w:rPr>
                      <w:b/>
                      <w:bCs/>
                      <w:color w:val="auto"/>
                      <w:kern w:val="0"/>
                      <w:szCs w:val="21"/>
                    </w:rPr>
                  </w:pPr>
                  <w:r>
                    <w:rPr>
                      <w:b/>
                      <w:bCs/>
                      <w:color w:val="auto"/>
                      <w:kern w:val="0"/>
                      <w:szCs w:val="21"/>
                    </w:rPr>
                    <w:t>相关要求</w:t>
                  </w:r>
                </w:p>
              </w:tc>
              <w:tc>
                <w:tcPr>
                  <w:tcW w:w="1718" w:type="pct"/>
                  <w:noWrap/>
                  <w:vAlign w:val="center"/>
                </w:tcPr>
                <w:p>
                  <w:pPr>
                    <w:widowControl/>
                    <w:jc w:val="center"/>
                    <w:rPr>
                      <w:b/>
                      <w:bCs/>
                      <w:color w:val="auto"/>
                      <w:kern w:val="0"/>
                      <w:szCs w:val="21"/>
                    </w:rPr>
                  </w:pPr>
                  <w:r>
                    <w:rPr>
                      <w:b/>
                      <w:bCs/>
                      <w:color w:val="auto"/>
                      <w:kern w:val="0"/>
                      <w:szCs w:val="21"/>
                    </w:rPr>
                    <w:t>本项目情况</w:t>
                  </w:r>
                </w:p>
              </w:tc>
              <w:tc>
                <w:tcPr>
                  <w:tcW w:w="664" w:type="pct"/>
                  <w:noWrap/>
                  <w:vAlign w:val="center"/>
                </w:tcPr>
                <w:p>
                  <w:pPr>
                    <w:widowControl/>
                    <w:jc w:val="center"/>
                    <w:rPr>
                      <w:b/>
                      <w:bCs/>
                      <w:color w:val="auto"/>
                      <w:kern w:val="0"/>
                      <w:szCs w:val="21"/>
                    </w:rPr>
                  </w:pPr>
                  <w:r>
                    <w:rPr>
                      <w:b/>
                      <w:bCs/>
                      <w:color w:val="auto"/>
                      <w:kern w:val="0"/>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pct"/>
                  <w:noWrap/>
                  <w:vAlign w:val="center"/>
                </w:tcPr>
                <w:p>
                  <w:pPr>
                    <w:widowControl/>
                    <w:jc w:val="center"/>
                    <w:rPr>
                      <w:color w:val="auto"/>
                      <w:kern w:val="0"/>
                      <w:szCs w:val="21"/>
                    </w:rPr>
                  </w:pPr>
                  <w:r>
                    <w:rPr>
                      <w:color w:val="auto"/>
                      <w:kern w:val="0"/>
                      <w:szCs w:val="21"/>
                    </w:rPr>
                    <w:t>《四川省〈中华人民共和国大气污染防治法〉实施办法》（2018年修订）</w:t>
                  </w:r>
                </w:p>
              </w:tc>
              <w:tc>
                <w:tcPr>
                  <w:tcW w:w="1628" w:type="pct"/>
                  <w:noWrap/>
                  <w:vAlign w:val="center"/>
                </w:tcPr>
                <w:p>
                  <w:pPr>
                    <w:widowControl/>
                    <w:jc w:val="center"/>
                    <w:rPr>
                      <w:color w:val="auto"/>
                      <w:kern w:val="0"/>
                      <w:szCs w:val="21"/>
                    </w:rPr>
                  </w:pPr>
                  <w:bookmarkStart w:id="11" w:name="14"/>
                  <w:r>
                    <w:rPr>
                      <w:color w:val="auto"/>
                      <w:kern w:val="0"/>
                      <w:szCs w:val="21"/>
                    </w:rPr>
                    <w:t>第二章监督管理第十四条</w:t>
                  </w:r>
                  <w:bookmarkEnd w:id="11"/>
                  <w:r>
                    <w:rPr>
                      <w:color w:val="auto"/>
                      <w:kern w:val="0"/>
                      <w:szCs w:val="21"/>
                    </w:rPr>
                    <w:t>：企业事业单位和其他生产经营者建设对大气环境有影响的项目，应当依法进行环境影响评价、公开环境影响评价文件；向大气排放污染物的，应当配套建设大气污染防治设施并正常使用，确保大气污染物达标排放，遵守重点大气污染物排放总量控制要求。</w:t>
                  </w:r>
                </w:p>
              </w:tc>
              <w:tc>
                <w:tcPr>
                  <w:tcW w:w="1718" w:type="pct"/>
                  <w:noWrap/>
                  <w:vAlign w:val="center"/>
                </w:tcPr>
                <w:p>
                  <w:pPr>
                    <w:widowControl/>
                    <w:jc w:val="center"/>
                    <w:rPr>
                      <w:color w:val="auto"/>
                      <w:kern w:val="0"/>
                      <w:szCs w:val="21"/>
                    </w:rPr>
                  </w:pPr>
                  <w:r>
                    <w:rPr>
                      <w:color w:val="auto"/>
                      <w:kern w:val="0"/>
                      <w:szCs w:val="21"/>
                    </w:rPr>
                    <w:t>（1）项目加工生产工序均在封闭车间内，生成区及堆场</w:t>
                  </w:r>
                  <w:r>
                    <w:rPr>
                      <w:color w:val="auto"/>
                    </w:rPr>
                    <w:t>采用彩钢瓦四面围挡+顶棚遮盖+喷雾降尘措施</w:t>
                  </w:r>
                  <w:r>
                    <w:rPr>
                      <w:color w:val="auto"/>
                      <w:kern w:val="0"/>
                      <w:szCs w:val="21"/>
                    </w:rPr>
                    <w:t>。</w:t>
                  </w:r>
                </w:p>
                <w:p>
                  <w:pPr>
                    <w:widowControl/>
                    <w:jc w:val="center"/>
                    <w:rPr>
                      <w:color w:val="auto"/>
                      <w:kern w:val="0"/>
                      <w:szCs w:val="21"/>
                    </w:rPr>
                  </w:pPr>
                  <w:r>
                    <w:rPr>
                      <w:color w:val="auto"/>
                      <w:kern w:val="0"/>
                      <w:szCs w:val="21"/>
                    </w:rPr>
                    <w:t>（2）项目在重污染天气时停止产生扬尘的作业。</w:t>
                  </w:r>
                </w:p>
              </w:tc>
              <w:tc>
                <w:tcPr>
                  <w:tcW w:w="664" w:type="pct"/>
                  <w:noWrap/>
                  <w:vAlign w:val="center"/>
                </w:tcPr>
                <w:p>
                  <w:pPr>
                    <w:widowControl/>
                    <w:jc w:val="center"/>
                    <w:rPr>
                      <w:color w:val="auto"/>
                      <w:kern w:val="0"/>
                      <w:szCs w:val="21"/>
                    </w:rPr>
                  </w:pPr>
                  <w:r>
                    <w:rPr>
                      <w:color w:val="auto"/>
                      <w:kern w:val="0"/>
                      <w:szCs w:val="21"/>
                    </w:rPr>
                    <w:t>符合</w:t>
                  </w:r>
                </w:p>
              </w:tc>
            </w:tr>
          </w:tbl>
          <w:p>
            <w:pPr>
              <w:spacing w:line="360" w:lineRule="auto"/>
              <w:ind w:firstLine="480" w:firstLineChars="200"/>
              <w:rPr>
                <w:color w:val="auto"/>
                <w:sz w:val="24"/>
              </w:rPr>
            </w:pPr>
            <w:r>
              <w:rPr>
                <w:color w:val="auto"/>
                <w:sz w:val="24"/>
              </w:rPr>
              <w:t>综上所述，本项目作为水稳层生产项目，符合《四川省〈中华人民共和国大气污染防治法〉实施办法》（2018年修订）相关要求。</w:t>
            </w:r>
          </w:p>
          <w:p>
            <w:pPr>
              <w:pStyle w:val="5"/>
              <w:ind w:firstLine="480" w:firstLineChars="200"/>
              <w:rPr>
                <w:bCs/>
                <w:color w:val="auto"/>
                <w:sz w:val="24"/>
                <w:highlight w:val="yellow"/>
              </w:rPr>
            </w:pPr>
            <w:r>
              <w:rPr>
                <w:bCs/>
                <w:color w:val="auto"/>
                <w:sz w:val="24"/>
              </w:rPr>
              <w:t>6、与《乐山市砂石加工场污染防治验收标准》（乐水函〔2017〕330号）符合性分析</w:t>
            </w:r>
          </w:p>
          <w:p>
            <w:pPr>
              <w:autoSpaceDE w:val="0"/>
              <w:autoSpaceDN w:val="0"/>
              <w:spacing w:line="360" w:lineRule="auto"/>
              <w:jc w:val="center"/>
              <w:rPr>
                <w:b/>
                <w:bCs/>
                <w:color w:val="auto"/>
                <w:kern w:val="0"/>
                <w:szCs w:val="21"/>
              </w:rPr>
            </w:pPr>
            <w:r>
              <w:rPr>
                <w:b/>
                <w:bCs/>
                <w:color w:val="auto"/>
                <w:kern w:val="0"/>
                <w:szCs w:val="21"/>
              </w:rPr>
              <w:t>表1-4  与《乐山市砂石加工场污染防治验收标准》符合性分析</w:t>
            </w:r>
          </w:p>
          <w:tbl>
            <w:tblPr>
              <w:tblStyle w:val="41"/>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8"/>
              <w:gridCol w:w="3852"/>
              <w:gridCol w:w="2753"/>
              <w:gridCol w:w="9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63" w:type="pct"/>
                  <w:noWrap/>
                  <w:vAlign w:val="center"/>
                </w:tcPr>
                <w:p>
                  <w:pPr>
                    <w:pStyle w:val="77"/>
                    <w:autoSpaceDE w:val="0"/>
                    <w:autoSpaceDN w:val="0"/>
                    <w:adjustRightInd w:val="0"/>
                    <w:snapToGrid/>
                    <w:rPr>
                      <w:b/>
                      <w:bCs/>
                      <w:color w:val="auto"/>
                      <w:szCs w:val="21"/>
                      <w:lang w:val="en-US"/>
                    </w:rPr>
                  </w:pPr>
                  <w:r>
                    <w:rPr>
                      <w:b/>
                      <w:bCs/>
                      <w:color w:val="auto"/>
                      <w:szCs w:val="21"/>
                      <w:lang w:val="en-US"/>
                    </w:rPr>
                    <w:t>类别</w:t>
                  </w:r>
                </w:p>
              </w:tc>
              <w:tc>
                <w:tcPr>
                  <w:tcW w:w="2264" w:type="pct"/>
                  <w:noWrap/>
                  <w:vAlign w:val="center"/>
                </w:tcPr>
                <w:p>
                  <w:pPr>
                    <w:pStyle w:val="77"/>
                    <w:autoSpaceDE w:val="0"/>
                    <w:autoSpaceDN w:val="0"/>
                    <w:adjustRightInd w:val="0"/>
                    <w:snapToGrid/>
                    <w:rPr>
                      <w:b/>
                      <w:bCs/>
                      <w:color w:val="auto"/>
                      <w:szCs w:val="21"/>
                      <w:lang w:val="en-US"/>
                    </w:rPr>
                  </w:pPr>
                  <w:r>
                    <w:rPr>
                      <w:b/>
                      <w:bCs/>
                      <w:color w:val="auto"/>
                      <w:szCs w:val="21"/>
                      <w:lang w:val="en-US"/>
                    </w:rPr>
                    <w:t>防治要求</w:t>
                  </w:r>
                </w:p>
              </w:tc>
              <w:tc>
                <w:tcPr>
                  <w:tcW w:w="1618" w:type="pct"/>
                  <w:noWrap/>
                  <w:vAlign w:val="center"/>
                </w:tcPr>
                <w:p>
                  <w:pPr>
                    <w:pStyle w:val="77"/>
                    <w:autoSpaceDE w:val="0"/>
                    <w:autoSpaceDN w:val="0"/>
                    <w:adjustRightInd w:val="0"/>
                    <w:snapToGrid/>
                    <w:rPr>
                      <w:b/>
                      <w:bCs/>
                      <w:color w:val="auto"/>
                      <w:szCs w:val="21"/>
                      <w:lang w:val="en-US"/>
                    </w:rPr>
                  </w:pPr>
                  <w:r>
                    <w:rPr>
                      <w:b/>
                      <w:bCs/>
                      <w:color w:val="auto"/>
                      <w:szCs w:val="21"/>
                      <w:lang w:val="en-US"/>
                    </w:rPr>
                    <w:t>治理措施</w:t>
                  </w:r>
                </w:p>
              </w:tc>
              <w:tc>
                <w:tcPr>
                  <w:tcW w:w="553" w:type="pct"/>
                  <w:noWrap/>
                  <w:vAlign w:val="center"/>
                </w:tcPr>
                <w:p>
                  <w:pPr>
                    <w:pStyle w:val="77"/>
                    <w:autoSpaceDE w:val="0"/>
                    <w:autoSpaceDN w:val="0"/>
                    <w:adjustRightInd w:val="0"/>
                    <w:snapToGrid/>
                    <w:rPr>
                      <w:b/>
                      <w:bCs/>
                      <w:color w:val="auto"/>
                      <w:szCs w:val="21"/>
                      <w:lang w:val="en-US"/>
                    </w:rPr>
                  </w:pPr>
                  <w:r>
                    <w:rPr>
                      <w:b/>
                      <w:bCs/>
                      <w:color w:val="auto"/>
                      <w:szCs w:val="21"/>
                      <w:lang w:val="en-US"/>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vMerge w:val="restart"/>
                  <w:noWrap/>
                  <w:vAlign w:val="center"/>
                </w:tcPr>
                <w:p>
                  <w:pPr>
                    <w:pStyle w:val="77"/>
                    <w:autoSpaceDE w:val="0"/>
                    <w:autoSpaceDN w:val="0"/>
                    <w:adjustRightInd w:val="0"/>
                    <w:snapToGrid/>
                    <w:rPr>
                      <w:color w:val="auto"/>
                      <w:szCs w:val="21"/>
                      <w:lang w:val="en-US"/>
                    </w:rPr>
                  </w:pPr>
                  <w:r>
                    <w:rPr>
                      <w:color w:val="auto"/>
                      <w:szCs w:val="21"/>
                      <w:lang w:val="en-US"/>
                    </w:rPr>
                    <w:t>原料堆场、成品料场</w:t>
                  </w:r>
                </w:p>
              </w:tc>
              <w:tc>
                <w:tcPr>
                  <w:tcW w:w="2264" w:type="pct"/>
                  <w:noWrap/>
                  <w:vAlign w:val="center"/>
                </w:tcPr>
                <w:p>
                  <w:pPr>
                    <w:pStyle w:val="77"/>
                    <w:autoSpaceDE w:val="0"/>
                    <w:autoSpaceDN w:val="0"/>
                    <w:adjustRightInd w:val="0"/>
                    <w:snapToGrid/>
                    <w:rPr>
                      <w:color w:val="auto"/>
                      <w:szCs w:val="21"/>
                      <w:lang w:val="en-US"/>
                    </w:rPr>
                  </w:pPr>
                  <w:r>
                    <w:rPr>
                      <w:color w:val="auto"/>
                      <w:szCs w:val="21"/>
                      <w:lang w:val="en-US"/>
                    </w:rPr>
                    <w:t>堆料场四周打围封隔（堆场四周应当设置不低于堆放物料高度的落地围栏，防止堆料滑落扬尘）。</w:t>
                  </w:r>
                </w:p>
              </w:tc>
              <w:tc>
                <w:tcPr>
                  <w:tcW w:w="1618" w:type="pct"/>
                  <w:vMerge w:val="restart"/>
                  <w:noWrap/>
                  <w:vAlign w:val="center"/>
                </w:tcPr>
                <w:p>
                  <w:pPr>
                    <w:pStyle w:val="77"/>
                    <w:autoSpaceDE w:val="0"/>
                    <w:autoSpaceDN w:val="0"/>
                    <w:adjustRightInd w:val="0"/>
                    <w:snapToGrid/>
                    <w:rPr>
                      <w:color w:val="auto"/>
                      <w:szCs w:val="21"/>
                      <w:lang w:val="en-US"/>
                    </w:rPr>
                  </w:pPr>
                  <w:r>
                    <w:rPr>
                      <w:color w:val="auto"/>
                    </w:rPr>
                    <w:t>堆场采</w:t>
                  </w:r>
                  <w:r>
                    <w:rPr>
                      <w:color w:val="auto"/>
                      <w:lang w:val="en-US"/>
                    </w:rPr>
                    <w:t>用</w:t>
                  </w:r>
                  <w:r>
                    <w:rPr>
                      <w:color w:val="auto"/>
                    </w:rPr>
                    <w:t>彩钢瓦四面围挡+顶棚遮盖+喷雾降尘措施</w:t>
                  </w:r>
                </w:p>
              </w:tc>
              <w:tc>
                <w:tcPr>
                  <w:tcW w:w="553" w:type="pct"/>
                  <w:noWrap/>
                  <w:vAlign w:val="center"/>
                </w:tcPr>
                <w:p>
                  <w:pPr>
                    <w:pStyle w:val="77"/>
                    <w:autoSpaceDE w:val="0"/>
                    <w:autoSpaceDN w:val="0"/>
                    <w:adjustRightInd w:val="0"/>
                    <w:snapToGrid/>
                    <w:rPr>
                      <w:color w:val="auto"/>
                      <w:szCs w:val="21"/>
                      <w:lang w:val="en-US"/>
                    </w:rPr>
                  </w:pPr>
                  <w:r>
                    <w:rPr>
                      <w:color w:val="auto"/>
                      <w:szCs w:val="21"/>
                      <w:lang w:val="en-US"/>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vMerge w:val="continue"/>
                  <w:noWrap/>
                  <w:vAlign w:val="center"/>
                </w:tcPr>
                <w:p>
                  <w:pPr>
                    <w:pStyle w:val="77"/>
                    <w:autoSpaceDE w:val="0"/>
                    <w:autoSpaceDN w:val="0"/>
                    <w:adjustRightInd w:val="0"/>
                    <w:snapToGrid/>
                    <w:rPr>
                      <w:color w:val="auto"/>
                      <w:szCs w:val="21"/>
                      <w:lang w:val="en-US"/>
                    </w:rPr>
                  </w:pPr>
                </w:p>
              </w:tc>
              <w:tc>
                <w:tcPr>
                  <w:tcW w:w="2264" w:type="pct"/>
                  <w:noWrap/>
                  <w:vAlign w:val="center"/>
                </w:tcPr>
                <w:p>
                  <w:pPr>
                    <w:pStyle w:val="77"/>
                    <w:autoSpaceDE w:val="0"/>
                    <w:autoSpaceDN w:val="0"/>
                    <w:adjustRightInd w:val="0"/>
                    <w:snapToGrid/>
                    <w:rPr>
                      <w:color w:val="auto"/>
                      <w:szCs w:val="21"/>
                      <w:lang w:val="en-US"/>
                    </w:rPr>
                  </w:pPr>
                  <w:r>
                    <w:rPr>
                      <w:color w:val="auto"/>
                      <w:szCs w:val="21"/>
                      <w:lang w:val="en-US"/>
                    </w:rPr>
                    <w:t>堆料全覆盖（堆场采取防风扬尘网进行全覆盖，严禁裸露扬尘）。</w:t>
                  </w:r>
                </w:p>
              </w:tc>
              <w:tc>
                <w:tcPr>
                  <w:tcW w:w="1618" w:type="pct"/>
                  <w:vMerge w:val="continue"/>
                  <w:noWrap/>
                  <w:vAlign w:val="center"/>
                </w:tcPr>
                <w:p>
                  <w:pPr>
                    <w:pStyle w:val="77"/>
                    <w:autoSpaceDE w:val="0"/>
                    <w:autoSpaceDN w:val="0"/>
                    <w:adjustRightInd w:val="0"/>
                    <w:snapToGrid/>
                    <w:rPr>
                      <w:color w:val="auto"/>
                      <w:szCs w:val="21"/>
                      <w:lang w:val="en-US"/>
                    </w:rPr>
                  </w:pPr>
                </w:p>
              </w:tc>
              <w:tc>
                <w:tcPr>
                  <w:tcW w:w="553" w:type="pct"/>
                  <w:noWrap/>
                  <w:vAlign w:val="center"/>
                </w:tcPr>
                <w:p>
                  <w:pPr>
                    <w:pStyle w:val="77"/>
                    <w:autoSpaceDE w:val="0"/>
                    <w:autoSpaceDN w:val="0"/>
                    <w:adjustRightInd w:val="0"/>
                    <w:snapToGrid/>
                    <w:rPr>
                      <w:color w:val="auto"/>
                      <w:szCs w:val="21"/>
                      <w:lang w:val="en-US"/>
                    </w:rPr>
                  </w:pPr>
                  <w:r>
                    <w:rPr>
                      <w:color w:val="auto"/>
                      <w:szCs w:val="21"/>
                      <w:lang w:val="en-US"/>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vMerge w:val="restart"/>
                  <w:noWrap/>
                  <w:vAlign w:val="center"/>
                </w:tcPr>
                <w:p>
                  <w:pPr>
                    <w:pStyle w:val="77"/>
                    <w:autoSpaceDE w:val="0"/>
                    <w:autoSpaceDN w:val="0"/>
                    <w:adjustRightInd w:val="0"/>
                    <w:snapToGrid/>
                    <w:rPr>
                      <w:color w:val="auto"/>
                      <w:szCs w:val="21"/>
                      <w:lang w:val="en-US"/>
                    </w:rPr>
                  </w:pPr>
                  <w:r>
                    <w:rPr>
                      <w:color w:val="auto"/>
                      <w:szCs w:val="21"/>
                      <w:lang w:val="en-US"/>
                    </w:rPr>
                    <w:t>砂石料加工生产</w:t>
                  </w:r>
                </w:p>
              </w:tc>
              <w:tc>
                <w:tcPr>
                  <w:tcW w:w="2264" w:type="pct"/>
                  <w:noWrap/>
                  <w:vAlign w:val="center"/>
                </w:tcPr>
                <w:p>
                  <w:pPr>
                    <w:pStyle w:val="77"/>
                    <w:autoSpaceDE w:val="0"/>
                    <w:autoSpaceDN w:val="0"/>
                    <w:adjustRightInd w:val="0"/>
                    <w:snapToGrid/>
                    <w:rPr>
                      <w:color w:val="auto"/>
                      <w:szCs w:val="21"/>
                      <w:lang w:val="en-US"/>
                    </w:rPr>
                  </w:pPr>
                  <w:r>
                    <w:rPr>
                      <w:color w:val="auto"/>
                      <w:szCs w:val="21"/>
                      <w:lang w:val="en-US"/>
                    </w:rPr>
                    <w:t>砂石破碎加工进料口全封闭（水稳层生产、破碎、分筛必须在全封闭设施进行，通过防尘、隔音、喷淋装置，防止、减少噪音和扬尘污染）。</w:t>
                  </w:r>
                </w:p>
              </w:tc>
              <w:tc>
                <w:tcPr>
                  <w:tcW w:w="1618" w:type="pct"/>
                  <w:noWrap/>
                  <w:vAlign w:val="center"/>
                </w:tcPr>
                <w:p>
                  <w:pPr>
                    <w:pStyle w:val="77"/>
                    <w:autoSpaceDE w:val="0"/>
                    <w:autoSpaceDN w:val="0"/>
                    <w:adjustRightInd w:val="0"/>
                    <w:snapToGrid/>
                    <w:rPr>
                      <w:color w:val="auto"/>
                      <w:szCs w:val="21"/>
                      <w:highlight w:val="yellow"/>
                      <w:lang w:val="en-US"/>
                    </w:rPr>
                  </w:pPr>
                  <w:r>
                    <w:rPr>
                      <w:color w:val="auto"/>
                      <w:szCs w:val="21"/>
                      <w:lang w:val="en-US"/>
                    </w:rPr>
                    <w:t>本项目外购成品砂石料，不涉及砂石破碎加工</w:t>
                  </w:r>
                </w:p>
              </w:tc>
              <w:tc>
                <w:tcPr>
                  <w:tcW w:w="553" w:type="pct"/>
                  <w:noWrap/>
                  <w:vAlign w:val="center"/>
                </w:tcPr>
                <w:p>
                  <w:pPr>
                    <w:pStyle w:val="77"/>
                    <w:autoSpaceDE w:val="0"/>
                    <w:autoSpaceDN w:val="0"/>
                    <w:adjustRightInd w:val="0"/>
                    <w:snapToGrid/>
                    <w:rPr>
                      <w:color w:val="auto"/>
                      <w:szCs w:val="21"/>
                      <w:lang w:val="en-US"/>
                    </w:rPr>
                  </w:pPr>
                  <w:r>
                    <w:rPr>
                      <w:color w:val="auto"/>
                      <w:szCs w:val="21"/>
                      <w:lang w:val="en-US"/>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vMerge w:val="continue"/>
                  <w:noWrap/>
                  <w:vAlign w:val="center"/>
                </w:tcPr>
                <w:p>
                  <w:pPr>
                    <w:pStyle w:val="77"/>
                    <w:autoSpaceDE w:val="0"/>
                    <w:autoSpaceDN w:val="0"/>
                    <w:adjustRightInd w:val="0"/>
                    <w:snapToGrid/>
                    <w:rPr>
                      <w:color w:val="auto"/>
                      <w:szCs w:val="21"/>
                      <w:lang w:val="en-US"/>
                    </w:rPr>
                  </w:pPr>
                </w:p>
              </w:tc>
              <w:tc>
                <w:tcPr>
                  <w:tcW w:w="2264" w:type="pct"/>
                  <w:noWrap/>
                  <w:vAlign w:val="center"/>
                </w:tcPr>
                <w:p>
                  <w:pPr>
                    <w:pStyle w:val="77"/>
                    <w:autoSpaceDE w:val="0"/>
                    <w:autoSpaceDN w:val="0"/>
                    <w:adjustRightInd w:val="0"/>
                    <w:snapToGrid/>
                    <w:rPr>
                      <w:color w:val="auto"/>
                      <w:szCs w:val="21"/>
                      <w:lang w:val="en-US"/>
                    </w:rPr>
                  </w:pPr>
                  <w:r>
                    <w:rPr>
                      <w:color w:val="auto"/>
                      <w:szCs w:val="21"/>
                      <w:lang w:val="en-US"/>
                    </w:rPr>
                    <w:t>修建配套生产废水处理回用设施（所有生产废水必须全部循环使用，要做到防渗漏防雨处理，严禁乱排、直排）。</w:t>
                  </w:r>
                </w:p>
              </w:tc>
              <w:tc>
                <w:tcPr>
                  <w:tcW w:w="1618" w:type="pct"/>
                  <w:noWrap/>
                  <w:vAlign w:val="center"/>
                </w:tcPr>
                <w:p>
                  <w:pPr>
                    <w:pStyle w:val="77"/>
                    <w:autoSpaceDE w:val="0"/>
                    <w:autoSpaceDN w:val="0"/>
                    <w:adjustRightInd w:val="0"/>
                    <w:snapToGrid/>
                    <w:rPr>
                      <w:color w:val="auto"/>
                      <w:szCs w:val="21"/>
                      <w:lang w:val="en-US"/>
                    </w:rPr>
                  </w:pPr>
                  <w:r>
                    <w:rPr>
                      <w:color w:val="auto"/>
                      <w:szCs w:val="21"/>
                      <w:lang w:val="en-US"/>
                    </w:rPr>
                    <w:t>本项目设有三级沉淀池及洗车池等，</w:t>
                  </w:r>
                  <w:r>
                    <w:rPr>
                      <w:rFonts w:hint="eastAsia"/>
                      <w:color w:val="auto"/>
                      <w:szCs w:val="21"/>
                      <w:lang w:val="en-US"/>
                    </w:rPr>
                    <w:t>生</w:t>
                  </w:r>
                  <w:r>
                    <w:rPr>
                      <w:color w:val="auto"/>
                      <w:szCs w:val="21"/>
                      <w:lang w:val="en-US"/>
                    </w:rPr>
                    <w:t>产区冲洗废水经处理后均回用，不外排。</w:t>
                  </w:r>
                </w:p>
              </w:tc>
              <w:tc>
                <w:tcPr>
                  <w:tcW w:w="553" w:type="pct"/>
                  <w:noWrap/>
                  <w:vAlign w:val="center"/>
                </w:tcPr>
                <w:p>
                  <w:pPr>
                    <w:pStyle w:val="77"/>
                    <w:autoSpaceDE w:val="0"/>
                    <w:autoSpaceDN w:val="0"/>
                    <w:adjustRightInd w:val="0"/>
                    <w:snapToGrid/>
                    <w:rPr>
                      <w:color w:val="auto"/>
                      <w:szCs w:val="21"/>
                      <w:lang w:val="en-US"/>
                    </w:rPr>
                  </w:pPr>
                  <w:r>
                    <w:rPr>
                      <w:color w:val="auto"/>
                      <w:szCs w:val="21"/>
                      <w:lang w:val="en-US"/>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vMerge w:val="continue"/>
                  <w:noWrap/>
                  <w:vAlign w:val="center"/>
                </w:tcPr>
                <w:p>
                  <w:pPr>
                    <w:pStyle w:val="77"/>
                    <w:autoSpaceDE w:val="0"/>
                    <w:autoSpaceDN w:val="0"/>
                    <w:adjustRightInd w:val="0"/>
                    <w:snapToGrid/>
                    <w:rPr>
                      <w:color w:val="auto"/>
                      <w:szCs w:val="21"/>
                      <w:lang w:val="en-US"/>
                    </w:rPr>
                  </w:pPr>
                </w:p>
              </w:tc>
              <w:tc>
                <w:tcPr>
                  <w:tcW w:w="2264" w:type="pct"/>
                  <w:noWrap/>
                  <w:vAlign w:val="center"/>
                </w:tcPr>
                <w:p>
                  <w:pPr>
                    <w:pStyle w:val="77"/>
                    <w:autoSpaceDE w:val="0"/>
                    <w:autoSpaceDN w:val="0"/>
                    <w:adjustRightInd w:val="0"/>
                    <w:snapToGrid/>
                    <w:rPr>
                      <w:color w:val="auto"/>
                      <w:szCs w:val="21"/>
                      <w:lang w:val="en-US"/>
                    </w:rPr>
                  </w:pPr>
                  <w:r>
                    <w:rPr>
                      <w:color w:val="auto"/>
                      <w:szCs w:val="21"/>
                      <w:lang w:val="en-US"/>
                    </w:rPr>
                    <w:t>装卸物料密闭喷淋（通过喷淋确保物料装卸不起尘）。</w:t>
                  </w:r>
                </w:p>
              </w:tc>
              <w:tc>
                <w:tcPr>
                  <w:tcW w:w="1618" w:type="pct"/>
                  <w:noWrap/>
                  <w:vAlign w:val="center"/>
                </w:tcPr>
                <w:p>
                  <w:pPr>
                    <w:pStyle w:val="77"/>
                    <w:autoSpaceDE w:val="0"/>
                    <w:autoSpaceDN w:val="0"/>
                    <w:adjustRightInd w:val="0"/>
                    <w:snapToGrid/>
                    <w:rPr>
                      <w:color w:val="auto"/>
                      <w:szCs w:val="21"/>
                      <w:lang w:val="en-US"/>
                    </w:rPr>
                  </w:pPr>
                  <w:r>
                    <w:rPr>
                      <w:color w:val="auto"/>
                      <w:szCs w:val="21"/>
                      <w:lang w:val="en-US"/>
                    </w:rPr>
                    <w:t>装卸工序设有喷雾降尘措施。</w:t>
                  </w:r>
                </w:p>
              </w:tc>
              <w:tc>
                <w:tcPr>
                  <w:tcW w:w="553" w:type="pct"/>
                  <w:noWrap/>
                  <w:vAlign w:val="center"/>
                </w:tcPr>
                <w:p>
                  <w:pPr>
                    <w:pStyle w:val="77"/>
                    <w:autoSpaceDE w:val="0"/>
                    <w:autoSpaceDN w:val="0"/>
                    <w:adjustRightInd w:val="0"/>
                    <w:snapToGrid/>
                    <w:rPr>
                      <w:color w:val="auto"/>
                      <w:szCs w:val="21"/>
                      <w:lang w:val="en-US"/>
                    </w:rPr>
                  </w:pPr>
                  <w:r>
                    <w:rPr>
                      <w:color w:val="auto"/>
                      <w:szCs w:val="21"/>
                      <w:lang w:val="en-US"/>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vMerge w:val="continue"/>
                  <w:noWrap/>
                  <w:vAlign w:val="center"/>
                </w:tcPr>
                <w:p>
                  <w:pPr>
                    <w:pStyle w:val="77"/>
                    <w:autoSpaceDE w:val="0"/>
                    <w:autoSpaceDN w:val="0"/>
                    <w:adjustRightInd w:val="0"/>
                    <w:snapToGrid/>
                    <w:rPr>
                      <w:color w:val="auto"/>
                      <w:szCs w:val="21"/>
                      <w:lang w:val="en-US"/>
                    </w:rPr>
                  </w:pPr>
                </w:p>
              </w:tc>
              <w:tc>
                <w:tcPr>
                  <w:tcW w:w="2264" w:type="pct"/>
                  <w:noWrap/>
                  <w:vAlign w:val="center"/>
                </w:tcPr>
                <w:p>
                  <w:pPr>
                    <w:pStyle w:val="77"/>
                    <w:autoSpaceDE w:val="0"/>
                    <w:autoSpaceDN w:val="0"/>
                    <w:adjustRightInd w:val="0"/>
                    <w:snapToGrid/>
                    <w:rPr>
                      <w:color w:val="auto"/>
                      <w:szCs w:val="21"/>
                      <w:lang w:val="en-US"/>
                    </w:rPr>
                  </w:pPr>
                  <w:r>
                    <w:rPr>
                      <w:color w:val="auto"/>
                      <w:szCs w:val="21"/>
                      <w:lang w:val="en-US"/>
                    </w:rPr>
                    <w:t>场地内运输道路硬化（要配置冲洗清扫设备，及时清除散落物料、清洗道路，做好除尘、降尘）。</w:t>
                  </w:r>
                </w:p>
              </w:tc>
              <w:tc>
                <w:tcPr>
                  <w:tcW w:w="1618" w:type="pct"/>
                  <w:noWrap/>
                  <w:vAlign w:val="center"/>
                </w:tcPr>
                <w:p>
                  <w:pPr>
                    <w:pStyle w:val="77"/>
                    <w:autoSpaceDE w:val="0"/>
                    <w:autoSpaceDN w:val="0"/>
                    <w:adjustRightInd w:val="0"/>
                    <w:snapToGrid/>
                    <w:rPr>
                      <w:color w:val="auto"/>
                      <w:szCs w:val="21"/>
                      <w:lang w:val="en-US"/>
                    </w:rPr>
                  </w:pPr>
                  <w:r>
                    <w:rPr>
                      <w:color w:val="auto"/>
                      <w:szCs w:val="21"/>
                      <w:lang w:val="en-US"/>
                    </w:rPr>
                    <w:t>厂区地面硬化，厂区出入口处设置车辆清洗设备。</w:t>
                  </w:r>
                </w:p>
              </w:tc>
              <w:tc>
                <w:tcPr>
                  <w:tcW w:w="553" w:type="pct"/>
                  <w:noWrap/>
                  <w:vAlign w:val="center"/>
                </w:tcPr>
                <w:p>
                  <w:pPr>
                    <w:pStyle w:val="77"/>
                    <w:autoSpaceDE w:val="0"/>
                    <w:autoSpaceDN w:val="0"/>
                    <w:adjustRightInd w:val="0"/>
                    <w:snapToGrid/>
                    <w:rPr>
                      <w:color w:val="auto"/>
                      <w:szCs w:val="21"/>
                      <w:lang w:val="en-US"/>
                    </w:rPr>
                  </w:pPr>
                  <w:r>
                    <w:rPr>
                      <w:color w:val="auto"/>
                      <w:szCs w:val="21"/>
                      <w:lang w:val="en-US"/>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vMerge w:val="continue"/>
                  <w:noWrap/>
                  <w:vAlign w:val="center"/>
                </w:tcPr>
                <w:p>
                  <w:pPr>
                    <w:pStyle w:val="77"/>
                    <w:autoSpaceDE w:val="0"/>
                    <w:autoSpaceDN w:val="0"/>
                    <w:adjustRightInd w:val="0"/>
                    <w:snapToGrid/>
                    <w:rPr>
                      <w:color w:val="auto"/>
                      <w:szCs w:val="21"/>
                      <w:lang w:val="en-US"/>
                    </w:rPr>
                  </w:pPr>
                </w:p>
              </w:tc>
              <w:tc>
                <w:tcPr>
                  <w:tcW w:w="2264" w:type="pct"/>
                  <w:noWrap/>
                  <w:vAlign w:val="center"/>
                </w:tcPr>
                <w:p>
                  <w:pPr>
                    <w:pStyle w:val="77"/>
                    <w:autoSpaceDE w:val="0"/>
                    <w:autoSpaceDN w:val="0"/>
                    <w:adjustRightInd w:val="0"/>
                    <w:snapToGrid/>
                    <w:rPr>
                      <w:color w:val="auto"/>
                      <w:szCs w:val="21"/>
                      <w:lang w:val="en-US"/>
                    </w:rPr>
                  </w:pPr>
                  <w:r>
                    <w:rPr>
                      <w:color w:val="auto"/>
                      <w:szCs w:val="21"/>
                      <w:lang w:val="en-US"/>
                    </w:rPr>
                    <w:t>规范作业时间（每日早6：00前、晚20：00后严禁加工作业和装卸运输，杜绝噪音扰民）。</w:t>
                  </w:r>
                </w:p>
              </w:tc>
              <w:tc>
                <w:tcPr>
                  <w:tcW w:w="1618" w:type="pct"/>
                  <w:noWrap/>
                  <w:vAlign w:val="center"/>
                </w:tcPr>
                <w:p>
                  <w:pPr>
                    <w:pStyle w:val="77"/>
                    <w:autoSpaceDE w:val="0"/>
                    <w:autoSpaceDN w:val="0"/>
                    <w:adjustRightInd w:val="0"/>
                    <w:snapToGrid/>
                    <w:rPr>
                      <w:color w:val="auto"/>
                      <w:szCs w:val="21"/>
                      <w:lang w:val="en-US"/>
                    </w:rPr>
                  </w:pPr>
                  <w:r>
                    <w:rPr>
                      <w:color w:val="auto"/>
                      <w:szCs w:val="21"/>
                      <w:lang w:val="en-US"/>
                    </w:rPr>
                    <w:t>合理制定工作制度：年运行300天，夜间不生产。</w:t>
                  </w:r>
                </w:p>
              </w:tc>
              <w:tc>
                <w:tcPr>
                  <w:tcW w:w="553" w:type="pct"/>
                  <w:noWrap/>
                  <w:vAlign w:val="center"/>
                </w:tcPr>
                <w:p>
                  <w:pPr>
                    <w:pStyle w:val="77"/>
                    <w:autoSpaceDE w:val="0"/>
                    <w:autoSpaceDN w:val="0"/>
                    <w:adjustRightInd w:val="0"/>
                    <w:snapToGrid/>
                    <w:rPr>
                      <w:color w:val="auto"/>
                      <w:szCs w:val="21"/>
                      <w:lang w:val="en-US"/>
                    </w:rPr>
                  </w:pPr>
                  <w:r>
                    <w:rPr>
                      <w:color w:val="auto"/>
                      <w:szCs w:val="21"/>
                      <w:lang w:val="en-US"/>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vMerge w:val="restart"/>
                  <w:noWrap/>
                  <w:vAlign w:val="center"/>
                </w:tcPr>
                <w:p>
                  <w:pPr>
                    <w:pStyle w:val="77"/>
                    <w:autoSpaceDE w:val="0"/>
                    <w:autoSpaceDN w:val="0"/>
                    <w:adjustRightInd w:val="0"/>
                    <w:snapToGrid/>
                    <w:rPr>
                      <w:color w:val="auto"/>
                      <w:szCs w:val="21"/>
                      <w:lang w:val="en-US"/>
                    </w:rPr>
                  </w:pPr>
                  <w:r>
                    <w:rPr>
                      <w:color w:val="auto"/>
                      <w:szCs w:val="21"/>
                      <w:lang w:val="en-US"/>
                    </w:rPr>
                    <w:t>砂石料销售运输</w:t>
                  </w:r>
                </w:p>
              </w:tc>
              <w:tc>
                <w:tcPr>
                  <w:tcW w:w="2264" w:type="pct"/>
                  <w:noWrap/>
                  <w:vAlign w:val="center"/>
                </w:tcPr>
                <w:p>
                  <w:pPr>
                    <w:pStyle w:val="77"/>
                    <w:autoSpaceDE w:val="0"/>
                    <w:autoSpaceDN w:val="0"/>
                    <w:adjustRightInd w:val="0"/>
                    <w:snapToGrid/>
                    <w:rPr>
                      <w:color w:val="auto"/>
                      <w:szCs w:val="21"/>
                      <w:lang w:val="en-US"/>
                    </w:rPr>
                  </w:pPr>
                  <w:r>
                    <w:rPr>
                      <w:color w:val="auto"/>
                      <w:szCs w:val="21"/>
                      <w:lang w:val="en-US"/>
                    </w:rPr>
                    <w:t>建立运输车辆出场冲洗和喷淋设施（所有出场运输车辆必须冲洗车身和轮胎，确保不带泥上路）。</w:t>
                  </w:r>
                </w:p>
              </w:tc>
              <w:tc>
                <w:tcPr>
                  <w:tcW w:w="1618" w:type="pct"/>
                  <w:noWrap/>
                  <w:vAlign w:val="center"/>
                </w:tcPr>
                <w:p>
                  <w:pPr>
                    <w:pStyle w:val="77"/>
                    <w:autoSpaceDE w:val="0"/>
                    <w:autoSpaceDN w:val="0"/>
                    <w:adjustRightInd w:val="0"/>
                    <w:snapToGrid/>
                    <w:rPr>
                      <w:color w:val="auto"/>
                      <w:szCs w:val="21"/>
                      <w:lang w:val="en-US"/>
                    </w:rPr>
                  </w:pPr>
                  <w:r>
                    <w:rPr>
                      <w:color w:val="auto"/>
                      <w:szCs w:val="21"/>
                      <w:lang w:val="en-US"/>
                    </w:rPr>
                    <w:t>厂区地面硬化，厂区出入口处设置车辆清洗设备。</w:t>
                  </w:r>
                </w:p>
              </w:tc>
              <w:tc>
                <w:tcPr>
                  <w:tcW w:w="553" w:type="pct"/>
                  <w:noWrap/>
                  <w:vAlign w:val="center"/>
                </w:tcPr>
                <w:p>
                  <w:pPr>
                    <w:pStyle w:val="77"/>
                    <w:autoSpaceDE w:val="0"/>
                    <w:autoSpaceDN w:val="0"/>
                    <w:adjustRightInd w:val="0"/>
                    <w:snapToGrid/>
                    <w:rPr>
                      <w:color w:val="auto"/>
                      <w:szCs w:val="21"/>
                      <w:lang w:val="en-US"/>
                    </w:rPr>
                  </w:pPr>
                  <w:r>
                    <w:rPr>
                      <w:color w:val="auto"/>
                      <w:szCs w:val="21"/>
                      <w:lang w:val="en-US"/>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vMerge w:val="continue"/>
                  <w:noWrap/>
                  <w:vAlign w:val="center"/>
                </w:tcPr>
                <w:p>
                  <w:pPr>
                    <w:pStyle w:val="77"/>
                    <w:autoSpaceDE w:val="0"/>
                    <w:autoSpaceDN w:val="0"/>
                    <w:adjustRightInd w:val="0"/>
                    <w:snapToGrid/>
                    <w:rPr>
                      <w:color w:val="auto"/>
                      <w:szCs w:val="21"/>
                      <w:lang w:val="en-US"/>
                    </w:rPr>
                  </w:pPr>
                </w:p>
              </w:tc>
              <w:tc>
                <w:tcPr>
                  <w:tcW w:w="2264" w:type="pct"/>
                  <w:noWrap/>
                  <w:vAlign w:val="center"/>
                </w:tcPr>
                <w:p>
                  <w:pPr>
                    <w:pStyle w:val="77"/>
                    <w:autoSpaceDE w:val="0"/>
                    <w:autoSpaceDN w:val="0"/>
                    <w:adjustRightInd w:val="0"/>
                    <w:snapToGrid/>
                    <w:rPr>
                      <w:color w:val="auto"/>
                      <w:szCs w:val="21"/>
                      <w:lang w:val="en-US"/>
                    </w:rPr>
                  </w:pPr>
                  <w:r>
                    <w:rPr>
                      <w:color w:val="auto"/>
                      <w:szCs w:val="21"/>
                      <w:lang w:val="en-US"/>
                    </w:rPr>
                    <w:t>运输车辆全覆盖、密闭运输（所有出场运输车辆必须全覆盖，确保上路无“抛、洒、滴、漏”现象）。</w:t>
                  </w:r>
                </w:p>
              </w:tc>
              <w:tc>
                <w:tcPr>
                  <w:tcW w:w="1618" w:type="pct"/>
                  <w:noWrap/>
                  <w:vAlign w:val="center"/>
                </w:tcPr>
                <w:p>
                  <w:pPr>
                    <w:pStyle w:val="77"/>
                    <w:autoSpaceDE w:val="0"/>
                    <w:autoSpaceDN w:val="0"/>
                    <w:adjustRightInd w:val="0"/>
                    <w:snapToGrid/>
                    <w:rPr>
                      <w:color w:val="auto"/>
                      <w:szCs w:val="21"/>
                      <w:lang w:val="en-US"/>
                    </w:rPr>
                  </w:pPr>
                  <w:r>
                    <w:rPr>
                      <w:color w:val="auto"/>
                      <w:szCs w:val="21"/>
                      <w:lang w:val="en-US"/>
                    </w:rPr>
                    <w:t>规定车辆运输路线，运输车辆采用专用罐车，及时清扫运输车辆遗撒在地面的物料。</w:t>
                  </w:r>
                </w:p>
              </w:tc>
              <w:tc>
                <w:tcPr>
                  <w:tcW w:w="553" w:type="pct"/>
                  <w:noWrap/>
                  <w:vAlign w:val="center"/>
                </w:tcPr>
                <w:p>
                  <w:pPr>
                    <w:pStyle w:val="77"/>
                    <w:autoSpaceDE w:val="0"/>
                    <w:autoSpaceDN w:val="0"/>
                    <w:adjustRightInd w:val="0"/>
                    <w:snapToGrid/>
                    <w:rPr>
                      <w:color w:val="auto"/>
                      <w:szCs w:val="21"/>
                      <w:lang w:val="en-US"/>
                    </w:rPr>
                  </w:pPr>
                  <w:r>
                    <w:rPr>
                      <w:color w:val="auto"/>
                      <w:szCs w:val="21"/>
                      <w:lang w:val="en-US"/>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vMerge w:val="continue"/>
                  <w:noWrap/>
                  <w:vAlign w:val="center"/>
                </w:tcPr>
                <w:p>
                  <w:pPr>
                    <w:pStyle w:val="77"/>
                    <w:autoSpaceDE w:val="0"/>
                    <w:autoSpaceDN w:val="0"/>
                    <w:adjustRightInd w:val="0"/>
                    <w:snapToGrid/>
                    <w:rPr>
                      <w:color w:val="auto"/>
                      <w:szCs w:val="21"/>
                      <w:lang w:val="en-US"/>
                    </w:rPr>
                  </w:pPr>
                </w:p>
              </w:tc>
              <w:tc>
                <w:tcPr>
                  <w:tcW w:w="2264" w:type="pct"/>
                  <w:noWrap/>
                  <w:vAlign w:val="center"/>
                </w:tcPr>
                <w:p>
                  <w:pPr>
                    <w:pStyle w:val="77"/>
                    <w:autoSpaceDE w:val="0"/>
                    <w:autoSpaceDN w:val="0"/>
                    <w:adjustRightInd w:val="0"/>
                    <w:snapToGrid/>
                    <w:rPr>
                      <w:color w:val="auto"/>
                      <w:szCs w:val="21"/>
                      <w:lang w:val="en-US"/>
                    </w:rPr>
                  </w:pPr>
                  <w:r>
                    <w:rPr>
                      <w:color w:val="auto"/>
                      <w:szCs w:val="21"/>
                      <w:lang w:val="en-US"/>
                    </w:rPr>
                    <w:t>出场通道硬化、喷淋（砂石场出场道路必须硬化，定期安排喷淋，减少扬尘污染）。</w:t>
                  </w:r>
                </w:p>
              </w:tc>
              <w:tc>
                <w:tcPr>
                  <w:tcW w:w="1618" w:type="pct"/>
                  <w:noWrap/>
                  <w:vAlign w:val="center"/>
                </w:tcPr>
                <w:p>
                  <w:pPr>
                    <w:pStyle w:val="77"/>
                    <w:autoSpaceDE w:val="0"/>
                    <w:autoSpaceDN w:val="0"/>
                    <w:adjustRightInd w:val="0"/>
                    <w:snapToGrid/>
                    <w:rPr>
                      <w:color w:val="auto"/>
                      <w:szCs w:val="21"/>
                      <w:lang w:val="en-US"/>
                    </w:rPr>
                  </w:pPr>
                  <w:r>
                    <w:rPr>
                      <w:color w:val="auto"/>
                      <w:szCs w:val="21"/>
                      <w:lang w:val="en-US"/>
                    </w:rPr>
                    <w:t>厂区道路硬化，定期洒水降尘减少扬尘污染。</w:t>
                  </w:r>
                </w:p>
              </w:tc>
              <w:tc>
                <w:tcPr>
                  <w:tcW w:w="553" w:type="pct"/>
                  <w:noWrap/>
                  <w:vAlign w:val="center"/>
                </w:tcPr>
                <w:p>
                  <w:pPr>
                    <w:pStyle w:val="77"/>
                    <w:autoSpaceDE w:val="0"/>
                    <w:autoSpaceDN w:val="0"/>
                    <w:adjustRightInd w:val="0"/>
                    <w:snapToGrid/>
                    <w:rPr>
                      <w:color w:val="auto"/>
                      <w:szCs w:val="21"/>
                      <w:lang w:val="en-US"/>
                    </w:rPr>
                  </w:pPr>
                  <w:r>
                    <w:rPr>
                      <w:color w:val="auto"/>
                      <w:szCs w:val="21"/>
                      <w:lang w:val="en-US"/>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vMerge w:val="restart"/>
                  <w:noWrap/>
                  <w:vAlign w:val="center"/>
                </w:tcPr>
                <w:p>
                  <w:pPr>
                    <w:pStyle w:val="77"/>
                    <w:autoSpaceDE w:val="0"/>
                    <w:autoSpaceDN w:val="0"/>
                    <w:adjustRightInd w:val="0"/>
                    <w:snapToGrid/>
                    <w:rPr>
                      <w:color w:val="auto"/>
                      <w:szCs w:val="21"/>
                      <w:lang w:val="en-US"/>
                    </w:rPr>
                  </w:pPr>
                  <w:r>
                    <w:rPr>
                      <w:color w:val="auto"/>
                      <w:szCs w:val="21"/>
                      <w:lang w:val="en-US"/>
                    </w:rPr>
                    <w:t>其他要求</w:t>
                  </w:r>
                </w:p>
              </w:tc>
              <w:tc>
                <w:tcPr>
                  <w:tcW w:w="2264" w:type="pct"/>
                  <w:noWrap/>
                  <w:vAlign w:val="center"/>
                </w:tcPr>
                <w:p>
                  <w:pPr>
                    <w:pStyle w:val="77"/>
                    <w:autoSpaceDE w:val="0"/>
                    <w:autoSpaceDN w:val="0"/>
                    <w:adjustRightInd w:val="0"/>
                    <w:snapToGrid/>
                    <w:rPr>
                      <w:color w:val="auto"/>
                      <w:szCs w:val="21"/>
                      <w:lang w:val="en-US"/>
                    </w:rPr>
                  </w:pPr>
                  <w:r>
                    <w:rPr>
                      <w:color w:val="auto"/>
                      <w:szCs w:val="21"/>
                      <w:lang w:val="en-US"/>
                    </w:rPr>
                    <w:t>修建生活污水收集设施（场内产生的所有生活污水应全部收集处理后还田还林综合利用，严禁外排、直排）。</w:t>
                  </w:r>
                </w:p>
              </w:tc>
              <w:tc>
                <w:tcPr>
                  <w:tcW w:w="1618" w:type="pct"/>
                  <w:noWrap/>
                  <w:vAlign w:val="center"/>
                </w:tcPr>
                <w:p>
                  <w:pPr>
                    <w:pStyle w:val="77"/>
                    <w:autoSpaceDE w:val="0"/>
                    <w:autoSpaceDN w:val="0"/>
                    <w:adjustRightInd w:val="0"/>
                    <w:snapToGrid/>
                    <w:rPr>
                      <w:color w:val="auto"/>
                      <w:szCs w:val="21"/>
                      <w:lang w:val="en-US"/>
                    </w:rPr>
                  </w:pPr>
                  <w:r>
                    <w:rPr>
                      <w:color w:val="auto"/>
                      <w:szCs w:val="21"/>
                      <w:lang w:val="en-US"/>
                    </w:rPr>
                    <w:t>厂内不设置办公及生活设施，生活污水收集设施依托乐山铁匠世家手工刀具有限公司已有设施</w:t>
                  </w:r>
                </w:p>
              </w:tc>
              <w:tc>
                <w:tcPr>
                  <w:tcW w:w="553" w:type="pct"/>
                  <w:noWrap/>
                  <w:vAlign w:val="center"/>
                </w:tcPr>
                <w:p>
                  <w:pPr>
                    <w:pStyle w:val="77"/>
                    <w:autoSpaceDE w:val="0"/>
                    <w:autoSpaceDN w:val="0"/>
                    <w:adjustRightInd w:val="0"/>
                    <w:snapToGrid/>
                    <w:rPr>
                      <w:color w:val="auto"/>
                      <w:szCs w:val="21"/>
                      <w:lang w:val="en-US"/>
                    </w:rPr>
                  </w:pPr>
                  <w:r>
                    <w:rPr>
                      <w:color w:val="auto"/>
                      <w:szCs w:val="21"/>
                      <w:lang w:val="en-US"/>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vMerge w:val="continue"/>
                  <w:noWrap/>
                  <w:vAlign w:val="center"/>
                </w:tcPr>
                <w:p>
                  <w:pPr>
                    <w:pStyle w:val="77"/>
                    <w:autoSpaceDE w:val="0"/>
                    <w:autoSpaceDN w:val="0"/>
                    <w:adjustRightInd w:val="0"/>
                    <w:snapToGrid/>
                    <w:rPr>
                      <w:color w:val="auto"/>
                      <w:szCs w:val="21"/>
                      <w:lang w:val="en-US"/>
                    </w:rPr>
                  </w:pPr>
                </w:p>
              </w:tc>
              <w:tc>
                <w:tcPr>
                  <w:tcW w:w="2264" w:type="pct"/>
                  <w:noWrap/>
                  <w:vAlign w:val="center"/>
                </w:tcPr>
                <w:p>
                  <w:pPr>
                    <w:pStyle w:val="77"/>
                    <w:autoSpaceDE w:val="0"/>
                    <w:autoSpaceDN w:val="0"/>
                    <w:adjustRightInd w:val="0"/>
                    <w:snapToGrid/>
                    <w:rPr>
                      <w:color w:val="auto"/>
                      <w:szCs w:val="21"/>
                      <w:lang w:val="en-US"/>
                    </w:rPr>
                  </w:pPr>
                  <w:r>
                    <w:rPr>
                      <w:color w:val="auto"/>
                      <w:szCs w:val="21"/>
                      <w:lang w:val="en-US"/>
                    </w:rPr>
                    <w:t>生活垃圾集中收集（场内生活垃圾要集中收集交环卫部门处理，严禁随便倾倒污染环境）。</w:t>
                  </w:r>
                </w:p>
              </w:tc>
              <w:tc>
                <w:tcPr>
                  <w:tcW w:w="1618" w:type="pct"/>
                  <w:noWrap/>
                  <w:vAlign w:val="center"/>
                </w:tcPr>
                <w:p>
                  <w:pPr>
                    <w:pStyle w:val="77"/>
                    <w:autoSpaceDE w:val="0"/>
                    <w:autoSpaceDN w:val="0"/>
                    <w:adjustRightInd w:val="0"/>
                    <w:snapToGrid/>
                    <w:rPr>
                      <w:color w:val="auto"/>
                      <w:szCs w:val="21"/>
                      <w:lang w:val="en-US"/>
                    </w:rPr>
                  </w:pPr>
                  <w:r>
                    <w:rPr>
                      <w:color w:val="auto"/>
                      <w:szCs w:val="21"/>
                      <w:lang w:val="en-US"/>
                    </w:rPr>
                    <w:t>生活垃圾收集后由环卫部门统一清运处理。</w:t>
                  </w:r>
                </w:p>
              </w:tc>
              <w:tc>
                <w:tcPr>
                  <w:tcW w:w="553" w:type="pct"/>
                  <w:noWrap/>
                  <w:vAlign w:val="center"/>
                </w:tcPr>
                <w:p>
                  <w:pPr>
                    <w:pStyle w:val="77"/>
                    <w:autoSpaceDE w:val="0"/>
                    <w:autoSpaceDN w:val="0"/>
                    <w:adjustRightInd w:val="0"/>
                    <w:snapToGrid/>
                    <w:rPr>
                      <w:color w:val="auto"/>
                      <w:szCs w:val="21"/>
                      <w:lang w:val="en-US"/>
                    </w:rPr>
                  </w:pPr>
                  <w:r>
                    <w:rPr>
                      <w:color w:val="auto"/>
                      <w:szCs w:val="21"/>
                      <w:lang w:val="en-US"/>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vMerge w:val="continue"/>
                  <w:noWrap/>
                  <w:vAlign w:val="center"/>
                </w:tcPr>
                <w:p>
                  <w:pPr>
                    <w:pStyle w:val="77"/>
                    <w:autoSpaceDE w:val="0"/>
                    <w:autoSpaceDN w:val="0"/>
                    <w:adjustRightInd w:val="0"/>
                    <w:snapToGrid/>
                    <w:rPr>
                      <w:color w:val="auto"/>
                      <w:szCs w:val="21"/>
                      <w:lang w:val="en-US"/>
                    </w:rPr>
                  </w:pPr>
                </w:p>
              </w:tc>
              <w:tc>
                <w:tcPr>
                  <w:tcW w:w="2264" w:type="pct"/>
                  <w:noWrap/>
                  <w:vAlign w:val="center"/>
                </w:tcPr>
                <w:p>
                  <w:pPr>
                    <w:pStyle w:val="77"/>
                    <w:autoSpaceDE w:val="0"/>
                    <w:autoSpaceDN w:val="0"/>
                    <w:adjustRightInd w:val="0"/>
                    <w:snapToGrid/>
                    <w:rPr>
                      <w:color w:val="auto"/>
                      <w:szCs w:val="21"/>
                      <w:lang w:val="en-US"/>
                    </w:rPr>
                  </w:pPr>
                  <w:r>
                    <w:rPr>
                      <w:color w:val="auto"/>
                      <w:szCs w:val="21"/>
                      <w:lang w:val="en-US"/>
                    </w:rPr>
                    <w:t>场地内无加油设施和机械维修行为（场地内不得私自存储油料，防火防爆，不得进行机械维修防止油污废水污染）。</w:t>
                  </w:r>
                </w:p>
              </w:tc>
              <w:tc>
                <w:tcPr>
                  <w:tcW w:w="1618" w:type="pct"/>
                  <w:noWrap/>
                  <w:vAlign w:val="center"/>
                </w:tcPr>
                <w:p>
                  <w:pPr>
                    <w:pStyle w:val="77"/>
                    <w:autoSpaceDE w:val="0"/>
                    <w:autoSpaceDN w:val="0"/>
                    <w:adjustRightInd w:val="0"/>
                    <w:snapToGrid/>
                    <w:rPr>
                      <w:color w:val="auto"/>
                      <w:szCs w:val="21"/>
                      <w:lang w:val="en-US"/>
                    </w:rPr>
                  </w:pPr>
                  <w:r>
                    <w:rPr>
                      <w:color w:val="auto"/>
                      <w:szCs w:val="21"/>
                      <w:lang w:val="en-US"/>
                    </w:rPr>
                    <w:t>厂内无加油设施和机械维修行为。</w:t>
                  </w:r>
                </w:p>
              </w:tc>
              <w:tc>
                <w:tcPr>
                  <w:tcW w:w="553" w:type="pct"/>
                  <w:noWrap/>
                  <w:vAlign w:val="center"/>
                </w:tcPr>
                <w:p>
                  <w:pPr>
                    <w:pStyle w:val="77"/>
                    <w:autoSpaceDE w:val="0"/>
                    <w:autoSpaceDN w:val="0"/>
                    <w:adjustRightInd w:val="0"/>
                    <w:snapToGrid/>
                    <w:rPr>
                      <w:color w:val="auto"/>
                      <w:szCs w:val="21"/>
                      <w:lang w:val="en-US"/>
                    </w:rPr>
                  </w:pPr>
                  <w:r>
                    <w:rPr>
                      <w:color w:val="auto"/>
                      <w:szCs w:val="21"/>
                      <w:lang w:val="en-US"/>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vMerge w:val="continue"/>
                  <w:noWrap/>
                  <w:vAlign w:val="center"/>
                </w:tcPr>
                <w:p>
                  <w:pPr>
                    <w:pStyle w:val="77"/>
                    <w:autoSpaceDE w:val="0"/>
                    <w:autoSpaceDN w:val="0"/>
                    <w:adjustRightInd w:val="0"/>
                    <w:snapToGrid/>
                    <w:rPr>
                      <w:color w:val="auto"/>
                      <w:szCs w:val="21"/>
                      <w:lang w:val="en-US"/>
                    </w:rPr>
                  </w:pPr>
                </w:p>
              </w:tc>
              <w:tc>
                <w:tcPr>
                  <w:tcW w:w="2264" w:type="pct"/>
                  <w:noWrap/>
                  <w:vAlign w:val="center"/>
                </w:tcPr>
                <w:p>
                  <w:pPr>
                    <w:pStyle w:val="77"/>
                    <w:autoSpaceDE w:val="0"/>
                    <w:autoSpaceDN w:val="0"/>
                    <w:adjustRightInd w:val="0"/>
                    <w:snapToGrid/>
                    <w:rPr>
                      <w:color w:val="auto"/>
                      <w:szCs w:val="21"/>
                      <w:lang w:val="en-US"/>
                    </w:rPr>
                  </w:pPr>
                  <w:r>
                    <w:rPr>
                      <w:color w:val="auto"/>
                      <w:szCs w:val="21"/>
                      <w:lang w:val="en-US"/>
                    </w:rPr>
                    <w:t>生态维护（生产销售完毕，必须对堆料加工场进行平整，拆除一切建筑设施，撤除机械加工设备、清除加工弃料，搞好生态恢复）。</w:t>
                  </w:r>
                </w:p>
              </w:tc>
              <w:tc>
                <w:tcPr>
                  <w:tcW w:w="1618" w:type="pct"/>
                  <w:noWrap/>
                  <w:vAlign w:val="center"/>
                </w:tcPr>
                <w:p>
                  <w:pPr>
                    <w:pStyle w:val="77"/>
                    <w:autoSpaceDE w:val="0"/>
                    <w:autoSpaceDN w:val="0"/>
                    <w:adjustRightInd w:val="0"/>
                    <w:snapToGrid/>
                    <w:rPr>
                      <w:color w:val="auto"/>
                      <w:szCs w:val="21"/>
                      <w:lang w:val="en-US"/>
                    </w:rPr>
                  </w:pPr>
                  <w:r>
                    <w:rPr>
                      <w:color w:val="auto"/>
                      <w:szCs w:val="21"/>
                      <w:lang w:val="en-US"/>
                    </w:rPr>
                    <w:t>项目若停止运营，建设单位将及时撤除机械加工设备、清除加工弃料，恢复厂区。</w:t>
                  </w:r>
                </w:p>
              </w:tc>
              <w:tc>
                <w:tcPr>
                  <w:tcW w:w="553" w:type="pct"/>
                  <w:noWrap/>
                  <w:vAlign w:val="center"/>
                </w:tcPr>
                <w:p>
                  <w:pPr>
                    <w:pStyle w:val="77"/>
                    <w:autoSpaceDE w:val="0"/>
                    <w:autoSpaceDN w:val="0"/>
                    <w:adjustRightInd w:val="0"/>
                    <w:snapToGrid/>
                    <w:rPr>
                      <w:color w:val="auto"/>
                      <w:szCs w:val="21"/>
                      <w:lang w:val="en-US"/>
                    </w:rPr>
                  </w:pPr>
                  <w:r>
                    <w:rPr>
                      <w:color w:val="auto"/>
                      <w:szCs w:val="21"/>
                      <w:lang w:val="en-US"/>
                    </w:rPr>
                    <w:t>是</w:t>
                  </w:r>
                </w:p>
              </w:tc>
            </w:tr>
          </w:tbl>
          <w:p>
            <w:pPr>
              <w:pStyle w:val="2"/>
              <w:spacing w:line="360" w:lineRule="auto"/>
              <w:ind w:left="0" w:firstLine="480" w:firstLineChars="200"/>
              <w:rPr>
                <w:color w:val="auto"/>
                <w:sz w:val="24"/>
              </w:rPr>
            </w:pPr>
            <w:r>
              <w:rPr>
                <w:bCs/>
                <w:color w:val="auto"/>
                <w:kern w:val="0"/>
                <w:sz w:val="24"/>
              </w:rPr>
              <w:t>综上所述，本项目满足《乐山市砂石加工场污染防治验收标准》（乐水函〔2017〕330号）要求。</w:t>
            </w:r>
          </w:p>
          <w:p>
            <w:pPr>
              <w:adjustRightInd w:val="0"/>
              <w:snapToGrid w:val="0"/>
              <w:spacing w:line="360" w:lineRule="auto"/>
              <w:ind w:firstLine="482" w:firstLineChars="200"/>
              <w:rPr>
                <w:b/>
                <w:bCs/>
                <w:color w:val="auto"/>
                <w:sz w:val="24"/>
              </w:rPr>
            </w:pPr>
            <w:r>
              <w:rPr>
                <w:b/>
                <w:bCs/>
                <w:color w:val="auto"/>
                <w:sz w:val="24"/>
              </w:rPr>
              <w:t>7、与《乐山市2022年大气污染防治攻坚工作方案》（乐污防攻坚〔2022〕1号）的符合性分析</w:t>
            </w:r>
          </w:p>
          <w:p>
            <w:pPr>
              <w:autoSpaceDE w:val="0"/>
              <w:autoSpaceDN w:val="0"/>
              <w:adjustRightInd w:val="0"/>
              <w:snapToGrid w:val="0"/>
              <w:spacing w:line="360" w:lineRule="auto"/>
              <w:jc w:val="center"/>
              <w:rPr>
                <w:b/>
                <w:bCs/>
                <w:color w:val="auto"/>
                <w:kern w:val="0"/>
                <w:szCs w:val="21"/>
              </w:rPr>
            </w:pPr>
            <w:r>
              <w:rPr>
                <w:b/>
                <w:bCs/>
                <w:color w:val="auto"/>
                <w:kern w:val="0"/>
                <w:szCs w:val="21"/>
              </w:rPr>
              <w:t>表1-5 与《乐山市2022年大气污染防治攻坚工作方案》符合性分析</w:t>
            </w:r>
          </w:p>
          <w:tbl>
            <w:tblPr>
              <w:tblStyle w:val="4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61"/>
              <w:gridCol w:w="2752"/>
              <w:gridCol w:w="10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38" w:type="pct"/>
                  <w:noWrap/>
                  <w:vAlign w:val="center"/>
                </w:tcPr>
                <w:p>
                  <w:pPr>
                    <w:widowControl/>
                    <w:jc w:val="center"/>
                    <w:rPr>
                      <w:b/>
                      <w:bCs/>
                      <w:color w:val="auto"/>
                      <w:kern w:val="0"/>
                      <w:szCs w:val="21"/>
                    </w:rPr>
                  </w:pPr>
                  <w:r>
                    <w:rPr>
                      <w:b/>
                      <w:bCs/>
                      <w:color w:val="auto"/>
                      <w:kern w:val="0"/>
                      <w:szCs w:val="21"/>
                    </w:rPr>
                    <w:t>相关要求</w:t>
                  </w:r>
                </w:p>
              </w:tc>
              <w:tc>
                <w:tcPr>
                  <w:tcW w:w="1616" w:type="pct"/>
                  <w:noWrap/>
                  <w:vAlign w:val="center"/>
                </w:tcPr>
                <w:p>
                  <w:pPr>
                    <w:widowControl/>
                    <w:jc w:val="center"/>
                    <w:rPr>
                      <w:b/>
                      <w:bCs/>
                      <w:color w:val="auto"/>
                      <w:kern w:val="0"/>
                      <w:szCs w:val="21"/>
                    </w:rPr>
                  </w:pPr>
                  <w:r>
                    <w:rPr>
                      <w:b/>
                      <w:bCs/>
                      <w:color w:val="auto"/>
                      <w:kern w:val="0"/>
                      <w:szCs w:val="21"/>
                    </w:rPr>
                    <w:t>本项目情况</w:t>
                  </w:r>
                </w:p>
              </w:tc>
              <w:tc>
                <w:tcPr>
                  <w:tcW w:w="644" w:type="pct"/>
                  <w:noWrap/>
                  <w:vAlign w:val="center"/>
                </w:tcPr>
                <w:p>
                  <w:pPr>
                    <w:widowControl/>
                    <w:jc w:val="center"/>
                    <w:rPr>
                      <w:b/>
                      <w:bCs/>
                      <w:color w:val="auto"/>
                      <w:kern w:val="0"/>
                      <w:szCs w:val="21"/>
                    </w:rPr>
                  </w:pPr>
                  <w:r>
                    <w:rPr>
                      <w:b/>
                      <w:bCs/>
                      <w:color w:val="auto"/>
                      <w:kern w:val="0"/>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38" w:type="pct"/>
                  <w:noWrap/>
                  <w:vAlign w:val="center"/>
                </w:tcPr>
                <w:p>
                  <w:pPr>
                    <w:widowControl/>
                    <w:jc w:val="center"/>
                    <w:rPr>
                      <w:b/>
                      <w:bCs/>
                      <w:color w:val="auto"/>
                      <w:kern w:val="0"/>
                      <w:szCs w:val="21"/>
                    </w:rPr>
                  </w:pPr>
                  <w:r>
                    <w:rPr>
                      <w:color w:val="auto"/>
                      <w:kern w:val="0"/>
                      <w:szCs w:val="21"/>
                    </w:rPr>
                    <w:t>三、重点工作任务中（一）重点2条：推动能源绿色低碳转型。大力发展新能源和清洁能源，严控煤炭消费增长，继续实施煤炭消费总量控制。实施工业炉窑清洁能源替代，大力推进电能替代煤炭。加快主城区30公里范围内生物质锅炉改电、改气工作，全面清理散煤燃烧。</w:t>
                  </w:r>
                </w:p>
              </w:tc>
              <w:tc>
                <w:tcPr>
                  <w:tcW w:w="1616" w:type="pct"/>
                  <w:noWrap/>
                  <w:vAlign w:val="center"/>
                </w:tcPr>
                <w:p>
                  <w:pPr>
                    <w:widowControl/>
                    <w:jc w:val="center"/>
                    <w:rPr>
                      <w:b/>
                      <w:bCs/>
                      <w:color w:val="auto"/>
                      <w:kern w:val="0"/>
                      <w:szCs w:val="21"/>
                    </w:rPr>
                  </w:pPr>
                  <w:r>
                    <w:rPr>
                      <w:color w:val="auto"/>
                      <w:szCs w:val="21"/>
                    </w:rPr>
                    <w:t>本项目不涉及</w:t>
                  </w:r>
                </w:p>
              </w:tc>
              <w:tc>
                <w:tcPr>
                  <w:tcW w:w="644" w:type="pct"/>
                  <w:noWrap/>
                  <w:vAlign w:val="center"/>
                </w:tcPr>
                <w:p>
                  <w:pPr>
                    <w:widowControl/>
                    <w:jc w:val="center"/>
                    <w:rPr>
                      <w:b/>
                      <w:bCs/>
                      <w:color w:val="auto"/>
                      <w:kern w:val="0"/>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38" w:type="pct"/>
                  <w:noWrap/>
                  <w:vAlign w:val="center"/>
                </w:tcPr>
                <w:p>
                  <w:pPr>
                    <w:widowControl/>
                    <w:jc w:val="center"/>
                    <w:rPr>
                      <w:color w:val="auto"/>
                      <w:kern w:val="0"/>
                      <w:szCs w:val="21"/>
                    </w:rPr>
                  </w:pPr>
                  <w:r>
                    <w:rPr>
                      <w:color w:val="auto"/>
                      <w:kern w:val="0"/>
                      <w:szCs w:val="21"/>
                    </w:rPr>
                    <w:t>三、重点工作任务中（四）扬尘污染防治攻坚战中第29条：2022年5月底前，完成工业企业物料堆场扬尘污染防治排查整治行动，建立问题清单，9月底前完成整治。5月底前，完成矿山开采企业扬尘污染防治专项治理行动。9月底前，督促河道砂石开采、加工企业，按照扬尘污染防治要求完成扬尘污染防治专项治理。9月底前，完成建（构）筑物拆除等扬尘污染防治的专项治理工作。</w:t>
                  </w:r>
                </w:p>
              </w:tc>
              <w:tc>
                <w:tcPr>
                  <w:tcW w:w="1616" w:type="pct"/>
                  <w:noWrap/>
                  <w:vAlign w:val="center"/>
                </w:tcPr>
                <w:p>
                  <w:pPr>
                    <w:widowControl/>
                    <w:jc w:val="center"/>
                    <w:rPr>
                      <w:color w:val="auto"/>
                      <w:kern w:val="0"/>
                      <w:szCs w:val="21"/>
                    </w:rPr>
                  </w:pPr>
                  <w:r>
                    <w:rPr>
                      <w:color w:val="auto"/>
                      <w:kern w:val="0"/>
                      <w:szCs w:val="21"/>
                    </w:rPr>
                    <w:t>（1）项目加工生产工序均在封闭车间内，生成区及堆场</w:t>
                  </w:r>
                  <w:r>
                    <w:rPr>
                      <w:color w:val="auto"/>
                    </w:rPr>
                    <w:t>采用彩钢瓦四面围挡+顶棚遮盖+喷雾降尘措施</w:t>
                  </w:r>
                  <w:r>
                    <w:rPr>
                      <w:color w:val="auto"/>
                      <w:kern w:val="0"/>
                      <w:szCs w:val="21"/>
                    </w:rPr>
                    <w:t>。</w:t>
                  </w:r>
                </w:p>
                <w:p>
                  <w:pPr>
                    <w:widowControl/>
                    <w:jc w:val="center"/>
                    <w:rPr>
                      <w:color w:val="auto"/>
                      <w:kern w:val="0"/>
                      <w:szCs w:val="21"/>
                    </w:rPr>
                  </w:pPr>
                  <w:r>
                    <w:rPr>
                      <w:color w:val="auto"/>
                      <w:kern w:val="0"/>
                      <w:szCs w:val="21"/>
                    </w:rPr>
                    <w:t>（2）项目在重污染天气时停止产生扬尘的作业。</w:t>
                  </w:r>
                </w:p>
              </w:tc>
              <w:tc>
                <w:tcPr>
                  <w:tcW w:w="644" w:type="pct"/>
                  <w:noWrap/>
                  <w:vAlign w:val="center"/>
                </w:tcPr>
                <w:p>
                  <w:pPr>
                    <w:widowControl/>
                    <w:jc w:val="center"/>
                    <w:rPr>
                      <w:color w:val="auto"/>
                      <w:kern w:val="0"/>
                      <w:szCs w:val="21"/>
                    </w:rPr>
                  </w:pPr>
                  <w:r>
                    <w:rPr>
                      <w:color w:val="auto"/>
                      <w:kern w:val="0"/>
                      <w:szCs w:val="21"/>
                    </w:rPr>
                    <w:t>符合</w:t>
                  </w:r>
                </w:p>
              </w:tc>
            </w:tr>
          </w:tbl>
          <w:p>
            <w:pPr>
              <w:spacing w:line="360" w:lineRule="auto"/>
              <w:ind w:firstLine="480" w:firstLineChars="200"/>
              <w:rPr>
                <w:color w:val="auto"/>
                <w:sz w:val="24"/>
                <w:highlight w:val="yellow"/>
              </w:rPr>
            </w:pPr>
            <w:r>
              <w:rPr>
                <w:color w:val="auto"/>
                <w:sz w:val="24"/>
              </w:rPr>
              <w:t>综上，本项目符合《乐山市2022年大气污染防治攻坚工作方案》（乐污防攻坚〔2022〕1号）相关要求。</w:t>
            </w:r>
          </w:p>
          <w:p>
            <w:pPr>
              <w:spacing w:line="360" w:lineRule="auto"/>
              <w:ind w:firstLine="482" w:firstLineChars="200"/>
              <w:rPr>
                <w:color w:val="auto"/>
                <w:sz w:val="24"/>
              </w:rPr>
            </w:pPr>
            <w:r>
              <w:rPr>
                <w:b/>
                <w:bCs/>
                <w:color w:val="auto"/>
                <w:kern w:val="0"/>
                <w:sz w:val="24"/>
              </w:rPr>
              <w:t>8、与《乐山市扬尘污染防治条例》（NO:LSC070051）符合性分析</w:t>
            </w:r>
          </w:p>
          <w:p>
            <w:pPr>
              <w:autoSpaceDE w:val="0"/>
              <w:autoSpaceDN w:val="0"/>
              <w:spacing w:line="360" w:lineRule="auto"/>
              <w:ind w:firstLine="480" w:firstLineChars="200"/>
              <w:jc w:val="left"/>
              <w:rPr>
                <w:color w:val="auto"/>
                <w:sz w:val="24"/>
                <w:shd w:val="clear" w:color="auto" w:fill="FFFFFF"/>
              </w:rPr>
            </w:pPr>
            <w:r>
              <w:rPr>
                <w:color w:val="auto"/>
                <w:sz w:val="24"/>
                <w:shd w:val="clear" w:color="auto" w:fill="FFFFFF"/>
              </w:rPr>
              <w:t>《乐山市扬尘污染防治条例》（NO:LSC070051）第二章防治措施中第十七条砂石、陶瓷、水泥生产和混凝土、砂浆搅拌等易产生扬尘的工业企业生产加工应当采取下列措施防治扬尘污染：</w:t>
            </w:r>
          </w:p>
          <w:p>
            <w:pPr>
              <w:autoSpaceDE w:val="0"/>
              <w:autoSpaceDN w:val="0"/>
              <w:spacing w:line="360" w:lineRule="auto"/>
              <w:ind w:firstLine="480" w:firstLineChars="200"/>
              <w:jc w:val="left"/>
              <w:rPr>
                <w:color w:val="auto"/>
                <w:sz w:val="24"/>
                <w:shd w:val="clear" w:color="auto" w:fill="FFFFFF"/>
              </w:rPr>
            </w:pPr>
            <w:r>
              <w:rPr>
                <w:color w:val="auto"/>
                <w:sz w:val="24"/>
                <w:shd w:val="clear" w:color="auto" w:fill="FFFFFF"/>
              </w:rPr>
              <w:t>（一）采取集中收集处理和密闭、围挡、遮盖、清扫、洒水等措施，防止生产加工和内部物料的堆存、传输、装卸等环节产生扬尘污染；</w:t>
            </w:r>
          </w:p>
          <w:p>
            <w:pPr>
              <w:autoSpaceDE w:val="0"/>
              <w:autoSpaceDN w:val="0"/>
              <w:spacing w:line="360" w:lineRule="auto"/>
              <w:ind w:firstLine="480" w:firstLineChars="200"/>
              <w:jc w:val="left"/>
              <w:rPr>
                <w:color w:val="auto"/>
                <w:sz w:val="24"/>
                <w:shd w:val="clear" w:color="auto" w:fill="FFFFFF"/>
              </w:rPr>
            </w:pPr>
            <w:r>
              <w:rPr>
                <w:color w:val="auto"/>
                <w:sz w:val="24"/>
                <w:shd w:val="clear" w:color="auto" w:fill="FFFFFF"/>
              </w:rPr>
              <w:t>（二）场内运输道路进行铺装或者硬化处理，并及时清扫、洒水，保持道路整洁。</w:t>
            </w:r>
          </w:p>
          <w:p>
            <w:pPr>
              <w:autoSpaceDE w:val="0"/>
              <w:autoSpaceDN w:val="0"/>
              <w:spacing w:line="360" w:lineRule="auto"/>
              <w:ind w:firstLine="480" w:firstLineChars="200"/>
              <w:jc w:val="left"/>
              <w:rPr>
                <w:color w:val="auto"/>
                <w:sz w:val="24"/>
                <w:shd w:val="clear" w:color="auto" w:fill="FFFFFF"/>
              </w:rPr>
            </w:pPr>
            <w:r>
              <w:rPr>
                <w:color w:val="auto"/>
                <w:sz w:val="24"/>
                <w:shd w:val="clear" w:color="auto" w:fill="FFFFFF"/>
              </w:rPr>
              <w:t>本项目建成后严格按照环保法规强化堆场扬尘管控，装卸、输送、搅拌等工序均设置于封闭车间内，并配套喷淋除尘设施，堆场采用彩钢瓦四面围挡+顶棚遮盖+喷雾降尘措施。运输道路硬化，进行清扫、洒水，保持道路整洁，运输过程中合理限速，禁止超限超载；运输车辆采用专用罐车，防止物料飞扬、抛洒。</w:t>
            </w:r>
          </w:p>
          <w:p>
            <w:pPr>
              <w:spacing w:line="360" w:lineRule="auto"/>
              <w:ind w:firstLine="480" w:firstLineChars="200"/>
              <w:rPr>
                <w:color w:val="auto"/>
                <w:sz w:val="24"/>
              </w:rPr>
            </w:pPr>
            <w:r>
              <w:rPr>
                <w:color w:val="auto"/>
                <w:sz w:val="24"/>
              </w:rPr>
              <w:t>综上，本项目符合</w:t>
            </w:r>
            <w:r>
              <w:rPr>
                <w:color w:val="auto"/>
                <w:sz w:val="24"/>
                <w:shd w:val="clear" w:color="auto" w:fill="FFFFFF"/>
              </w:rPr>
              <w:t>《乐山市扬尘污染防治条例》（NO:LSC070051）</w:t>
            </w:r>
            <w:r>
              <w:rPr>
                <w:color w:val="auto"/>
                <w:sz w:val="24"/>
              </w:rPr>
              <w:t>相关要求。</w:t>
            </w:r>
          </w:p>
          <w:p>
            <w:pPr>
              <w:autoSpaceDE w:val="0"/>
              <w:autoSpaceDN w:val="0"/>
              <w:spacing w:line="360" w:lineRule="auto"/>
              <w:ind w:firstLine="482" w:firstLineChars="200"/>
              <w:jc w:val="left"/>
              <w:rPr>
                <w:b/>
                <w:color w:val="auto"/>
                <w:kern w:val="0"/>
                <w:sz w:val="24"/>
              </w:rPr>
            </w:pPr>
            <w:r>
              <w:rPr>
                <w:b/>
                <w:color w:val="auto"/>
                <w:kern w:val="0"/>
                <w:sz w:val="24"/>
              </w:rPr>
              <w:t>9、项目与《中华人民共和国长江保护法》符合性分析</w:t>
            </w:r>
          </w:p>
          <w:p>
            <w:pPr>
              <w:pStyle w:val="169"/>
              <w:adjustRightInd/>
              <w:ind w:firstLine="0" w:firstLineChars="0"/>
              <w:jc w:val="center"/>
              <w:rPr>
                <w:color w:val="auto"/>
              </w:rPr>
            </w:pPr>
            <w:r>
              <w:rPr>
                <w:b/>
                <w:bCs/>
                <w:color w:val="auto"/>
                <w:sz w:val="21"/>
                <w:szCs w:val="21"/>
              </w:rPr>
              <w:t>表1-6  与《中华人民共和国长江保护法》符合性</w:t>
            </w:r>
          </w:p>
          <w:tbl>
            <w:tblPr>
              <w:tblStyle w:val="4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584"/>
              <w:gridCol w:w="4616"/>
              <w:gridCol w:w="2363"/>
              <w:gridCol w:w="9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43" w:type="pct"/>
                  <w:vAlign w:val="center"/>
                </w:tcPr>
                <w:p>
                  <w:pPr>
                    <w:autoSpaceDE w:val="0"/>
                    <w:autoSpaceDN w:val="0"/>
                    <w:jc w:val="center"/>
                    <w:rPr>
                      <w:b/>
                      <w:color w:val="auto"/>
                      <w:kern w:val="0"/>
                      <w:szCs w:val="21"/>
                    </w:rPr>
                  </w:pPr>
                  <w:r>
                    <w:rPr>
                      <w:b/>
                      <w:color w:val="auto"/>
                      <w:kern w:val="0"/>
                      <w:szCs w:val="21"/>
                    </w:rPr>
                    <w:t>序号</w:t>
                  </w:r>
                </w:p>
              </w:tc>
              <w:tc>
                <w:tcPr>
                  <w:tcW w:w="2710" w:type="pct"/>
                  <w:vAlign w:val="center"/>
                </w:tcPr>
                <w:p>
                  <w:pPr>
                    <w:autoSpaceDE w:val="0"/>
                    <w:autoSpaceDN w:val="0"/>
                    <w:jc w:val="center"/>
                    <w:rPr>
                      <w:b/>
                      <w:color w:val="auto"/>
                      <w:kern w:val="0"/>
                      <w:szCs w:val="21"/>
                    </w:rPr>
                  </w:pPr>
                  <w:r>
                    <w:rPr>
                      <w:b/>
                      <w:color w:val="auto"/>
                      <w:kern w:val="0"/>
                      <w:szCs w:val="21"/>
                    </w:rPr>
                    <w:t>相关要求</w:t>
                  </w:r>
                </w:p>
              </w:tc>
              <w:tc>
                <w:tcPr>
                  <w:tcW w:w="1388" w:type="pct"/>
                  <w:vAlign w:val="center"/>
                </w:tcPr>
                <w:p>
                  <w:pPr>
                    <w:autoSpaceDE w:val="0"/>
                    <w:autoSpaceDN w:val="0"/>
                    <w:jc w:val="center"/>
                    <w:rPr>
                      <w:b/>
                      <w:color w:val="auto"/>
                      <w:kern w:val="0"/>
                      <w:szCs w:val="21"/>
                    </w:rPr>
                  </w:pPr>
                  <w:r>
                    <w:rPr>
                      <w:b/>
                      <w:color w:val="auto"/>
                      <w:kern w:val="0"/>
                      <w:szCs w:val="21"/>
                    </w:rPr>
                    <w:t>本项目情况</w:t>
                  </w:r>
                </w:p>
              </w:tc>
              <w:tc>
                <w:tcPr>
                  <w:tcW w:w="557" w:type="pct"/>
                  <w:vAlign w:val="center"/>
                </w:tcPr>
                <w:p>
                  <w:pPr>
                    <w:autoSpaceDE w:val="0"/>
                    <w:autoSpaceDN w:val="0"/>
                    <w:jc w:val="center"/>
                    <w:rPr>
                      <w:b/>
                      <w:color w:val="auto"/>
                      <w:kern w:val="0"/>
                      <w:szCs w:val="21"/>
                    </w:rPr>
                  </w:pPr>
                  <w:r>
                    <w:rPr>
                      <w:b/>
                      <w:color w:val="auto"/>
                      <w:kern w:val="0"/>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43" w:type="pct"/>
                  <w:vAlign w:val="center"/>
                </w:tcPr>
                <w:p>
                  <w:pPr>
                    <w:autoSpaceDE w:val="0"/>
                    <w:autoSpaceDN w:val="0"/>
                    <w:jc w:val="center"/>
                    <w:rPr>
                      <w:bCs/>
                      <w:color w:val="auto"/>
                      <w:kern w:val="0"/>
                      <w:szCs w:val="21"/>
                    </w:rPr>
                  </w:pPr>
                  <w:r>
                    <w:rPr>
                      <w:bCs/>
                      <w:color w:val="auto"/>
                      <w:kern w:val="0"/>
                      <w:szCs w:val="21"/>
                    </w:rPr>
                    <w:t>1</w:t>
                  </w:r>
                </w:p>
              </w:tc>
              <w:tc>
                <w:tcPr>
                  <w:tcW w:w="2710" w:type="pct"/>
                  <w:vAlign w:val="center"/>
                </w:tcPr>
                <w:p>
                  <w:pPr>
                    <w:autoSpaceDE w:val="0"/>
                    <w:autoSpaceDN w:val="0"/>
                    <w:jc w:val="center"/>
                    <w:rPr>
                      <w:bCs/>
                      <w:color w:val="auto"/>
                      <w:kern w:val="0"/>
                      <w:szCs w:val="21"/>
                    </w:rPr>
                  </w:pPr>
                  <w:r>
                    <w:rPr>
                      <w:bCs/>
                      <w:color w:val="auto"/>
                      <w:kern w:val="0"/>
                      <w:szCs w:val="21"/>
                    </w:rPr>
                    <w:t>二十六、禁止在长江干支流岸线一公里范围内新建、扩建化工园区和化工项目；禁止在长江干流岸线三公里范围内和重要支流岸线一公里范围内新建、改建、扩建尾矿库。</w:t>
                  </w:r>
                </w:p>
              </w:tc>
              <w:tc>
                <w:tcPr>
                  <w:tcW w:w="1388" w:type="pct"/>
                  <w:vAlign w:val="center"/>
                </w:tcPr>
                <w:p>
                  <w:pPr>
                    <w:autoSpaceDE w:val="0"/>
                    <w:autoSpaceDN w:val="0"/>
                    <w:jc w:val="center"/>
                    <w:rPr>
                      <w:bCs/>
                      <w:color w:val="auto"/>
                      <w:kern w:val="0"/>
                      <w:szCs w:val="21"/>
                    </w:rPr>
                  </w:pPr>
                  <w:r>
                    <w:rPr>
                      <w:bCs/>
                      <w:color w:val="auto"/>
                      <w:kern w:val="0"/>
                      <w:szCs w:val="21"/>
                    </w:rPr>
                    <w:t>本项目为水稳层生产项目，不属于化工园区和化工项目</w:t>
                  </w:r>
                </w:p>
              </w:tc>
              <w:tc>
                <w:tcPr>
                  <w:tcW w:w="557" w:type="pct"/>
                  <w:vAlign w:val="center"/>
                </w:tcPr>
                <w:p>
                  <w:pPr>
                    <w:autoSpaceDE w:val="0"/>
                    <w:autoSpaceDN w:val="0"/>
                    <w:jc w:val="center"/>
                    <w:rPr>
                      <w:bCs/>
                      <w:color w:val="auto"/>
                      <w:kern w:val="0"/>
                      <w:szCs w:val="21"/>
                    </w:rPr>
                  </w:pPr>
                  <w:r>
                    <w:rPr>
                      <w:bCs/>
                      <w:color w:val="auto"/>
                      <w:kern w:val="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43" w:type="pct"/>
                  <w:vAlign w:val="center"/>
                </w:tcPr>
                <w:p>
                  <w:pPr>
                    <w:autoSpaceDE w:val="0"/>
                    <w:autoSpaceDN w:val="0"/>
                    <w:jc w:val="center"/>
                    <w:rPr>
                      <w:bCs/>
                      <w:color w:val="auto"/>
                      <w:kern w:val="0"/>
                      <w:szCs w:val="21"/>
                    </w:rPr>
                  </w:pPr>
                  <w:r>
                    <w:rPr>
                      <w:bCs/>
                      <w:color w:val="auto"/>
                      <w:kern w:val="0"/>
                      <w:szCs w:val="21"/>
                    </w:rPr>
                    <w:t>2</w:t>
                  </w:r>
                </w:p>
              </w:tc>
              <w:tc>
                <w:tcPr>
                  <w:tcW w:w="2710" w:type="pct"/>
                  <w:vAlign w:val="center"/>
                </w:tcPr>
                <w:p>
                  <w:pPr>
                    <w:autoSpaceDE w:val="0"/>
                    <w:autoSpaceDN w:val="0"/>
                    <w:jc w:val="center"/>
                    <w:rPr>
                      <w:bCs/>
                      <w:color w:val="auto"/>
                      <w:kern w:val="0"/>
                      <w:szCs w:val="21"/>
                    </w:rPr>
                  </w:pPr>
                  <w:r>
                    <w:rPr>
                      <w:bCs/>
                      <w:color w:val="auto"/>
                      <w:kern w:val="0"/>
                      <w:szCs w:val="21"/>
                    </w:rPr>
                    <w:t>二十八、国务院水行政主管部门有关流域管理机构和长江流域县级以上地方人民政府依法划定禁止采砂区和禁止采砂期，严格控制采砂区域、采砂总量和采砂区域内的采砂船舶数量。禁止在长江流域禁止采砂区和禁止采砂期从事采砂活动。</w:t>
                  </w:r>
                </w:p>
              </w:tc>
              <w:tc>
                <w:tcPr>
                  <w:tcW w:w="1388" w:type="pct"/>
                  <w:vAlign w:val="center"/>
                </w:tcPr>
                <w:p>
                  <w:pPr>
                    <w:autoSpaceDE w:val="0"/>
                    <w:autoSpaceDN w:val="0"/>
                    <w:jc w:val="center"/>
                    <w:rPr>
                      <w:bCs/>
                      <w:color w:val="auto"/>
                      <w:kern w:val="0"/>
                      <w:szCs w:val="21"/>
                    </w:rPr>
                  </w:pPr>
                  <w:r>
                    <w:rPr>
                      <w:bCs/>
                      <w:color w:val="auto"/>
                      <w:kern w:val="0"/>
                      <w:szCs w:val="21"/>
                    </w:rPr>
                    <w:t>本项目不涉及河道采砂</w:t>
                  </w:r>
                </w:p>
              </w:tc>
              <w:tc>
                <w:tcPr>
                  <w:tcW w:w="557" w:type="pct"/>
                  <w:vAlign w:val="center"/>
                </w:tcPr>
                <w:p>
                  <w:pPr>
                    <w:autoSpaceDE w:val="0"/>
                    <w:autoSpaceDN w:val="0"/>
                    <w:jc w:val="center"/>
                    <w:rPr>
                      <w:bCs/>
                      <w:color w:val="auto"/>
                      <w:kern w:val="0"/>
                      <w:szCs w:val="21"/>
                    </w:rPr>
                  </w:pPr>
                  <w:r>
                    <w:rPr>
                      <w:bCs/>
                      <w:color w:val="auto"/>
                      <w:kern w:val="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43" w:type="pct"/>
                  <w:vAlign w:val="center"/>
                </w:tcPr>
                <w:p>
                  <w:pPr>
                    <w:autoSpaceDE w:val="0"/>
                    <w:autoSpaceDN w:val="0"/>
                    <w:jc w:val="center"/>
                    <w:rPr>
                      <w:bCs/>
                      <w:color w:val="auto"/>
                      <w:kern w:val="0"/>
                      <w:szCs w:val="21"/>
                    </w:rPr>
                  </w:pPr>
                  <w:r>
                    <w:rPr>
                      <w:bCs/>
                      <w:color w:val="auto"/>
                      <w:kern w:val="0"/>
                      <w:szCs w:val="21"/>
                    </w:rPr>
                    <w:t>3</w:t>
                  </w:r>
                </w:p>
              </w:tc>
              <w:tc>
                <w:tcPr>
                  <w:tcW w:w="2710" w:type="pct"/>
                  <w:vAlign w:val="center"/>
                </w:tcPr>
                <w:p>
                  <w:pPr>
                    <w:autoSpaceDE w:val="0"/>
                    <w:autoSpaceDN w:val="0"/>
                    <w:jc w:val="center"/>
                    <w:rPr>
                      <w:bCs/>
                      <w:color w:val="auto"/>
                      <w:kern w:val="0"/>
                      <w:szCs w:val="21"/>
                    </w:rPr>
                  </w:pPr>
                  <w:r>
                    <w:rPr>
                      <w:bCs/>
                      <w:color w:val="auto"/>
                      <w:kern w:val="0"/>
                      <w:szCs w:val="21"/>
                    </w:rPr>
                    <w:t>四十二、禁止在长江流域开放水域养殖、投放外来物种或者其他非本地物种种质资源。</w:t>
                  </w:r>
                </w:p>
              </w:tc>
              <w:tc>
                <w:tcPr>
                  <w:tcW w:w="1388" w:type="pct"/>
                  <w:vAlign w:val="center"/>
                </w:tcPr>
                <w:p>
                  <w:pPr>
                    <w:autoSpaceDE w:val="0"/>
                    <w:autoSpaceDN w:val="0"/>
                    <w:jc w:val="center"/>
                    <w:rPr>
                      <w:bCs/>
                      <w:color w:val="auto"/>
                      <w:kern w:val="0"/>
                      <w:szCs w:val="21"/>
                    </w:rPr>
                  </w:pPr>
                  <w:r>
                    <w:rPr>
                      <w:bCs/>
                      <w:color w:val="auto"/>
                      <w:kern w:val="0"/>
                      <w:szCs w:val="21"/>
                    </w:rPr>
                    <w:t>本项目不涉及</w:t>
                  </w:r>
                </w:p>
              </w:tc>
              <w:tc>
                <w:tcPr>
                  <w:tcW w:w="557" w:type="pct"/>
                  <w:vAlign w:val="center"/>
                </w:tcPr>
                <w:p>
                  <w:pPr>
                    <w:autoSpaceDE w:val="0"/>
                    <w:autoSpaceDN w:val="0"/>
                    <w:jc w:val="center"/>
                    <w:rPr>
                      <w:bCs/>
                      <w:color w:val="auto"/>
                      <w:kern w:val="0"/>
                      <w:szCs w:val="21"/>
                    </w:rPr>
                  </w:pPr>
                  <w:r>
                    <w:rPr>
                      <w:bCs/>
                      <w:color w:val="auto"/>
                      <w:kern w:val="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43" w:type="pct"/>
                  <w:vAlign w:val="center"/>
                </w:tcPr>
                <w:p>
                  <w:pPr>
                    <w:autoSpaceDE w:val="0"/>
                    <w:autoSpaceDN w:val="0"/>
                    <w:jc w:val="center"/>
                    <w:rPr>
                      <w:bCs/>
                      <w:color w:val="auto"/>
                      <w:kern w:val="0"/>
                      <w:szCs w:val="21"/>
                    </w:rPr>
                  </w:pPr>
                  <w:r>
                    <w:rPr>
                      <w:bCs/>
                      <w:color w:val="auto"/>
                      <w:kern w:val="0"/>
                      <w:szCs w:val="21"/>
                    </w:rPr>
                    <w:t>4</w:t>
                  </w:r>
                </w:p>
              </w:tc>
              <w:tc>
                <w:tcPr>
                  <w:tcW w:w="2710" w:type="pct"/>
                  <w:vAlign w:val="center"/>
                </w:tcPr>
                <w:p>
                  <w:pPr>
                    <w:autoSpaceDE w:val="0"/>
                    <w:autoSpaceDN w:val="0"/>
                    <w:jc w:val="center"/>
                    <w:rPr>
                      <w:bCs/>
                      <w:color w:val="auto"/>
                      <w:kern w:val="0"/>
                      <w:szCs w:val="21"/>
                    </w:rPr>
                  </w:pPr>
                  <w:r>
                    <w:rPr>
                      <w:bCs/>
                      <w:color w:val="auto"/>
                      <w:kern w:val="0"/>
                      <w:szCs w:val="21"/>
                    </w:rPr>
                    <w:t>四十七、在长江流域江河、湖泊新设、改设或者扩大排污口，应当按照国家有关规定报经有管辖权的生态环境主管部门或者长江流域生态环境监督管理机构同意。对未达到水质目标的水功能区，除污水集中处理设施排污口外，应当严格控制新设、改设或者扩大排污口。</w:t>
                  </w:r>
                </w:p>
              </w:tc>
              <w:tc>
                <w:tcPr>
                  <w:tcW w:w="1388" w:type="pct"/>
                  <w:vAlign w:val="center"/>
                </w:tcPr>
                <w:p>
                  <w:pPr>
                    <w:autoSpaceDE w:val="0"/>
                    <w:autoSpaceDN w:val="0"/>
                    <w:jc w:val="center"/>
                    <w:rPr>
                      <w:bCs/>
                      <w:color w:val="auto"/>
                      <w:kern w:val="0"/>
                      <w:szCs w:val="21"/>
                    </w:rPr>
                  </w:pPr>
                  <w:r>
                    <w:rPr>
                      <w:bCs/>
                      <w:color w:val="auto"/>
                      <w:kern w:val="0"/>
                      <w:szCs w:val="21"/>
                    </w:rPr>
                    <w:t>本项目废水不外排</w:t>
                  </w:r>
                </w:p>
              </w:tc>
              <w:tc>
                <w:tcPr>
                  <w:tcW w:w="557" w:type="pct"/>
                  <w:vAlign w:val="center"/>
                </w:tcPr>
                <w:p>
                  <w:pPr>
                    <w:autoSpaceDE w:val="0"/>
                    <w:autoSpaceDN w:val="0"/>
                    <w:jc w:val="center"/>
                    <w:rPr>
                      <w:bCs/>
                      <w:color w:val="auto"/>
                      <w:kern w:val="0"/>
                      <w:szCs w:val="21"/>
                    </w:rPr>
                  </w:pPr>
                  <w:r>
                    <w:rPr>
                      <w:bCs/>
                      <w:color w:val="auto"/>
                      <w:kern w:val="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43" w:type="pct"/>
                  <w:vAlign w:val="center"/>
                </w:tcPr>
                <w:p>
                  <w:pPr>
                    <w:autoSpaceDE w:val="0"/>
                    <w:autoSpaceDN w:val="0"/>
                    <w:jc w:val="center"/>
                    <w:rPr>
                      <w:bCs/>
                      <w:color w:val="auto"/>
                      <w:kern w:val="0"/>
                      <w:szCs w:val="21"/>
                    </w:rPr>
                  </w:pPr>
                  <w:r>
                    <w:rPr>
                      <w:bCs/>
                      <w:color w:val="auto"/>
                      <w:kern w:val="0"/>
                      <w:szCs w:val="21"/>
                    </w:rPr>
                    <w:t>5</w:t>
                  </w:r>
                </w:p>
              </w:tc>
              <w:tc>
                <w:tcPr>
                  <w:tcW w:w="2710" w:type="pct"/>
                  <w:vAlign w:val="center"/>
                </w:tcPr>
                <w:p>
                  <w:pPr>
                    <w:autoSpaceDE w:val="0"/>
                    <w:autoSpaceDN w:val="0"/>
                    <w:jc w:val="center"/>
                    <w:rPr>
                      <w:bCs/>
                      <w:color w:val="auto"/>
                      <w:kern w:val="0"/>
                      <w:szCs w:val="21"/>
                    </w:rPr>
                  </w:pPr>
                  <w:r>
                    <w:rPr>
                      <w:bCs/>
                      <w:color w:val="auto"/>
                      <w:kern w:val="0"/>
                      <w:szCs w:val="21"/>
                    </w:rPr>
                    <w:t>四十九、禁止在长江流域河湖管理范围内倾倒、填埋、堆放、弃置、处理固体废物。</w:t>
                  </w:r>
                </w:p>
              </w:tc>
              <w:tc>
                <w:tcPr>
                  <w:tcW w:w="1388" w:type="pct"/>
                  <w:vAlign w:val="center"/>
                </w:tcPr>
                <w:p>
                  <w:pPr>
                    <w:autoSpaceDE w:val="0"/>
                    <w:autoSpaceDN w:val="0"/>
                    <w:jc w:val="center"/>
                    <w:rPr>
                      <w:bCs/>
                      <w:color w:val="auto"/>
                      <w:kern w:val="0"/>
                      <w:szCs w:val="21"/>
                    </w:rPr>
                  </w:pPr>
                  <w:r>
                    <w:rPr>
                      <w:bCs/>
                      <w:color w:val="auto"/>
                      <w:kern w:val="0"/>
                      <w:szCs w:val="21"/>
                    </w:rPr>
                    <w:t>本项目固体废物均妥善处置</w:t>
                  </w:r>
                </w:p>
              </w:tc>
              <w:tc>
                <w:tcPr>
                  <w:tcW w:w="557" w:type="pct"/>
                  <w:vAlign w:val="center"/>
                </w:tcPr>
                <w:p>
                  <w:pPr>
                    <w:autoSpaceDE w:val="0"/>
                    <w:autoSpaceDN w:val="0"/>
                    <w:jc w:val="center"/>
                    <w:rPr>
                      <w:bCs/>
                      <w:color w:val="auto"/>
                      <w:kern w:val="0"/>
                      <w:szCs w:val="21"/>
                    </w:rPr>
                  </w:pPr>
                  <w:r>
                    <w:rPr>
                      <w:bCs/>
                      <w:color w:val="auto"/>
                      <w:kern w:val="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43" w:type="pct"/>
                  <w:vAlign w:val="center"/>
                </w:tcPr>
                <w:p>
                  <w:pPr>
                    <w:autoSpaceDE w:val="0"/>
                    <w:autoSpaceDN w:val="0"/>
                    <w:jc w:val="center"/>
                    <w:rPr>
                      <w:bCs/>
                      <w:color w:val="auto"/>
                      <w:kern w:val="0"/>
                      <w:szCs w:val="21"/>
                    </w:rPr>
                  </w:pPr>
                  <w:r>
                    <w:rPr>
                      <w:bCs/>
                      <w:color w:val="auto"/>
                      <w:kern w:val="0"/>
                      <w:szCs w:val="21"/>
                    </w:rPr>
                    <w:t>6</w:t>
                  </w:r>
                </w:p>
              </w:tc>
              <w:tc>
                <w:tcPr>
                  <w:tcW w:w="2710" w:type="pct"/>
                  <w:vAlign w:val="center"/>
                </w:tcPr>
                <w:p>
                  <w:pPr>
                    <w:autoSpaceDE w:val="0"/>
                    <w:autoSpaceDN w:val="0"/>
                    <w:jc w:val="center"/>
                    <w:rPr>
                      <w:rFonts w:hint="eastAsia" w:eastAsia="宋体"/>
                      <w:bCs/>
                      <w:color w:val="auto"/>
                      <w:kern w:val="0"/>
                      <w:szCs w:val="21"/>
                      <w:lang w:eastAsia="zh-CN"/>
                    </w:rPr>
                  </w:pPr>
                  <w:r>
                    <w:rPr>
                      <w:bCs/>
                      <w:color w:val="auto"/>
                      <w:kern w:val="0"/>
                      <w:szCs w:val="21"/>
                    </w:rPr>
                    <w:t>五十一、禁止在长江流域水上运输剧毒化学品和国家规定禁止通过内河运输的其他危险化学品</w:t>
                  </w:r>
                  <w:r>
                    <w:rPr>
                      <w:rFonts w:hint="eastAsia"/>
                      <w:bCs/>
                      <w:color w:val="auto"/>
                      <w:kern w:val="0"/>
                      <w:szCs w:val="21"/>
                      <w:lang w:eastAsia="zh-CN"/>
                    </w:rPr>
                    <w:t>。</w:t>
                  </w:r>
                </w:p>
              </w:tc>
              <w:tc>
                <w:tcPr>
                  <w:tcW w:w="1388" w:type="pct"/>
                  <w:vAlign w:val="center"/>
                </w:tcPr>
                <w:p>
                  <w:pPr>
                    <w:autoSpaceDE w:val="0"/>
                    <w:autoSpaceDN w:val="0"/>
                    <w:jc w:val="center"/>
                    <w:rPr>
                      <w:bCs/>
                      <w:color w:val="auto"/>
                      <w:kern w:val="0"/>
                      <w:szCs w:val="21"/>
                    </w:rPr>
                  </w:pPr>
                  <w:r>
                    <w:rPr>
                      <w:bCs/>
                      <w:color w:val="auto"/>
                      <w:kern w:val="0"/>
                      <w:szCs w:val="21"/>
                    </w:rPr>
                    <w:t>本项目不涉及</w:t>
                  </w:r>
                </w:p>
              </w:tc>
              <w:tc>
                <w:tcPr>
                  <w:tcW w:w="557" w:type="pct"/>
                  <w:vAlign w:val="center"/>
                </w:tcPr>
                <w:p>
                  <w:pPr>
                    <w:autoSpaceDE w:val="0"/>
                    <w:autoSpaceDN w:val="0"/>
                    <w:jc w:val="center"/>
                    <w:rPr>
                      <w:bCs/>
                      <w:color w:val="auto"/>
                      <w:kern w:val="0"/>
                      <w:szCs w:val="21"/>
                    </w:rPr>
                  </w:pPr>
                  <w:r>
                    <w:rPr>
                      <w:bCs/>
                      <w:color w:val="auto"/>
                      <w:kern w:val="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43" w:type="pct"/>
                  <w:vAlign w:val="center"/>
                </w:tcPr>
                <w:p>
                  <w:pPr>
                    <w:autoSpaceDE w:val="0"/>
                    <w:autoSpaceDN w:val="0"/>
                    <w:jc w:val="center"/>
                    <w:rPr>
                      <w:bCs/>
                      <w:color w:val="auto"/>
                      <w:kern w:val="0"/>
                      <w:szCs w:val="21"/>
                    </w:rPr>
                  </w:pPr>
                  <w:r>
                    <w:rPr>
                      <w:bCs/>
                      <w:color w:val="auto"/>
                      <w:kern w:val="0"/>
                      <w:szCs w:val="21"/>
                    </w:rPr>
                    <w:t>7</w:t>
                  </w:r>
                </w:p>
              </w:tc>
              <w:tc>
                <w:tcPr>
                  <w:tcW w:w="2710" w:type="pct"/>
                  <w:vAlign w:val="center"/>
                </w:tcPr>
                <w:p>
                  <w:pPr>
                    <w:autoSpaceDE w:val="0"/>
                    <w:autoSpaceDN w:val="0"/>
                    <w:jc w:val="center"/>
                    <w:rPr>
                      <w:bCs/>
                      <w:color w:val="auto"/>
                      <w:kern w:val="0"/>
                      <w:szCs w:val="21"/>
                    </w:rPr>
                  </w:pPr>
                  <w:r>
                    <w:rPr>
                      <w:bCs/>
                      <w:color w:val="auto"/>
                      <w:kern w:val="0"/>
                      <w:szCs w:val="21"/>
                    </w:rPr>
                    <w:t>六十一、禁止在长江流域水土流失严重、生态脆弱的区域开展可能造成水土流失的生产建设活动。确因国家发展战略和国计民生需要建设的，应当经科学论证，并依法办理审批手续。</w:t>
                  </w:r>
                </w:p>
              </w:tc>
              <w:tc>
                <w:tcPr>
                  <w:tcW w:w="1388" w:type="pct"/>
                  <w:vAlign w:val="center"/>
                </w:tcPr>
                <w:p>
                  <w:pPr>
                    <w:autoSpaceDE w:val="0"/>
                    <w:autoSpaceDN w:val="0"/>
                    <w:jc w:val="center"/>
                    <w:rPr>
                      <w:bCs/>
                      <w:color w:val="auto"/>
                      <w:kern w:val="0"/>
                      <w:szCs w:val="21"/>
                    </w:rPr>
                  </w:pPr>
                  <w:r>
                    <w:rPr>
                      <w:bCs/>
                      <w:color w:val="auto"/>
                      <w:kern w:val="0"/>
                      <w:szCs w:val="21"/>
                    </w:rPr>
                    <w:t>本项目所在区域不属于水土流失严重、生态脆弱区</w:t>
                  </w:r>
                </w:p>
              </w:tc>
              <w:tc>
                <w:tcPr>
                  <w:tcW w:w="557" w:type="pct"/>
                  <w:vAlign w:val="center"/>
                </w:tcPr>
                <w:p>
                  <w:pPr>
                    <w:autoSpaceDE w:val="0"/>
                    <w:autoSpaceDN w:val="0"/>
                    <w:jc w:val="center"/>
                    <w:rPr>
                      <w:bCs/>
                      <w:color w:val="auto"/>
                      <w:kern w:val="0"/>
                      <w:szCs w:val="21"/>
                    </w:rPr>
                  </w:pPr>
                  <w:r>
                    <w:rPr>
                      <w:bCs/>
                      <w:color w:val="auto"/>
                      <w:kern w:val="0"/>
                      <w:szCs w:val="21"/>
                    </w:rPr>
                    <w:t>符合</w:t>
                  </w:r>
                </w:p>
              </w:tc>
            </w:tr>
          </w:tbl>
          <w:p>
            <w:pPr>
              <w:adjustRightInd w:val="0"/>
              <w:snapToGrid w:val="0"/>
              <w:spacing w:line="360" w:lineRule="auto"/>
              <w:ind w:firstLine="480" w:firstLineChars="200"/>
              <w:rPr>
                <w:color w:val="auto"/>
                <w:sz w:val="24"/>
              </w:rPr>
            </w:pPr>
            <w:r>
              <w:rPr>
                <w:color w:val="auto"/>
                <w:sz w:val="24"/>
              </w:rPr>
              <w:t>综上所述，本项目建设符合《中华人民共和国长江保护法》要求。</w:t>
            </w:r>
          </w:p>
          <w:p>
            <w:pPr>
              <w:autoSpaceDE w:val="0"/>
              <w:autoSpaceDN w:val="0"/>
              <w:adjustRightInd w:val="0"/>
              <w:snapToGrid w:val="0"/>
              <w:spacing w:line="360" w:lineRule="auto"/>
              <w:ind w:firstLine="482" w:firstLineChars="200"/>
              <w:jc w:val="left"/>
              <w:rPr>
                <w:b/>
                <w:color w:val="auto"/>
                <w:kern w:val="0"/>
                <w:sz w:val="24"/>
              </w:rPr>
            </w:pPr>
            <w:r>
              <w:rPr>
                <w:b/>
                <w:color w:val="auto"/>
                <w:kern w:val="0"/>
                <w:sz w:val="24"/>
              </w:rPr>
              <w:t>10、项目与《四川省、重庆市长江经济带发展负面清单实施细则（试行，2022版）》符合性分析</w:t>
            </w:r>
          </w:p>
          <w:p>
            <w:pPr>
              <w:pStyle w:val="169"/>
              <w:snapToGrid w:val="0"/>
              <w:ind w:firstLine="0" w:firstLineChars="0"/>
              <w:jc w:val="center"/>
              <w:rPr>
                <w:color w:val="auto"/>
              </w:rPr>
            </w:pPr>
            <w:r>
              <w:rPr>
                <w:b/>
                <w:bCs/>
                <w:color w:val="auto"/>
                <w:sz w:val="21"/>
                <w:szCs w:val="21"/>
              </w:rPr>
              <w:t>表1-7  与《四川省、重庆市长江经济带发展负面清单实施细则（试行，2022版）》符合性</w:t>
            </w:r>
          </w:p>
          <w:tbl>
            <w:tblPr>
              <w:tblStyle w:val="4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47"/>
              <w:gridCol w:w="2087"/>
              <w:gridCol w:w="8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3259" w:type="pct"/>
                  <w:tcBorders>
                    <w:tl2br w:val="nil"/>
                    <w:tr2bl w:val="nil"/>
                  </w:tcBorders>
                  <w:vAlign w:val="center"/>
                </w:tcPr>
                <w:p>
                  <w:pPr>
                    <w:jc w:val="center"/>
                    <w:rPr>
                      <w:b/>
                      <w:bCs/>
                      <w:color w:val="auto"/>
                      <w:szCs w:val="21"/>
                    </w:rPr>
                  </w:pPr>
                  <w:r>
                    <w:rPr>
                      <w:b/>
                      <w:bCs/>
                      <w:color w:val="auto"/>
                      <w:szCs w:val="21"/>
                    </w:rPr>
                    <w:t>《四川省、重庆市长江经济带发展负面清单实施细则》</w:t>
                  </w:r>
                </w:p>
              </w:tc>
              <w:tc>
                <w:tcPr>
                  <w:tcW w:w="1225" w:type="pct"/>
                  <w:tcBorders>
                    <w:tl2br w:val="nil"/>
                    <w:tr2bl w:val="nil"/>
                  </w:tcBorders>
                  <w:vAlign w:val="center"/>
                </w:tcPr>
                <w:p>
                  <w:pPr>
                    <w:jc w:val="center"/>
                    <w:rPr>
                      <w:b/>
                      <w:bCs/>
                      <w:color w:val="auto"/>
                      <w:szCs w:val="21"/>
                    </w:rPr>
                  </w:pPr>
                  <w:r>
                    <w:rPr>
                      <w:b/>
                      <w:bCs/>
                      <w:color w:val="auto"/>
                      <w:szCs w:val="21"/>
                    </w:rPr>
                    <w:t>本项目情况</w:t>
                  </w:r>
                </w:p>
              </w:tc>
              <w:tc>
                <w:tcPr>
                  <w:tcW w:w="514" w:type="pct"/>
                  <w:tcBorders>
                    <w:tl2br w:val="nil"/>
                    <w:tr2bl w:val="nil"/>
                  </w:tcBorders>
                  <w:vAlign w:val="center"/>
                </w:tcPr>
                <w:p>
                  <w:pPr>
                    <w:jc w:val="center"/>
                    <w:rPr>
                      <w:b/>
                      <w:bCs/>
                      <w:color w:val="auto"/>
                      <w:szCs w:val="21"/>
                    </w:rPr>
                  </w:pPr>
                  <w:r>
                    <w:rPr>
                      <w:b/>
                      <w:bCs/>
                      <w:color w:val="auto"/>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6" w:hRule="atLeast"/>
                <w:jc w:val="center"/>
              </w:trPr>
              <w:tc>
                <w:tcPr>
                  <w:tcW w:w="3259" w:type="pct"/>
                  <w:tcBorders>
                    <w:tl2br w:val="nil"/>
                    <w:tr2bl w:val="nil"/>
                  </w:tcBorders>
                  <w:vAlign w:val="center"/>
                </w:tcPr>
                <w:p>
                  <w:pPr>
                    <w:widowControl/>
                    <w:jc w:val="left"/>
                    <w:rPr>
                      <w:color w:val="auto"/>
                      <w:szCs w:val="21"/>
                    </w:rPr>
                  </w:pPr>
                  <w:r>
                    <w:rPr>
                      <w:color w:val="auto"/>
                      <w:szCs w:val="21"/>
                    </w:rPr>
                    <w:t>第五条 禁止新建、改建和扩建不符合《全国内河航道与港口布局规划》等全国港口规划，以及《四川省内河水运发展规划》《泸州—宜宾—乐山港口群布局规划》《重庆港总体规划（2035年）》等省级港口布局规划及市级港口总体规划的码头项目。</w:t>
                  </w:r>
                </w:p>
                <w:p>
                  <w:pPr>
                    <w:widowControl/>
                    <w:jc w:val="left"/>
                    <w:rPr>
                      <w:color w:val="auto"/>
                      <w:szCs w:val="21"/>
                    </w:rPr>
                  </w:pPr>
                  <w:r>
                    <w:rPr>
                      <w:color w:val="auto"/>
                      <w:szCs w:val="21"/>
                    </w:rPr>
                    <w:t>第六条 禁止新建、改建和扩建不符合《长江干线过江通道布局规划（2020—2035 年）》的过长江通道项目（含桥梁、隧道），国家发展改革委同意过长江通道线位调整的除外。</w:t>
                  </w:r>
                </w:p>
              </w:tc>
              <w:tc>
                <w:tcPr>
                  <w:tcW w:w="1225" w:type="pct"/>
                  <w:tcBorders>
                    <w:tl2br w:val="nil"/>
                    <w:tr2bl w:val="nil"/>
                  </w:tcBorders>
                  <w:vAlign w:val="center"/>
                </w:tcPr>
                <w:p>
                  <w:pPr>
                    <w:jc w:val="center"/>
                    <w:rPr>
                      <w:color w:val="auto"/>
                      <w:szCs w:val="21"/>
                    </w:rPr>
                  </w:pPr>
                  <w:r>
                    <w:rPr>
                      <w:color w:val="auto"/>
                      <w:szCs w:val="21"/>
                    </w:rPr>
                    <w:t>本项目不涉及。</w:t>
                  </w:r>
                </w:p>
              </w:tc>
              <w:tc>
                <w:tcPr>
                  <w:tcW w:w="514" w:type="pct"/>
                  <w:tcBorders>
                    <w:tl2br w:val="nil"/>
                    <w:tr2bl w:val="nil"/>
                  </w:tcBorders>
                  <w:vAlign w:val="center"/>
                </w:tcPr>
                <w:p>
                  <w:pPr>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59" w:type="pct"/>
                  <w:tcBorders>
                    <w:tl2br w:val="nil"/>
                    <w:tr2bl w:val="nil"/>
                  </w:tcBorders>
                  <w:vAlign w:val="center"/>
                </w:tcPr>
                <w:p>
                  <w:pPr>
                    <w:numPr>
                      <w:ilvl w:val="0"/>
                      <w:numId w:val="13"/>
                    </w:numPr>
                    <w:rPr>
                      <w:color w:val="auto"/>
                      <w:szCs w:val="21"/>
                    </w:rPr>
                  </w:pPr>
                  <w:r>
                    <w:rPr>
                      <w:color w:val="auto"/>
                      <w:szCs w:val="21"/>
                    </w:rPr>
                    <w:t>禁止在自然保护区核心区、缓冲区的岸线和河段范围内投资建设旅游和生产经营项目。自然保护区的内部未分区的，依照本实施细则核心区和缓冲区的规定管控。</w:t>
                  </w:r>
                </w:p>
                <w:p>
                  <w:pPr>
                    <w:rPr>
                      <w:color w:val="auto"/>
                      <w:szCs w:val="21"/>
                    </w:rPr>
                  </w:pPr>
                  <w:r>
                    <w:rPr>
                      <w:color w:val="auto"/>
                      <w:szCs w:val="21"/>
                    </w:rPr>
                    <w:t>第八条 禁止违反风景名胜区规划，在风景名胜区内设立各类开发区。禁止在风景名胜区核心景区的岸线和河段范围内建设宾馆、招待所、培训中心、疗养院以及与风景名胜资源保护无关的项目。</w:t>
                  </w:r>
                </w:p>
              </w:tc>
              <w:tc>
                <w:tcPr>
                  <w:tcW w:w="1225" w:type="pct"/>
                  <w:tcBorders>
                    <w:tl2br w:val="nil"/>
                    <w:tr2bl w:val="nil"/>
                  </w:tcBorders>
                  <w:vAlign w:val="center"/>
                </w:tcPr>
                <w:p>
                  <w:pPr>
                    <w:jc w:val="center"/>
                    <w:rPr>
                      <w:color w:val="auto"/>
                      <w:szCs w:val="21"/>
                    </w:rPr>
                  </w:pPr>
                  <w:r>
                    <w:rPr>
                      <w:color w:val="auto"/>
                      <w:szCs w:val="21"/>
                    </w:rPr>
                    <w:t>项目选址不在自然保护区、风景名胜区核心区、缓冲区的岸线和河段范围内。</w:t>
                  </w:r>
                </w:p>
              </w:tc>
              <w:tc>
                <w:tcPr>
                  <w:tcW w:w="514" w:type="pct"/>
                  <w:tcBorders>
                    <w:tl2br w:val="nil"/>
                    <w:tr2bl w:val="nil"/>
                  </w:tcBorders>
                  <w:vAlign w:val="center"/>
                </w:tcPr>
                <w:p>
                  <w:pPr>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3259" w:type="pct"/>
                  <w:tcBorders>
                    <w:tl2br w:val="nil"/>
                    <w:tr2bl w:val="nil"/>
                  </w:tcBorders>
                  <w:vAlign w:val="center"/>
                </w:tcPr>
                <w:p>
                  <w:pPr>
                    <w:rPr>
                      <w:color w:val="auto"/>
                      <w:szCs w:val="21"/>
                    </w:rPr>
                  </w:pPr>
                  <w:r>
                    <w:rPr>
                      <w:color w:val="auto"/>
                      <w:szCs w:val="21"/>
                    </w:rPr>
                    <w:t>第九条 禁止在饮用水水源准保护区的岸线和河段范围内新建、扩建对水体污染严重的建设项目，禁止改建增加排污量的建设项目。</w:t>
                  </w:r>
                </w:p>
                <w:p>
                  <w:pPr>
                    <w:rPr>
                      <w:color w:val="auto"/>
                      <w:szCs w:val="21"/>
                    </w:rPr>
                  </w:pPr>
                  <w:r>
                    <w:rPr>
                      <w:color w:val="auto"/>
                      <w:szCs w:val="21"/>
                    </w:rPr>
                    <w:t>第十条 饮用水水源二级保护区的岸线和河段范围内，除应遵守准保护区规定外，禁止新建、改建、扩建排放污染物的投资建设项目；禁止从事采石（砂）、对水体有污染的水产养殖等活动。</w:t>
                  </w:r>
                </w:p>
                <w:p>
                  <w:pPr>
                    <w:rPr>
                      <w:color w:val="auto"/>
                      <w:szCs w:val="21"/>
                    </w:rPr>
                  </w:pPr>
                  <w:r>
                    <w:rPr>
                      <w:color w:val="auto"/>
                      <w:szCs w:val="21"/>
                    </w:rPr>
                    <w:t>第十一条 饮用水水源一级保护区的岸线和河段范围内，除应遵守二级保护区规定外，禁止新建、改建、扩建与供（取）水设施和保护水源无关的项目，以及网箱养殖、畜禽养殖、旅游等可能污染饮用水水体的投资建设项目</w:t>
                  </w:r>
                </w:p>
              </w:tc>
              <w:tc>
                <w:tcPr>
                  <w:tcW w:w="1225" w:type="pct"/>
                  <w:tcBorders>
                    <w:tl2br w:val="nil"/>
                    <w:tr2bl w:val="nil"/>
                  </w:tcBorders>
                  <w:vAlign w:val="center"/>
                </w:tcPr>
                <w:p>
                  <w:pPr>
                    <w:jc w:val="center"/>
                    <w:rPr>
                      <w:color w:val="auto"/>
                      <w:szCs w:val="21"/>
                    </w:rPr>
                  </w:pPr>
                  <w:r>
                    <w:rPr>
                      <w:color w:val="auto"/>
                      <w:szCs w:val="21"/>
                    </w:rPr>
                    <w:t>本项目选址不在饮用水水源准保护区、一级保护区、二级保护区的岸线和河段范围内。</w:t>
                  </w:r>
                </w:p>
              </w:tc>
              <w:tc>
                <w:tcPr>
                  <w:tcW w:w="514" w:type="pct"/>
                  <w:tcBorders>
                    <w:tl2br w:val="nil"/>
                    <w:tr2bl w:val="nil"/>
                  </w:tcBorders>
                  <w:vAlign w:val="center"/>
                </w:tcPr>
                <w:p>
                  <w:pPr>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3259" w:type="pct"/>
                  <w:tcBorders>
                    <w:tl2br w:val="nil"/>
                    <w:tr2bl w:val="nil"/>
                  </w:tcBorders>
                  <w:vAlign w:val="center"/>
                </w:tcPr>
                <w:p>
                  <w:pPr>
                    <w:rPr>
                      <w:color w:val="auto"/>
                      <w:szCs w:val="21"/>
                    </w:rPr>
                  </w:pPr>
                  <w:r>
                    <w:rPr>
                      <w:color w:val="auto"/>
                      <w:szCs w:val="21"/>
                    </w:rPr>
                    <w:t>第十二条 禁止在水产种质资源保护区岸线和河段范围内新建围湖造田、围湖造地或挖沙采石等投资建设项目。</w:t>
                  </w:r>
                </w:p>
                <w:p>
                  <w:pPr>
                    <w:rPr>
                      <w:color w:val="auto"/>
                      <w:szCs w:val="21"/>
                    </w:rPr>
                  </w:pPr>
                  <w:r>
                    <w:rPr>
                      <w:color w:val="auto"/>
                      <w:szCs w:val="21"/>
                    </w:rPr>
                    <w:t>第十三条 禁止在国家湿地公园的岸线和河段范围内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w:t>
                  </w:r>
                </w:p>
              </w:tc>
              <w:tc>
                <w:tcPr>
                  <w:tcW w:w="1225" w:type="pct"/>
                  <w:tcBorders>
                    <w:tl2br w:val="nil"/>
                    <w:tr2bl w:val="nil"/>
                  </w:tcBorders>
                  <w:vAlign w:val="center"/>
                </w:tcPr>
                <w:p>
                  <w:pPr>
                    <w:jc w:val="center"/>
                    <w:rPr>
                      <w:color w:val="auto"/>
                      <w:szCs w:val="21"/>
                    </w:rPr>
                  </w:pPr>
                  <w:r>
                    <w:rPr>
                      <w:color w:val="auto"/>
                      <w:szCs w:val="21"/>
                    </w:rPr>
                    <w:t>本项目选址不在水产种质资源保护区岸线和河段范围内，不在国家湿地公园的岸线和河段范围内。</w:t>
                  </w:r>
                </w:p>
              </w:tc>
              <w:tc>
                <w:tcPr>
                  <w:tcW w:w="514" w:type="pct"/>
                  <w:tcBorders>
                    <w:tl2br w:val="nil"/>
                    <w:tr2bl w:val="nil"/>
                  </w:tcBorders>
                  <w:vAlign w:val="center"/>
                </w:tcPr>
                <w:p>
                  <w:pPr>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3259" w:type="pct"/>
                  <w:tcBorders>
                    <w:tl2br w:val="nil"/>
                    <w:tr2bl w:val="nil"/>
                  </w:tcBorders>
                  <w:vAlign w:val="center"/>
                </w:tcPr>
                <w:p>
                  <w:pPr>
                    <w:rPr>
                      <w:color w:val="auto"/>
                      <w:szCs w:val="21"/>
                    </w:rPr>
                  </w:pPr>
                  <w:r>
                    <w:rPr>
                      <w:color w:val="auto"/>
                      <w:szCs w:val="21"/>
                    </w:rPr>
                    <w:t>第十四条 禁止违法利用、占用长江流域河湖岸线。禁止在《长江岸线保护和开发利用总体规划》划定的岸线保护区和岸线保留区内投资建设除事关公共安全及公众利益的防洪护岸、河道治理、供水、生态环境保护、航道整治、国家重要基础设施以外的项目。</w:t>
                  </w:r>
                </w:p>
                <w:p>
                  <w:pPr>
                    <w:rPr>
                      <w:color w:val="auto"/>
                      <w:szCs w:val="21"/>
                    </w:rPr>
                  </w:pPr>
                  <w:r>
                    <w:rPr>
                      <w:color w:val="auto"/>
                      <w:szCs w:val="21"/>
                    </w:rPr>
                    <w:t>第十五条 禁止在《全国重要江河湖泊水功能区划》划定的河段及湖泊保护区、保留区内投资建设不利于水资源及自然生态保护的项目。</w:t>
                  </w:r>
                </w:p>
              </w:tc>
              <w:tc>
                <w:tcPr>
                  <w:tcW w:w="1225" w:type="pct"/>
                  <w:tcBorders>
                    <w:tl2br w:val="nil"/>
                    <w:tr2bl w:val="nil"/>
                  </w:tcBorders>
                  <w:vAlign w:val="center"/>
                </w:tcPr>
                <w:p>
                  <w:pPr>
                    <w:jc w:val="center"/>
                    <w:rPr>
                      <w:color w:val="auto"/>
                      <w:szCs w:val="21"/>
                    </w:rPr>
                  </w:pPr>
                  <w:r>
                    <w:rPr>
                      <w:color w:val="auto"/>
                      <w:szCs w:val="21"/>
                    </w:rPr>
                    <w:t>项目不占用、利用长江流域河湖岸线。选址不在《全国重要江河湖泊水功能区划》划定的河段及湖泊保护区、保留区内。</w:t>
                  </w:r>
                </w:p>
              </w:tc>
              <w:tc>
                <w:tcPr>
                  <w:tcW w:w="514" w:type="pct"/>
                  <w:tcBorders>
                    <w:tl2br w:val="nil"/>
                    <w:tr2bl w:val="nil"/>
                  </w:tcBorders>
                  <w:vAlign w:val="center"/>
                </w:tcPr>
                <w:p>
                  <w:pPr>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3259" w:type="pct"/>
                  <w:tcBorders>
                    <w:tl2br w:val="nil"/>
                    <w:tr2bl w:val="nil"/>
                  </w:tcBorders>
                  <w:vAlign w:val="center"/>
                </w:tcPr>
                <w:p>
                  <w:pPr>
                    <w:rPr>
                      <w:color w:val="auto"/>
                      <w:szCs w:val="21"/>
                    </w:rPr>
                  </w:pPr>
                  <w:r>
                    <w:rPr>
                      <w:color w:val="auto"/>
                      <w:szCs w:val="21"/>
                    </w:rPr>
                    <w:t>第十六条 禁止在长江流域江河、湖泊新设、改设或者扩大排污口，经有管辖权的生态环境主管部门或者长江流域生态环境监督管理机构同意的除外</w:t>
                  </w:r>
                </w:p>
              </w:tc>
              <w:tc>
                <w:tcPr>
                  <w:tcW w:w="1225" w:type="pct"/>
                  <w:tcBorders>
                    <w:tl2br w:val="nil"/>
                    <w:tr2bl w:val="nil"/>
                  </w:tcBorders>
                  <w:vAlign w:val="center"/>
                </w:tcPr>
                <w:p>
                  <w:pPr>
                    <w:jc w:val="center"/>
                    <w:rPr>
                      <w:color w:val="auto"/>
                      <w:szCs w:val="21"/>
                    </w:rPr>
                  </w:pPr>
                  <w:r>
                    <w:rPr>
                      <w:color w:val="auto"/>
                      <w:szCs w:val="21"/>
                    </w:rPr>
                    <w:t>项目不涉及废水排污口。</w:t>
                  </w:r>
                </w:p>
              </w:tc>
              <w:tc>
                <w:tcPr>
                  <w:tcW w:w="514" w:type="pct"/>
                  <w:tcBorders>
                    <w:tl2br w:val="nil"/>
                    <w:tr2bl w:val="nil"/>
                  </w:tcBorders>
                  <w:vAlign w:val="center"/>
                </w:tcPr>
                <w:p>
                  <w:pPr>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3259" w:type="pct"/>
                  <w:tcBorders>
                    <w:tl2br w:val="nil"/>
                    <w:tr2bl w:val="nil"/>
                  </w:tcBorders>
                  <w:vAlign w:val="center"/>
                </w:tcPr>
                <w:p>
                  <w:pPr>
                    <w:rPr>
                      <w:color w:val="auto"/>
                      <w:szCs w:val="21"/>
                    </w:rPr>
                  </w:pPr>
                  <w:r>
                    <w:rPr>
                      <w:color w:val="auto"/>
                      <w:szCs w:val="21"/>
                    </w:rPr>
                    <w:t>第十七条 禁止在长江、大渡河、岷江、赤水河、沱江、</w:t>
                  </w:r>
                </w:p>
                <w:p>
                  <w:pPr>
                    <w:rPr>
                      <w:color w:val="auto"/>
                      <w:szCs w:val="21"/>
                    </w:rPr>
                  </w:pPr>
                  <w:r>
                    <w:rPr>
                      <w:color w:val="auto"/>
                      <w:szCs w:val="21"/>
                    </w:rPr>
                    <w:t>嘉陵江、乌江、汉江和51个（四川省45个、重庆市6个）水生生物保护区开展生产性捕捞。</w:t>
                  </w:r>
                </w:p>
              </w:tc>
              <w:tc>
                <w:tcPr>
                  <w:tcW w:w="1225" w:type="pct"/>
                  <w:tcBorders>
                    <w:tl2br w:val="nil"/>
                    <w:tr2bl w:val="nil"/>
                  </w:tcBorders>
                  <w:vAlign w:val="center"/>
                </w:tcPr>
                <w:p>
                  <w:pPr>
                    <w:jc w:val="center"/>
                    <w:rPr>
                      <w:color w:val="auto"/>
                      <w:szCs w:val="21"/>
                    </w:rPr>
                  </w:pPr>
                  <w:r>
                    <w:rPr>
                      <w:color w:val="auto"/>
                      <w:szCs w:val="21"/>
                    </w:rPr>
                    <w:t>本项目为水稳层生产，不涉及生产性捕捞。</w:t>
                  </w:r>
                </w:p>
              </w:tc>
              <w:tc>
                <w:tcPr>
                  <w:tcW w:w="514" w:type="pct"/>
                  <w:tcBorders>
                    <w:tl2br w:val="nil"/>
                    <w:tr2bl w:val="nil"/>
                  </w:tcBorders>
                  <w:vAlign w:val="center"/>
                </w:tcPr>
                <w:p>
                  <w:pPr>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3259" w:type="pct"/>
                  <w:tcBorders>
                    <w:tl2br w:val="nil"/>
                    <w:tr2bl w:val="nil"/>
                  </w:tcBorders>
                  <w:vAlign w:val="center"/>
                </w:tcPr>
                <w:p>
                  <w:pPr>
                    <w:numPr>
                      <w:ilvl w:val="0"/>
                      <w:numId w:val="14"/>
                    </w:numPr>
                    <w:rPr>
                      <w:color w:val="auto"/>
                      <w:szCs w:val="21"/>
                    </w:rPr>
                  </w:pPr>
                  <w:r>
                    <w:rPr>
                      <w:color w:val="auto"/>
                      <w:szCs w:val="21"/>
                    </w:rPr>
                    <w:t>禁止在长江干支流、重要湖泊岸线一公里范围内新建、扩建化工园区和化工项目</w:t>
                  </w:r>
                </w:p>
                <w:p>
                  <w:pPr>
                    <w:rPr>
                      <w:color w:val="auto"/>
                      <w:szCs w:val="21"/>
                    </w:rPr>
                  </w:pPr>
                  <w:r>
                    <w:rPr>
                      <w:color w:val="auto"/>
                      <w:szCs w:val="21"/>
                    </w:rPr>
                    <w:t>第十九条 禁止在长江干流岸线三公里范围内和重要支流岸线一公里范围内新建、改建、扩建尾矿库、冶炼渣库、磷石膏库，以提升安全、生态环境保护水平为目的的改建除外。</w:t>
                  </w:r>
                </w:p>
                <w:p>
                  <w:pPr>
                    <w:rPr>
                      <w:color w:val="auto"/>
                      <w:szCs w:val="21"/>
                    </w:rPr>
                  </w:pPr>
                  <w:r>
                    <w:rPr>
                      <w:color w:val="auto"/>
                      <w:szCs w:val="21"/>
                    </w:rPr>
                    <w:t>第二十条 禁止在生态保护红线区域、永久基本农田集中区域和其他需要特别保护的区域内选址建设尾矿库、冶炼渣库、磷石膏库。</w:t>
                  </w:r>
                </w:p>
              </w:tc>
              <w:tc>
                <w:tcPr>
                  <w:tcW w:w="1225" w:type="pct"/>
                  <w:tcBorders>
                    <w:tl2br w:val="nil"/>
                    <w:tr2bl w:val="nil"/>
                  </w:tcBorders>
                  <w:vAlign w:val="center"/>
                </w:tcPr>
                <w:p>
                  <w:pPr>
                    <w:jc w:val="center"/>
                    <w:rPr>
                      <w:color w:val="auto"/>
                      <w:szCs w:val="21"/>
                    </w:rPr>
                  </w:pPr>
                  <w:r>
                    <w:rPr>
                      <w:color w:val="auto"/>
                      <w:szCs w:val="21"/>
                    </w:rPr>
                    <w:t>本项目为水稳层生产，不属于化工园区和化工项目，不涉及尾矿库、冶炼渣库、磷石膏库。</w:t>
                  </w:r>
                </w:p>
              </w:tc>
              <w:tc>
                <w:tcPr>
                  <w:tcW w:w="514" w:type="pct"/>
                  <w:tcBorders>
                    <w:tl2br w:val="nil"/>
                    <w:tr2bl w:val="nil"/>
                  </w:tcBorders>
                  <w:vAlign w:val="center"/>
                </w:tcPr>
                <w:p>
                  <w:pPr>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3259" w:type="pct"/>
                  <w:tcBorders>
                    <w:tl2br w:val="nil"/>
                    <w:tr2bl w:val="nil"/>
                  </w:tcBorders>
                  <w:vAlign w:val="center"/>
                </w:tcPr>
                <w:p>
                  <w:pPr>
                    <w:rPr>
                      <w:color w:val="auto"/>
                      <w:szCs w:val="21"/>
                    </w:rPr>
                  </w:pPr>
                  <w:r>
                    <w:rPr>
                      <w:color w:val="auto"/>
                      <w:szCs w:val="21"/>
                    </w:rPr>
                    <w:t>第二十一条 禁止在合规园区外新建、扩建钢铁、石化、化工、焦化、建材、有色、制浆造纸等高污染项目</w:t>
                  </w:r>
                </w:p>
              </w:tc>
              <w:tc>
                <w:tcPr>
                  <w:tcW w:w="1225" w:type="pct"/>
                  <w:tcBorders>
                    <w:tl2br w:val="nil"/>
                    <w:tr2bl w:val="nil"/>
                  </w:tcBorders>
                  <w:vAlign w:val="center"/>
                </w:tcPr>
                <w:p>
                  <w:pPr>
                    <w:jc w:val="center"/>
                    <w:rPr>
                      <w:color w:val="auto"/>
                      <w:szCs w:val="21"/>
                    </w:rPr>
                  </w:pPr>
                  <w:r>
                    <w:rPr>
                      <w:color w:val="auto"/>
                      <w:szCs w:val="21"/>
                    </w:rPr>
                    <w:t>本项目为水稳层生产，不涉及。</w:t>
                  </w:r>
                </w:p>
              </w:tc>
              <w:tc>
                <w:tcPr>
                  <w:tcW w:w="514" w:type="pct"/>
                  <w:tcBorders>
                    <w:tl2br w:val="nil"/>
                    <w:tr2bl w:val="nil"/>
                  </w:tcBorders>
                  <w:vAlign w:val="center"/>
                </w:tcPr>
                <w:p>
                  <w:pPr>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3259" w:type="pct"/>
                  <w:tcBorders>
                    <w:tl2br w:val="nil"/>
                    <w:tr2bl w:val="nil"/>
                  </w:tcBorders>
                  <w:vAlign w:val="center"/>
                </w:tcPr>
                <w:p>
                  <w:pPr>
                    <w:rPr>
                      <w:color w:val="auto"/>
                      <w:szCs w:val="21"/>
                    </w:rPr>
                  </w:pPr>
                  <w:r>
                    <w:rPr>
                      <w:color w:val="auto"/>
                      <w:szCs w:val="21"/>
                    </w:rPr>
                    <w:t>第二十二条 禁止新建、扩建不符合国家石化、现代煤化工等产业布局规划的项目。</w:t>
                  </w:r>
                </w:p>
                <w:p>
                  <w:pPr>
                    <w:rPr>
                      <w:color w:val="auto"/>
                      <w:szCs w:val="21"/>
                    </w:rPr>
                  </w:pPr>
                  <w:r>
                    <w:rPr>
                      <w:color w:val="auto"/>
                      <w:szCs w:val="21"/>
                    </w:rPr>
                    <w:t>（一）严格控制新增炼油项目，未列入《石化产业规划布局方案（修订版）》的新增炼油产能一律不得建设。</w:t>
                  </w:r>
                </w:p>
                <w:p>
                  <w:pPr>
                    <w:rPr>
                      <w:color w:val="auto"/>
                      <w:szCs w:val="21"/>
                    </w:rPr>
                  </w:pPr>
                  <w:r>
                    <w:rPr>
                      <w:color w:val="auto"/>
                      <w:szCs w:val="21"/>
                    </w:rPr>
                    <w:t>（二）新建煤制烯烃、煤制芳烃项目必须列入《现代煤化工产业创新发展布局方案》，必须符合《现代煤化工建设项目环境准入条件（试行）》要求。</w:t>
                  </w:r>
                </w:p>
              </w:tc>
              <w:tc>
                <w:tcPr>
                  <w:tcW w:w="1225" w:type="pct"/>
                  <w:tcBorders>
                    <w:tl2br w:val="nil"/>
                    <w:tr2bl w:val="nil"/>
                  </w:tcBorders>
                  <w:vAlign w:val="center"/>
                </w:tcPr>
                <w:p>
                  <w:pPr>
                    <w:jc w:val="center"/>
                    <w:rPr>
                      <w:color w:val="auto"/>
                      <w:szCs w:val="21"/>
                    </w:rPr>
                  </w:pPr>
                  <w:r>
                    <w:rPr>
                      <w:color w:val="auto"/>
                      <w:szCs w:val="21"/>
                    </w:rPr>
                    <w:t>本项目为水稳层生产，不涉及。</w:t>
                  </w:r>
                </w:p>
              </w:tc>
              <w:tc>
                <w:tcPr>
                  <w:tcW w:w="514" w:type="pct"/>
                  <w:tcBorders>
                    <w:tl2br w:val="nil"/>
                    <w:tr2bl w:val="nil"/>
                  </w:tcBorders>
                  <w:vAlign w:val="center"/>
                </w:tcPr>
                <w:p>
                  <w:pPr>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3259" w:type="pct"/>
                  <w:tcBorders>
                    <w:tl2br w:val="nil"/>
                    <w:tr2bl w:val="nil"/>
                  </w:tcBorders>
                  <w:vAlign w:val="center"/>
                </w:tcPr>
                <w:p>
                  <w:pPr>
                    <w:rPr>
                      <w:color w:val="auto"/>
                      <w:szCs w:val="21"/>
                    </w:rPr>
                  </w:pPr>
                  <w:r>
                    <w:rPr>
                      <w:color w:val="auto"/>
                      <w:szCs w:val="21"/>
                    </w:rPr>
                    <w:t>第二十三条 禁止新建、扩建法律法规和相关政策明令禁止的落后产能项目。对《产业结构调整指导目录》中淘汰类项目，禁止投资；限制类的新建项目，禁止投资，对属于限制类的现有生产能力，允许企业在一定期限内采取措施改造升级。</w:t>
                  </w:r>
                </w:p>
                <w:p>
                  <w:pPr>
                    <w:rPr>
                      <w:color w:val="auto"/>
                      <w:szCs w:val="21"/>
                    </w:rPr>
                  </w:pPr>
                  <w:r>
                    <w:rPr>
                      <w:color w:val="auto"/>
                      <w:szCs w:val="21"/>
                    </w:rPr>
                    <w:t>第二十四条 禁止新建、扩建不符合国家产能置换要求的严重过剩产能行业的项目。对于不符合国家产能置换要求的严重过剩产能行业，不得以其他任何名义、任何方式备案新增产能项目。</w:t>
                  </w:r>
                </w:p>
                <w:p>
                  <w:pPr>
                    <w:rPr>
                      <w:color w:val="auto"/>
                      <w:szCs w:val="21"/>
                    </w:rPr>
                  </w:pPr>
                  <w:r>
                    <w:rPr>
                      <w:color w:val="auto"/>
                      <w:szCs w:val="21"/>
                    </w:rPr>
                    <w:t>第二十五条 禁止建设以下燃油汽车投资项目（不在中国境内销售产品的投资项目除外）：</w:t>
                  </w:r>
                </w:p>
                <w:p>
                  <w:pPr>
                    <w:rPr>
                      <w:color w:val="auto"/>
                      <w:szCs w:val="21"/>
                    </w:rPr>
                  </w:pPr>
                  <w:r>
                    <w:rPr>
                      <w:color w:val="auto"/>
                      <w:szCs w:val="21"/>
                    </w:rPr>
                    <w:t>（一）新建独立燃油汽车企业；</w:t>
                  </w:r>
                </w:p>
                <w:p>
                  <w:pPr>
                    <w:rPr>
                      <w:color w:val="auto"/>
                      <w:szCs w:val="21"/>
                    </w:rPr>
                  </w:pPr>
                  <w:r>
                    <w:rPr>
                      <w:color w:val="auto"/>
                      <w:szCs w:val="21"/>
                    </w:rPr>
                    <w:t>（二）现有汽车企业跨乘用车、商用车类别建设燃油汽车生产能力；</w:t>
                  </w:r>
                </w:p>
                <w:p>
                  <w:pPr>
                    <w:rPr>
                      <w:color w:val="auto"/>
                      <w:szCs w:val="21"/>
                    </w:rPr>
                  </w:pPr>
                  <w:r>
                    <w:rPr>
                      <w:color w:val="auto"/>
                      <w:szCs w:val="21"/>
                    </w:rPr>
                    <w:t>（三）外省现有燃油汽车企业整体搬迁至本省（列入国家级区域发展规划或不改变企业股权结构的项目除外）；</w:t>
                  </w:r>
                </w:p>
                <w:p>
                  <w:pPr>
                    <w:rPr>
                      <w:color w:val="auto"/>
                      <w:szCs w:val="21"/>
                    </w:rPr>
                  </w:pPr>
                  <w:r>
                    <w:rPr>
                      <w:color w:val="auto"/>
                      <w:szCs w:val="21"/>
                    </w:rPr>
                    <w:t>（四）对行业管理部门特别公示的燃油汽车企业进行投资（企业原有股东投资或将该企业转为非独立法人的投资项目除外）。</w:t>
                  </w:r>
                </w:p>
                <w:p>
                  <w:pPr>
                    <w:rPr>
                      <w:color w:val="auto"/>
                      <w:szCs w:val="21"/>
                    </w:rPr>
                  </w:pPr>
                  <w:r>
                    <w:rPr>
                      <w:color w:val="auto"/>
                      <w:szCs w:val="21"/>
                    </w:rPr>
                    <w:t>第二十六条 禁止新建、扩建不符合要求的高耗能、高排</w:t>
                  </w:r>
                </w:p>
                <w:p>
                  <w:pPr>
                    <w:rPr>
                      <w:color w:val="auto"/>
                      <w:szCs w:val="21"/>
                    </w:rPr>
                  </w:pPr>
                  <w:r>
                    <w:rPr>
                      <w:color w:val="auto"/>
                      <w:szCs w:val="21"/>
                    </w:rPr>
                    <w:t>放、低水平项目。</w:t>
                  </w:r>
                </w:p>
              </w:tc>
              <w:tc>
                <w:tcPr>
                  <w:tcW w:w="1225" w:type="pct"/>
                  <w:tcBorders>
                    <w:tl2br w:val="nil"/>
                    <w:tr2bl w:val="nil"/>
                  </w:tcBorders>
                  <w:vAlign w:val="center"/>
                </w:tcPr>
                <w:p>
                  <w:pPr>
                    <w:jc w:val="center"/>
                    <w:rPr>
                      <w:color w:val="auto"/>
                      <w:szCs w:val="21"/>
                    </w:rPr>
                  </w:pPr>
                  <w:r>
                    <w:rPr>
                      <w:color w:val="auto"/>
                      <w:szCs w:val="21"/>
                    </w:rPr>
                    <w:t>本项目为水稳层生产，根据《产业结构调整指导目录（2019年本）》（2021年修订）中相关规定，本项目不属于鼓励类、限制类、淘汰类，视为允许类。</w:t>
                  </w:r>
                </w:p>
              </w:tc>
              <w:tc>
                <w:tcPr>
                  <w:tcW w:w="514" w:type="pct"/>
                  <w:tcBorders>
                    <w:tl2br w:val="nil"/>
                    <w:tr2bl w:val="nil"/>
                  </w:tcBorders>
                  <w:vAlign w:val="center"/>
                </w:tcPr>
                <w:p>
                  <w:pPr>
                    <w:jc w:val="center"/>
                    <w:rPr>
                      <w:color w:val="auto"/>
                      <w:szCs w:val="21"/>
                    </w:rPr>
                  </w:pPr>
                  <w:r>
                    <w:rPr>
                      <w:color w:val="auto"/>
                      <w:szCs w:val="21"/>
                    </w:rPr>
                    <w:t>符合</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color w:val="auto"/>
                <w:sz w:val="24"/>
              </w:rPr>
            </w:pPr>
            <w:r>
              <w:rPr>
                <w:b/>
                <w:color w:val="auto"/>
                <w:kern w:val="0"/>
                <w:sz w:val="24"/>
              </w:rPr>
              <w:t>综上，项目的建设符合《四川省、重庆市长江经济带发展负面清单实施细则》（试行，2022版）</w:t>
            </w:r>
            <w:r>
              <w:rPr>
                <w:b/>
                <w:bCs/>
                <w:color w:val="auto"/>
                <w:sz w:val="24"/>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ascii="Times New Roman" w:hAnsi="Times New Roman" w:eastAsia="宋体" w:cs="Times New Roman"/>
                <w:b/>
                <w:color w:val="auto"/>
                <w:kern w:val="0"/>
                <w:sz w:val="24"/>
              </w:rPr>
            </w:pPr>
            <w:r>
              <w:rPr>
                <w:rFonts w:hint="eastAsia" w:ascii="Times New Roman" w:hAnsi="Times New Roman" w:eastAsia="宋体" w:cs="Times New Roman"/>
                <w:b/>
                <w:color w:val="auto"/>
                <w:kern w:val="0"/>
                <w:sz w:val="24"/>
                <w:lang w:val="en-US" w:eastAsia="zh-CN"/>
              </w:rPr>
              <w:t>11</w:t>
            </w:r>
            <w:r>
              <w:rPr>
                <w:rFonts w:hint="eastAsia" w:ascii="Times New Roman" w:hAnsi="Times New Roman" w:eastAsia="宋体" w:cs="Times New Roman"/>
                <w:b/>
                <w:color w:val="auto"/>
                <w:kern w:val="0"/>
                <w:sz w:val="24"/>
              </w:rPr>
              <w:t>、</w:t>
            </w:r>
            <w:r>
              <w:rPr>
                <w:rFonts w:ascii="Times New Roman" w:hAnsi="Times New Roman" w:eastAsia="宋体" w:cs="Times New Roman"/>
                <w:b/>
                <w:color w:val="auto"/>
                <w:kern w:val="0"/>
                <w:sz w:val="24"/>
              </w:rPr>
              <w:t>与《四川省绿色环保搅拌站建设、管理和评价标准》（DBJ51/T104-2018）和《四川省散装水泥管理条例》符合性分析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ascii="Times New Roman" w:hAnsi="Times New Roman" w:eastAsia="宋体" w:cs="Times New Roman"/>
                <w:b/>
                <w:bCs/>
                <w:color w:val="auto"/>
                <w:kern w:val="2"/>
                <w:sz w:val="21"/>
                <w:szCs w:val="21"/>
                <w:lang w:val="en-US" w:eastAsia="zh-CN" w:bidi="ar-SA"/>
              </w:rPr>
            </w:pPr>
            <w:r>
              <w:rPr>
                <w:rFonts w:ascii="Times New Roman" w:hAnsi="Times New Roman" w:eastAsia="宋体" w:cs="Times New Roman"/>
                <w:b/>
                <w:bCs/>
                <w:color w:val="auto"/>
                <w:kern w:val="2"/>
                <w:sz w:val="21"/>
                <w:szCs w:val="21"/>
                <w:lang w:val="en-US" w:eastAsia="zh-CN" w:bidi="ar-SA"/>
              </w:rPr>
              <w:t>表1-</w:t>
            </w:r>
            <w:r>
              <w:rPr>
                <w:rFonts w:hint="eastAsia" w:ascii="Times New Roman" w:hAnsi="Times New Roman" w:eastAsia="宋体" w:cs="Times New Roman"/>
                <w:b/>
                <w:bCs/>
                <w:color w:val="auto"/>
                <w:kern w:val="2"/>
                <w:sz w:val="21"/>
                <w:szCs w:val="21"/>
                <w:lang w:val="en-US" w:eastAsia="zh-CN" w:bidi="ar-SA"/>
              </w:rPr>
              <w:t>8</w:t>
            </w:r>
            <w:r>
              <w:rPr>
                <w:rFonts w:ascii="Times New Roman" w:hAnsi="Times New Roman" w:eastAsia="宋体" w:cs="Times New Roman"/>
                <w:b/>
                <w:bCs/>
                <w:color w:val="auto"/>
                <w:kern w:val="2"/>
                <w:sz w:val="21"/>
                <w:szCs w:val="21"/>
                <w:lang w:val="en-US" w:eastAsia="zh-CN" w:bidi="ar-SA"/>
              </w:rPr>
              <w:t xml:space="preserve"> </w:t>
            </w:r>
            <w:r>
              <w:rPr>
                <w:rFonts w:hint="eastAsia" w:ascii="Times New Roman" w:hAnsi="Times New Roman" w:eastAsia="宋体" w:cs="Times New Roman"/>
                <w:b/>
                <w:bCs/>
                <w:color w:val="auto"/>
                <w:kern w:val="2"/>
                <w:sz w:val="21"/>
                <w:szCs w:val="21"/>
                <w:lang w:val="en-US" w:eastAsia="zh-CN" w:bidi="ar-SA"/>
              </w:rPr>
              <w:t xml:space="preserve"> 与</w:t>
            </w:r>
            <w:r>
              <w:rPr>
                <w:rFonts w:ascii="Times New Roman" w:hAnsi="Times New Roman" w:eastAsia="宋体" w:cs="Times New Roman"/>
                <w:b/>
                <w:bCs/>
                <w:color w:val="auto"/>
                <w:kern w:val="2"/>
                <w:sz w:val="21"/>
                <w:szCs w:val="21"/>
                <w:lang w:val="en-US" w:eastAsia="zh-CN" w:bidi="ar-SA"/>
              </w:rPr>
              <w:t>《四川省绿色环保搅拌站建设、管理和评价标准》符合性分析</w:t>
            </w:r>
          </w:p>
          <w:tbl>
            <w:tblPr>
              <w:tblStyle w:val="41"/>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3"/>
              <w:gridCol w:w="4010"/>
              <w:gridCol w:w="2683"/>
              <w:gridCol w:w="7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3" w:type="pct"/>
                  <w:noWrap w:val="0"/>
                  <w:vAlign w:val="center"/>
                </w:tcPr>
                <w:p>
                  <w:pPr>
                    <w:tabs>
                      <w:tab w:val="left" w:pos="600"/>
                    </w:tabs>
                    <w:jc w:val="center"/>
                    <w:rPr>
                      <w:b/>
                      <w:bCs/>
                      <w:color w:val="auto"/>
                    </w:rPr>
                  </w:pPr>
                  <w:r>
                    <w:rPr>
                      <w:b/>
                      <w:bCs/>
                      <w:color w:val="auto"/>
                    </w:rPr>
                    <w:t>条款</w:t>
                  </w:r>
                </w:p>
              </w:tc>
              <w:tc>
                <w:tcPr>
                  <w:tcW w:w="2357" w:type="pct"/>
                  <w:noWrap w:val="0"/>
                  <w:vAlign w:val="center"/>
                </w:tcPr>
                <w:p>
                  <w:pPr>
                    <w:tabs>
                      <w:tab w:val="left" w:pos="600"/>
                    </w:tabs>
                    <w:jc w:val="center"/>
                    <w:rPr>
                      <w:b/>
                      <w:bCs/>
                      <w:color w:val="auto"/>
                    </w:rPr>
                  </w:pPr>
                  <w:r>
                    <w:rPr>
                      <w:b/>
                      <w:bCs/>
                      <w:color w:val="auto"/>
                    </w:rPr>
                    <w:t>规范要求</w:t>
                  </w:r>
                </w:p>
              </w:tc>
              <w:tc>
                <w:tcPr>
                  <w:tcW w:w="1576" w:type="pct"/>
                  <w:noWrap w:val="0"/>
                  <w:vAlign w:val="center"/>
                </w:tcPr>
                <w:p>
                  <w:pPr>
                    <w:tabs>
                      <w:tab w:val="left" w:pos="600"/>
                    </w:tabs>
                    <w:jc w:val="center"/>
                    <w:rPr>
                      <w:b/>
                      <w:bCs/>
                      <w:color w:val="auto"/>
                    </w:rPr>
                  </w:pPr>
                  <w:r>
                    <w:rPr>
                      <w:b/>
                      <w:bCs/>
                      <w:color w:val="auto"/>
                    </w:rPr>
                    <w:t>符合性分析</w:t>
                  </w:r>
                </w:p>
              </w:tc>
              <w:tc>
                <w:tcPr>
                  <w:tcW w:w="422" w:type="pct"/>
                  <w:noWrap w:val="0"/>
                  <w:vAlign w:val="center"/>
                </w:tcPr>
                <w:p>
                  <w:pPr>
                    <w:tabs>
                      <w:tab w:val="left" w:pos="600"/>
                    </w:tabs>
                    <w:jc w:val="center"/>
                    <w:rPr>
                      <w:b/>
                      <w:bCs/>
                      <w:color w:val="auto"/>
                    </w:rPr>
                  </w:pPr>
                  <w:r>
                    <w:rPr>
                      <w:b/>
                      <w:bCs/>
                      <w:color w:val="auto"/>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3" w:type="pct"/>
                  <w:noWrap w:val="0"/>
                  <w:vAlign w:val="center"/>
                </w:tcPr>
                <w:p>
                  <w:pPr>
                    <w:tabs>
                      <w:tab w:val="left" w:pos="600"/>
                    </w:tabs>
                    <w:jc w:val="center"/>
                    <w:rPr>
                      <w:color w:val="auto"/>
                    </w:rPr>
                  </w:pPr>
                  <w:r>
                    <w:rPr>
                      <w:color w:val="auto"/>
                    </w:rPr>
                    <w:t>1</w:t>
                  </w:r>
                </w:p>
              </w:tc>
              <w:tc>
                <w:tcPr>
                  <w:tcW w:w="2357" w:type="pct"/>
                  <w:noWrap w:val="0"/>
                  <w:vAlign w:val="center"/>
                </w:tcPr>
                <w:p>
                  <w:pPr>
                    <w:tabs>
                      <w:tab w:val="left" w:pos="600"/>
                    </w:tabs>
                    <w:jc w:val="center"/>
                    <w:rPr>
                      <w:color w:val="auto"/>
                    </w:rPr>
                  </w:pPr>
                  <w:r>
                    <w:rPr>
                      <w:color w:val="auto"/>
                    </w:rPr>
                    <w:t>预拌混凝土搅拌站年产能规模应不小于3×10</w:t>
                  </w:r>
                  <w:r>
                    <w:rPr>
                      <w:color w:val="auto"/>
                      <w:vertAlign w:val="superscript"/>
                    </w:rPr>
                    <w:t>5</w:t>
                  </w:r>
                  <w:r>
                    <w:rPr>
                      <w:color w:val="auto"/>
                    </w:rPr>
                    <w:t>m</w:t>
                  </w:r>
                  <w:r>
                    <w:rPr>
                      <w:color w:val="auto"/>
                      <w:vertAlign w:val="superscript"/>
                    </w:rPr>
                    <w:t>3</w:t>
                  </w:r>
                  <w:r>
                    <w:rPr>
                      <w:color w:val="auto"/>
                    </w:rPr>
                    <w:t>。预拌砂浆搅拌站的湿拌砂浆年产能规模应不小于2×10</w:t>
                  </w:r>
                  <w:r>
                    <w:rPr>
                      <w:color w:val="auto"/>
                      <w:vertAlign w:val="superscript"/>
                    </w:rPr>
                    <w:t>5</w:t>
                  </w:r>
                  <w:r>
                    <w:rPr>
                      <w:color w:val="auto"/>
                    </w:rPr>
                    <w:t>m</w:t>
                  </w:r>
                  <w:r>
                    <w:rPr>
                      <w:color w:val="auto"/>
                      <w:vertAlign w:val="superscript"/>
                    </w:rPr>
                    <w:t>3</w:t>
                  </w:r>
                  <w:r>
                    <w:rPr>
                      <w:color w:val="auto"/>
                    </w:rPr>
                    <w:t>，干混砂浆年产能规模应不小于3×10</w:t>
                  </w:r>
                  <w:r>
                    <w:rPr>
                      <w:color w:val="auto"/>
                      <w:vertAlign w:val="superscript"/>
                    </w:rPr>
                    <w:t>5</w:t>
                  </w:r>
                  <w:r>
                    <w:rPr>
                      <w:color w:val="auto"/>
                    </w:rPr>
                    <w:t>t。搅拌站的年产能规模与生产线应相协调一致。</w:t>
                  </w:r>
                </w:p>
              </w:tc>
              <w:tc>
                <w:tcPr>
                  <w:tcW w:w="1576" w:type="pct"/>
                  <w:noWrap w:val="0"/>
                  <w:vAlign w:val="center"/>
                </w:tcPr>
                <w:p>
                  <w:pPr>
                    <w:tabs>
                      <w:tab w:val="left" w:pos="600"/>
                    </w:tabs>
                    <w:jc w:val="center"/>
                    <w:rPr>
                      <w:rFonts w:hint="eastAsia" w:eastAsia="宋体"/>
                      <w:color w:val="auto"/>
                      <w:lang w:eastAsia="zh-CN"/>
                    </w:rPr>
                  </w:pPr>
                  <w:r>
                    <w:rPr>
                      <w:rFonts w:hint="eastAsia"/>
                      <w:color w:val="auto"/>
                    </w:rPr>
                    <w:t>本项目</w:t>
                  </w:r>
                  <w:r>
                    <w:rPr>
                      <w:rFonts w:hint="eastAsia"/>
                      <w:color w:val="auto"/>
                      <w:lang w:eastAsia="zh-CN"/>
                    </w:rPr>
                    <w:t>为水稳层生产，不属于</w:t>
                  </w:r>
                  <w:r>
                    <w:rPr>
                      <w:color w:val="auto"/>
                    </w:rPr>
                    <w:t>预拌混凝土搅拌站</w:t>
                  </w:r>
                  <w:r>
                    <w:rPr>
                      <w:rFonts w:hint="eastAsia"/>
                      <w:color w:val="auto"/>
                      <w:lang w:eastAsia="zh-CN"/>
                    </w:rPr>
                    <w:t>、</w:t>
                  </w:r>
                  <w:r>
                    <w:rPr>
                      <w:color w:val="auto"/>
                    </w:rPr>
                    <w:t>预拌砂浆搅拌站</w:t>
                  </w:r>
                  <w:r>
                    <w:rPr>
                      <w:rFonts w:hint="eastAsia"/>
                      <w:color w:val="auto"/>
                      <w:lang w:eastAsia="zh-CN"/>
                    </w:rPr>
                    <w:t>。</w:t>
                  </w:r>
                </w:p>
              </w:tc>
              <w:tc>
                <w:tcPr>
                  <w:tcW w:w="422" w:type="pct"/>
                  <w:noWrap w:val="0"/>
                  <w:vAlign w:val="center"/>
                </w:tcPr>
                <w:p>
                  <w:pPr>
                    <w:tabs>
                      <w:tab w:val="left" w:pos="600"/>
                    </w:tabs>
                    <w:jc w:val="center"/>
                    <w:rPr>
                      <w:color w:val="auto"/>
                    </w:rPr>
                  </w:pPr>
                  <w:r>
                    <w:rPr>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3" w:type="pct"/>
                  <w:noWrap w:val="0"/>
                  <w:vAlign w:val="center"/>
                </w:tcPr>
                <w:p>
                  <w:pPr>
                    <w:tabs>
                      <w:tab w:val="left" w:pos="600"/>
                    </w:tabs>
                    <w:jc w:val="center"/>
                    <w:rPr>
                      <w:color w:val="auto"/>
                    </w:rPr>
                  </w:pPr>
                  <w:r>
                    <w:rPr>
                      <w:color w:val="auto"/>
                    </w:rPr>
                    <w:t>2</w:t>
                  </w:r>
                </w:p>
              </w:tc>
              <w:tc>
                <w:tcPr>
                  <w:tcW w:w="2357" w:type="pct"/>
                  <w:noWrap w:val="0"/>
                  <w:vAlign w:val="center"/>
                </w:tcPr>
                <w:p>
                  <w:pPr>
                    <w:tabs>
                      <w:tab w:val="left" w:pos="600"/>
                    </w:tabs>
                    <w:jc w:val="center"/>
                    <w:rPr>
                      <w:color w:val="auto"/>
                    </w:rPr>
                  </w:pPr>
                  <w:r>
                    <w:rPr>
                      <w:color w:val="auto"/>
                    </w:rPr>
                    <w:t>遵循以人为本、因地制宜和保护生态环境的绿色发展指导思想，按照以无粉尘污染、低噪音生产、废弃物零排放的绿色环保标准及绿色建材要求，进行规划设计、建设、生产和管理的新建、改建和扩建的预拌混凝土、预拌砂浆搅拌站。</w:t>
                  </w:r>
                </w:p>
              </w:tc>
              <w:tc>
                <w:tcPr>
                  <w:tcW w:w="1576" w:type="pct"/>
                  <w:noWrap w:val="0"/>
                  <w:vAlign w:val="center"/>
                </w:tcPr>
                <w:p>
                  <w:pPr>
                    <w:tabs>
                      <w:tab w:val="left" w:pos="600"/>
                    </w:tabs>
                    <w:jc w:val="center"/>
                    <w:rPr>
                      <w:rFonts w:hint="eastAsia"/>
                      <w:color w:val="auto"/>
                      <w:lang w:eastAsia="zh-CN"/>
                    </w:rPr>
                  </w:pPr>
                  <w:r>
                    <w:rPr>
                      <w:color w:val="auto"/>
                    </w:rPr>
                    <w:t>本项目产生的粉尘经过除尘器</w:t>
                  </w:r>
                  <w:r>
                    <w:rPr>
                      <w:rFonts w:hint="eastAsia"/>
                      <w:color w:val="auto"/>
                    </w:rPr>
                    <w:t>等</w:t>
                  </w:r>
                  <w:r>
                    <w:rPr>
                      <w:color w:val="auto"/>
                    </w:rPr>
                    <w:t>处理达标后排放；选用的是低噪声设备；生产废水循环使用，不外排</w:t>
                  </w:r>
                  <w:r>
                    <w:rPr>
                      <w:rFonts w:hint="eastAsia"/>
                      <w:color w:val="auto"/>
                      <w:lang w:eastAsia="zh-CN"/>
                    </w:rPr>
                    <w:t>。</w:t>
                  </w:r>
                </w:p>
              </w:tc>
              <w:tc>
                <w:tcPr>
                  <w:tcW w:w="422" w:type="pct"/>
                  <w:noWrap w:val="0"/>
                  <w:vAlign w:val="center"/>
                </w:tcPr>
                <w:p>
                  <w:pPr>
                    <w:tabs>
                      <w:tab w:val="left" w:pos="600"/>
                    </w:tabs>
                    <w:jc w:val="center"/>
                    <w:rPr>
                      <w:color w:val="auto"/>
                    </w:rPr>
                  </w:pPr>
                  <w:r>
                    <w:rPr>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43" w:type="pct"/>
                  <w:noWrap w:val="0"/>
                  <w:vAlign w:val="center"/>
                </w:tcPr>
                <w:p>
                  <w:pPr>
                    <w:tabs>
                      <w:tab w:val="left" w:pos="600"/>
                    </w:tabs>
                    <w:jc w:val="center"/>
                    <w:rPr>
                      <w:color w:val="auto"/>
                    </w:rPr>
                  </w:pPr>
                  <w:r>
                    <w:rPr>
                      <w:color w:val="auto"/>
                    </w:rPr>
                    <w:t>3</w:t>
                  </w:r>
                </w:p>
              </w:tc>
              <w:tc>
                <w:tcPr>
                  <w:tcW w:w="2357" w:type="pct"/>
                  <w:noWrap w:val="0"/>
                  <w:vAlign w:val="center"/>
                </w:tcPr>
                <w:p>
                  <w:pPr>
                    <w:tabs>
                      <w:tab w:val="left" w:pos="600"/>
                    </w:tabs>
                    <w:jc w:val="center"/>
                    <w:rPr>
                      <w:color w:val="auto"/>
                    </w:rPr>
                  </w:pPr>
                  <w:r>
                    <w:rPr>
                      <w:color w:val="auto"/>
                    </w:rPr>
                    <w:t>搅拌站的布局建设不应在风景名胜区、生态保护区、自然和文化遗产保护区、饮用水源保护区、城市建成区或非工业规划区内，不应破坏所在地区的自然风貌和生态环境。</w:t>
                  </w:r>
                </w:p>
              </w:tc>
              <w:tc>
                <w:tcPr>
                  <w:tcW w:w="1576" w:type="pct"/>
                  <w:noWrap w:val="0"/>
                  <w:vAlign w:val="center"/>
                </w:tcPr>
                <w:p>
                  <w:pPr>
                    <w:tabs>
                      <w:tab w:val="left" w:pos="600"/>
                    </w:tabs>
                    <w:jc w:val="center"/>
                    <w:rPr>
                      <w:rFonts w:hint="eastAsia"/>
                      <w:color w:val="auto"/>
                      <w:lang w:eastAsia="zh-CN"/>
                    </w:rPr>
                  </w:pPr>
                  <w:r>
                    <w:rPr>
                      <w:color w:val="auto"/>
                    </w:rPr>
                    <w:t>本项目不涉及风景名胜区、生态保护区、自然和文化遗产保护区、饮用水源保护区</w:t>
                  </w:r>
                  <w:r>
                    <w:rPr>
                      <w:rFonts w:hint="eastAsia"/>
                      <w:color w:val="auto"/>
                      <w:lang w:eastAsia="zh-CN"/>
                    </w:rPr>
                    <w:t>、</w:t>
                  </w:r>
                  <w:r>
                    <w:rPr>
                      <w:color w:val="auto"/>
                    </w:rPr>
                    <w:t>城市建成区等</w:t>
                  </w:r>
                  <w:r>
                    <w:rPr>
                      <w:rFonts w:hint="eastAsia"/>
                      <w:color w:val="auto"/>
                      <w:lang w:eastAsia="zh-CN"/>
                    </w:rPr>
                    <w:t>。</w:t>
                  </w:r>
                </w:p>
              </w:tc>
              <w:tc>
                <w:tcPr>
                  <w:tcW w:w="422" w:type="pct"/>
                  <w:noWrap w:val="0"/>
                  <w:vAlign w:val="center"/>
                </w:tcPr>
                <w:p>
                  <w:pPr>
                    <w:tabs>
                      <w:tab w:val="left" w:pos="600"/>
                    </w:tabs>
                    <w:jc w:val="center"/>
                    <w:rPr>
                      <w:color w:val="auto"/>
                    </w:rPr>
                  </w:pPr>
                  <w:r>
                    <w:rPr>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3" w:type="pct"/>
                  <w:noWrap w:val="0"/>
                  <w:vAlign w:val="center"/>
                </w:tcPr>
                <w:p>
                  <w:pPr>
                    <w:tabs>
                      <w:tab w:val="left" w:pos="600"/>
                    </w:tabs>
                    <w:jc w:val="center"/>
                    <w:rPr>
                      <w:color w:val="auto"/>
                    </w:rPr>
                  </w:pPr>
                  <w:r>
                    <w:rPr>
                      <w:color w:val="auto"/>
                    </w:rPr>
                    <w:t>4</w:t>
                  </w:r>
                </w:p>
              </w:tc>
              <w:tc>
                <w:tcPr>
                  <w:tcW w:w="2357" w:type="pct"/>
                  <w:noWrap w:val="0"/>
                  <w:vAlign w:val="center"/>
                </w:tcPr>
                <w:p>
                  <w:pPr>
                    <w:tabs>
                      <w:tab w:val="left" w:pos="600"/>
                    </w:tabs>
                    <w:jc w:val="center"/>
                    <w:rPr>
                      <w:color w:val="auto"/>
                    </w:rPr>
                  </w:pPr>
                  <w:r>
                    <w:rPr>
                      <w:color w:val="auto"/>
                    </w:rPr>
                    <w:t>站区内的生产、办公、生活及其他必要的设施应布局合理，功能分区明确，易于运营管理。</w:t>
                  </w:r>
                </w:p>
              </w:tc>
              <w:tc>
                <w:tcPr>
                  <w:tcW w:w="1576" w:type="pct"/>
                  <w:noWrap w:val="0"/>
                  <w:vAlign w:val="center"/>
                </w:tcPr>
                <w:p>
                  <w:pPr>
                    <w:tabs>
                      <w:tab w:val="left" w:pos="600"/>
                    </w:tabs>
                    <w:jc w:val="center"/>
                    <w:rPr>
                      <w:rFonts w:hint="eastAsia"/>
                      <w:color w:val="auto"/>
                      <w:lang w:eastAsia="zh-CN"/>
                    </w:rPr>
                  </w:pPr>
                  <w:r>
                    <w:rPr>
                      <w:color w:val="auto"/>
                    </w:rPr>
                    <w:t>办公和生产区分开设置</w:t>
                  </w:r>
                  <w:r>
                    <w:rPr>
                      <w:rFonts w:hint="eastAsia"/>
                      <w:color w:val="auto"/>
                      <w:lang w:eastAsia="zh-CN"/>
                    </w:rPr>
                    <w:t>。</w:t>
                  </w:r>
                </w:p>
              </w:tc>
              <w:tc>
                <w:tcPr>
                  <w:tcW w:w="422" w:type="pct"/>
                  <w:noWrap w:val="0"/>
                  <w:vAlign w:val="center"/>
                </w:tcPr>
                <w:p>
                  <w:pPr>
                    <w:tabs>
                      <w:tab w:val="left" w:pos="600"/>
                    </w:tabs>
                    <w:jc w:val="center"/>
                    <w:rPr>
                      <w:color w:val="auto"/>
                    </w:rPr>
                  </w:pPr>
                  <w:r>
                    <w:rPr>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3" w:type="pct"/>
                  <w:noWrap w:val="0"/>
                  <w:vAlign w:val="center"/>
                </w:tcPr>
                <w:p>
                  <w:pPr>
                    <w:tabs>
                      <w:tab w:val="left" w:pos="600"/>
                    </w:tabs>
                    <w:jc w:val="center"/>
                    <w:rPr>
                      <w:color w:val="auto"/>
                    </w:rPr>
                  </w:pPr>
                  <w:r>
                    <w:rPr>
                      <w:color w:val="auto"/>
                    </w:rPr>
                    <w:t>5</w:t>
                  </w:r>
                </w:p>
              </w:tc>
              <w:tc>
                <w:tcPr>
                  <w:tcW w:w="2357" w:type="pct"/>
                  <w:noWrap w:val="0"/>
                  <w:vAlign w:val="center"/>
                </w:tcPr>
                <w:p>
                  <w:pPr>
                    <w:tabs>
                      <w:tab w:val="left" w:pos="600"/>
                    </w:tabs>
                    <w:jc w:val="center"/>
                    <w:rPr>
                      <w:color w:val="auto"/>
                    </w:rPr>
                  </w:pPr>
                  <w:r>
                    <w:rPr>
                      <w:color w:val="auto"/>
                    </w:rPr>
                    <w:t>生产区应布置在当地常年主导风向的下风侧，办公及生活区应布置在当地常年主导风向的上风侧。站区周边应采用造型与整体环境相协调的围墙进行封闭维护。</w:t>
                  </w:r>
                </w:p>
              </w:tc>
              <w:tc>
                <w:tcPr>
                  <w:tcW w:w="1576" w:type="pct"/>
                  <w:noWrap w:val="0"/>
                  <w:vAlign w:val="center"/>
                </w:tcPr>
                <w:p>
                  <w:pPr>
                    <w:tabs>
                      <w:tab w:val="left" w:pos="600"/>
                    </w:tabs>
                    <w:jc w:val="center"/>
                    <w:rPr>
                      <w:rFonts w:hint="eastAsia"/>
                      <w:color w:val="auto"/>
                      <w:lang w:eastAsia="zh-CN"/>
                    </w:rPr>
                  </w:pPr>
                  <w:r>
                    <w:rPr>
                      <w:color w:val="auto"/>
                    </w:rPr>
                    <w:t>办公区</w:t>
                  </w:r>
                  <w:r>
                    <w:rPr>
                      <w:rFonts w:hint="eastAsia"/>
                      <w:color w:val="auto"/>
                    </w:rPr>
                    <w:t>不在</w:t>
                  </w:r>
                  <w:r>
                    <w:rPr>
                      <w:color w:val="auto"/>
                    </w:rPr>
                    <w:t>生产区</w:t>
                  </w:r>
                  <w:r>
                    <w:rPr>
                      <w:rFonts w:hint="eastAsia"/>
                      <w:color w:val="auto"/>
                    </w:rPr>
                    <w:t>下</w:t>
                  </w:r>
                  <w:r>
                    <w:rPr>
                      <w:color w:val="auto"/>
                    </w:rPr>
                    <w:t>风向，生产区全封闭</w:t>
                  </w:r>
                  <w:r>
                    <w:rPr>
                      <w:rFonts w:hint="eastAsia"/>
                      <w:color w:val="auto"/>
                      <w:lang w:eastAsia="zh-CN"/>
                    </w:rPr>
                    <w:t>。</w:t>
                  </w:r>
                </w:p>
              </w:tc>
              <w:tc>
                <w:tcPr>
                  <w:tcW w:w="422" w:type="pct"/>
                  <w:noWrap w:val="0"/>
                  <w:vAlign w:val="center"/>
                </w:tcPr>
                <w:p>
                  <w:pPr>
                    <w:tabs>
                      <w:tab w:val="left" w:pos="600"/>
                    </w:tabs>
                    <w:jc w:val="center"/>
                    <w:rPr>
                      <w:color w:val="auto"/>
                    </w:rPr>
                  </w:pPr>
                  <w:r>
                    <w:rPr>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3" w:type="pct"/>
                  <w:noWrap w:val="0"/>
                  <w:vAlign w:val="center"/>
                </w:tcPr>
                <w:p>
                  <w:pPr>
                    <w:tabs>
                      <w:tab w:val="left" w:pos="600"/>
                    </w:tabs>
                    <w:jc w:val="center"/>
                    <w:rPr>
                      <w:color w:val="auto"/>
                    </w:rPr>
                  </w:pPr>
                  <w:r>
                    <w:rPr>
                      <w:color w:val="auto"/>
                    </w:rPr>
                    <w:t>6</w:t>
                  </w:r>
                </w:p>
              </w:tc>
              <w:tc>
                <w:tcPr>
                  <w:tcW w:w="2357" w:type="pct"/>
                  <w:noWrap w:val="0"/>
                  <w:vAlign w:val="center"/>
                </w:tcPr>
                <w:p>
                  <w:pPr>
                    <w:tabs>
                      <w:tab w:val="left" w:pos="600"/>
                    </w:tabs>
                    <w:jc w:val="center"/>
                    <w:rPr>
                      <w:color w:val="auto"/>
                    </w:rPr>
                  </w:pPr>
                  <w:r>
                    <w:rPr>
                      <w:color w:val="auto"/>
                    </w:rPr>
                    <w:t>站区道路及生产作业区地面应采用不起尘的混凝土或沥青混凝土等硬质地面。生产作业区须采取有效措施保持场地整洁无扬尘，并应对未硬化处理的空地进行绿化。</w:t>
                  </w:r>
                </w:p>
              </w:tc>
              <w:tc>
                <w:tcPr>
                  <w:tcW w:w="1576" w:type="pct"/>
                  <w:noWrap w:val="0"/>
                  <w:vAlign w:val="center"/>
                </w:tcPr>
                <w:p>
                  <w:pPr>
                    <w:tabs>
                      <w:tab w:val="left" w:pos="600"/>
                    </w:tabs>
                    <w:jc w:val="center"/>
                    <w:rPr>
                      <w:rFonts w:hint="eastAsia"/>
                      <w:color w:val="auto"/>
                      <w:lang w:eastAsia="zh-CN"/>
                    </w:rPr>
                  </w:pPr>
                  <w:r>
                    <w:rPr>
                      <w:color w:val="auto"/>
                    </w:rPr>
                    <w:t>生产作业区地面采用混凝土地面，且生产区密</w:t>
                  </w:r>
                  <w:r>
                    <w:rPr>
                      <w:rFonts w:hint="eastAsia"/>
                      <w:color w:val="auto"/>
                      <w:lang w:eastAsia="zh-CN"/>
                    </w:rPr>
                    <w:t>。</w:t>
                  </w:r>
                </w:p>
              </w:tc>
              <w:tc>
                <w:tcPr>
                  <w:tcW w:w="422" w:type="pct"/>
                  <w:noWrap w:val="0"/>
                  <w:vAlign w:val="center"/>
                </w:tcPr>
                <w:p>
                  <w:pPr>
                    <w:tabs>
                      <w:tab w:val="left" w:pos="600"/>
                    </w:tabs>
                    <w:jc w:val="center"/>
                    <w:rPr>
                      <w:color w:val="auto"/>
                    </w:rPr>
                  </w:pPr>
                  <w:r>
                    <w:rPr>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3" w:type="pct"/>
                  <w:noWrap w:val="0"/>
                  <w:vAlign w:val="center"/>
                </w:tcPr>
                <w:p>
                  <w:pPr>
                    <w:tabs>
                      <w:tab w:val="left" w:pos="600"/>
                    </w:tabs>
                    <w:jc w:val="center"/>
                    <w:rPr>
                      <w:color w:val="auto"/>
                    </w:rPr>
                  </w:pPr>
                  <w:r>
                    <w:rPr>
                      <w:color w:val="auto"/>
                    </w:rPr>
                    <w:t>7</w:t>
                  </w:r>
                </w:p>
              </w:tc>
              <w:tc>
                <w:tcPr>
                  <w:tcW w:w="2357" w:type="pct"/>
                  <w:noWrap w:val="0"/>
                  <w:vAlign w:val="center"/>
                </w:tcPr>
                <w:p>
                  <w:pPr>
                    <w:tabs>
                      <w:tab w:val="left" w:pos="600"/>
                    </w:tabs>
                    <w:jc w:val="center"/>
                    <w:rPr>
                      <w:color w:val="auto"/>
                    </w:rPr>
                  </w:pPr>
                  <w:r>
                    <w:rPr>
                      <w:color w:val="auto"/>
                    </w:rPr>
                    <w:t>骨料堆场为封闭式堆场，进出口设置冲洗轮胎和喷淋降尘设施</w:t>
                  </w:r>
                  <w:r>
                    <w:rPr>
                      <w:rFonts w:hint="eastAsia"/>
                      <w:color w:val="auto"/>
                    </w:rPr>
                    <w:t>。</w:t>
                  </w:r>
                </w:p>
              </w:tc>
              <w:tc>
                <w:tcPr>
                  <w:tcW w:w="1576" w:type="pct"/>
                  <w:noWrap w:val="0"/>
                  <w:vAlign w:val="center"/>
                </w:tcPr>
                <w:p>
                  <w:pPr>
                    <w:tabs>
                      <w:tab w:val="left" w:pos="600"/>
                    </w:tabs>
                    <w:jc w:val="center"/>
                    <w:rPr>
                      <w:rFonts w:hint="eastAsia"/>
                      <w:color w:val="auto"/>
                      <w:lang w:eastAsia="zh-CN"/>
                    </w:rPr>
                  </w:pPr>
                  <w:r>
                    <w:rPr>
                      <w:color w:val="auto"/>
                    </w:rPr>
                    <w:t>堆场密闭，在</w:t>
                  </w:r>
                  <w:r>
                    <w:rPr>
                      <w:rFonts w:hint="eastAsia"/>
                      <w:color w:val="auto"/>
                    </w:rPr>
                    <w:t>厂区</w:t>
                  </w:r>
                  <w:r>
                    <w:rPr>
                      <w:color w:val="auto"/>
                    </w:rPr>
                    <w:t>出入口设置</w:t>
                  </w:r>
                  <w:r>
                    <w:rPr>
                      <w:rFonts w:hint="eastAsia"/>
                      <w:color w:val="auto"/>
                      <w:lang w:eastAsia="zh-CN"/>
                    </w:rPr>
                    <w:t>洗车池</w:t>
                  </w:r>
                  <w:r>
                    <w:rPr>
                      <w:color w:val="auto"/>
                    </w:rPr>
                    <w:t>，</w:t>
                  </w:r>
                  <w:r>
                    <w:rPr>
                      <w:rFonts w:hint="eastAsia"/>
                      <w:color w:val="auto"/>
                      <w:lang w:eastAsia="zh-CN"/>
                    </w:rPr>
                    <w:t>并</w:t>
                  </w:r>
                  <w:r>
                    <w:rPr>
                      <w:color w:val="auto"/>
                    </w:rPr>
                    <w:t>设置喷淋</w:t>
                  </w:r>
                  <w:r>
                    <w:rPr>
                      <w:rFonts w:hint="eastAsia"/>
                      <w:color w:val="auto"/>
                      <w:lang w:eastAsia="zh-CN"/>
                    </w:rPr>
                    <w:t>。</w:t>
                  </w:r>
                </w:p>
              </w:tc>
              <w:tc>
                <w:tcPr>
                  <w:tcW w:w="422" w:type="pct"/>
                  <w:noWrap w:val="0"/>
                  <w:vAlign w:val="center"/>
                </w:tcPr>
                <w:p>
                  <w:pPr>
                    <w:tabs>
                      <w:tab w:val="left" w:pos="600"/>
                    </w:tabs>
                    <w:jc w:val="center"/>
                    <w:rPr>
                      <w:color w:val="auto"/>
                    </w:rPr>
                  </w:pPr>
                  <w:r>
                    <w:rPr>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3" w:type="pct"/>
                  <w:noWrap w:val="0"/>
                  <w:vAlign w:val="center"/>
                </w:tcPr>
                <w:p>
                  <w:pPr>
                    <w:tabs>
                      <w:tab w:val="left" w:pos="600"/>
                    </w:tabs>
                    <w:jc w:val="center"/>
                    <w:rPr>
                      <w:color w:val="auto"/>
                    </w:rPr>
                  </w:pPr>
                  <w:r>
                    <w:rPr>
                      <w:color w:val="auto"/>
                    </w:rPr>
                    <w:t>8</w:t>
                  </w:r>
                </w:p>
              </w:tc>
              <w:tc>
                <w:tcPr>
                  <w:tcW w:w="2357" w:type="pct"/>
                  <w:noWrap w:val="0"/>
                  <w:vAlign w:val="center"/>
                </w:tcPr>
                <w:p>
                  <w:pPr>
                    <w:tabs>
                      <w:tab w:val="left" w:pos="600"/>
                    </w:tabs>
                    <w:jc w:val="center"/>
                    <w:rPr>
                      <w:color w:val="auto"/>
                    </w:rPr>
                  </w:pPr>
                  <w:r>
                    <w:rPr>
                      <w:color w:val="auto"/>
                    </w:rPr>
                    <w:t>站区内应根据搅拌站所在地区年平均降雨量设置适宜容积的雨水收集池，雨水经沉淀、净化后可根据实际需要再利用。</w:t>
                  </w:r>
                </w:p>
              </w:tc>
              <w:tc>
                <w:tcPr>
                  <w:tcW w:w="1576" w:type="pct"/>
                  <w:noWrap w:val="0"/>
                  <w:vAlign w:val="center"/>
                </w:tcPr>
                <w:p>
                  <w:pPr>
                    <w:tabs>
                      <w:tab w:val="left" w:pos="600"/>
                    </w:tabs>
                    <w:jc w:val="center"/>
                    <w:rPr>
                      <w:rFonts w:hint="eastAsia"/>
                      <w:color w:val="auto"/>
                      <w:lang w:eastAsia="zh-CN"/>
                    </w:rPr>
                  </w:pPr>
                  <w:r>
                    <w:rPr>
                      <w:color w:val="auto"/>
                    </w:rPr>
                    <w:t>雨水收集沉淀后回用</w:t>
                  </w:r>
                  <w:r>
                    <w:rPr>
                      <w:rFonts w:hint="eastAsia"/>
                      <w:color w:val="auto"/>
                      <w:lang w:val="en-US" w:eastAsia="zh-CN"/>
                    </w:rPr>
                    <w:t>于</w:t>
                  </w:r>
                  <w:r>
                    <w:rPr>
                      <w:color w:val="auto"/>
                    </w:rPr>
                    <w:t>生产</w:t>
                  </w:r>
                  <w:r>
                    <w:rPr>
                      <w:rFonts w:hint="eastAsia"/>
                      <w:color w:val="auto"/>
                      <w:lang w:eastAsia="zh-CN"/>
                    </w:rPr>
                    <w:t>。</w:t>
                  </w:r>
                </w:p>
              </w:tc>
              <w:tc>
                <w:tcPr>
                  <w:tcW w:w="422" w:type="pct"/>
                  <w:noWrap w:val="0"/>
                  <w:vAlign w:val="center"/>
                </w:tcPr>
                <w:p>
                  <w:pPr>
                    <w:tabs>
                      <w:tab w:val="left" w:pos="600"/>
                    </w:tabs>
                    <w:jc w:val="center"/>
                    <w:rPr>
                      <w:color w:val="auto"/>
                    </w:rPr>
                  </w:pPr>
                  <w:r>
                    <w:rPr>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3" w:type="pct"/>
                  <w:noWrap w:val="0"/>
                  <w:vAlign w:val="center"/>
                </w:tcPr>
                <w:p>
                  <w:pPr>
                    <w:tabs>
                      <w:tab w:val="left" w:pos="600"/>
                    </w:tabs>
                    <w:jc w:val="center"/>
                    <w:rPr>
                      <w:color w:val="auto"/>
                    </w:rPr>
                  </w:pPr>
                  <w:r>
                    <w:rPr>
                      <w:color w:val="auto"/>
                    </w:rPr>
                    <w:t>9</w:t>
                  </w:r>
                </w:p>
              </w:tc>
              <w:tc>
                <w:tcPr>
                  <w:tcW w:w="2357" w:type="pct"/>
                  <w:noWrap w:val="0"/>
                  <w:vAlign w:val="center"/>
                </w:tcPr>
                <w:p>
                  <w:pPr>
                    <w:tabs>
                      <w:tab w:val="left" w:pos="600"/>
                    </w:tabs>
                    <w:jc w:val="center"/>
                    <w:rPr>
                      <w:color w:val="auto"/>
                    </w:rPr>
                  </w:pPr>
                  <w:r>
                    <w:rPr>
                      <w:color w:val="auto"/>
                    </w:rPr>
                    <w:t>预拌混凝土、湿拌砂浆运输车应配备防撒漏装置和清洗装置</w:t>
                  </w:r>
                  <w:r>
                    <w:rPr>
                      <w:rFonts w:hint="eastAsia"/>
                      <w:color w:val="auto"/>
                      <w:lang w:eastAsia="zh-CN"/>
                    </w:rPr>
                    <w:t>，</w:t>
                  </w:r>
                  <w:r>
                    <w:rPr>
                      <w:color w:val="auto"/>
                    </w:rPr>
                    <w:t>干混砂浆移动筒仓应配备除尘装置。</w:t>
                  </w:r>
                </w:p>
              </w:tc>
              <w:tc>
                <w:tcPr>
                  <w:tcW w:w="1576" w:type="pct"/>
                  <w:noWrap w:val="0"/>
                  <w:vAlign w:val="center"/>
                </w:tcPr>
                <w:p>
                  <w:pPr>
                    <w:tabs>
                      <w:tab w:val="left" w:pos="600"/>
                    </w:tabs>
                    <w:jc w:val="center"/>
                    <w:rPr>
                      <w:rFonts w:hint="eastAsia"/>
                      <w:color w:val="auto"/>
                      <w:lang w:eastAsia="zh-CN"/>
                    </w:rPr>
                  </w:pPr>
                  <w:r>
                    <w:rPr>
                      <w:rFonts w:hint="eastAsia"/>
                      <w:color w:val="auto"/>
                      <w:lang w:eastAsia="zh-CN"/>
                    </w:rPr>
                    <w:t>水稳层采用专用罐车运输</w:t>
                  </w:r>
                  <w:r>
                    <w:rPr>
                      <w:color w:val="auto"/>
                    </w:rPr>
                    <w:t>，筒仓</w:t>
                  </w:r>
                  <w:r>
                    <w:rPr>
                      <w:rFonts w:hint="eastAsia"/>
                      <w:color w:val="auto"/>
                    </w:rPr>
                    <w:t>顶部自带</w:t>
                  </w:r>
                  <w:r>
                    <w:rPr>
                      <w:color w:val="auto"/>
                    </w:rPr>
                    <w:t>除尘装置</w:t>
                  </w:r>
                  <w:r>
                    <w:rPr>
                      <w:rFonts w:hint="eastAsia"/>
                      <w:color w:val="auto"/>
                      <w:lang w:eastAsia="zh-CN"/>
                    </w:rPr>
                    <w:t>。</w:t>
                  </w:r>
                </w:p>
              </w:tc>
              <w:tc>
                <w:tcPr>
                  <w:tcW w:w="422" w:type="pct"/>
                  <w:noWrap w:val="0"/>
                  <w:vAlign w:val="center"/>
                </w:tcPr>
                <w:p>
                  <w:pPr>
                    <w:tabs>
                      <w:tab w:val="left" w:pos="600"/>
                    </w:tabs>
                    <w:jc w:val="center"/>
                    <w:rPr>
                      <w:color w:val="auto"/>
                    </w:rPr>
                  </w:pPr>
                  <w:r>
                    <w:rPr>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3" w:type="pct"/>
                  <w:noWrap w:val="0"/>
                  <w:vAlign w:val="center"/>
                </w:tcPr>
                <w:p>
                  <w:pPr>
                    <w:tabs>
                      <w:tab w:val="left" w:pos="600"/>
                    </w:tabs>
                    <w:jc w:val="center"/>
                    <w:rPr>
                      <w:color w:val="auto"/>
                    </w:rPr>
                  </w:pPr>
                  <w:r>
                    <w:rPr>
                      <w:color w:val="auto"/>
                    </w:rPr>
                    <w:t>10</w:t>
                  </w:r>
                </w:p>
              </w:tc>
              <w:tc>
                <w:tcPr>
                  <w:tcW w:w="2357" w:type="pct"/>
                  <w:noWrap w:val="0"/>
                  <w:vAlign w:val="center"/>
                </w:tcPr>
                <w:p>
                  <w:pPr>
                    <w:tabs>
                      <w:tab w:val="left" w:pos="600"/>
                    </w:tabs>
                    <w:jc w:val="center"/>
                    <w:rPr>
                      <w:color w:val="auto"/>
                    </w:rPr>
                  </w:pPr>
                  <w:r>
                    <w:rPr>
                      <w:color w:val="auto"/>
                    </w:rPr>
                    <w:t>当采用压滤机对生产废水、废浆进行处理时，压滤后的废水、废浆应通过专用管道进入废水回收利用装置，压滤后的固体物应做无害化处理。</w:t>
                  </w:r>
                </w:p>
              </w:tc>
              <w:tc>
                <w:tcPr>
                  <w:tcW w:w="1576" w:type="pct"/>
                  <w:noWrap w:val="0"/>
                  <w:vAlign w:val="center"/>
                </w:tcPr>
                <w:p>
                  <w:pPr>
                    <w:tabs>
                      <w:tab w:val="left" w:pos="600"/>
                    </w:tabs>
                    <w:jc w:val="center"/>
                    <w:rPr>
                      <w:rFonts w:hint="eastAsia"/>
                      <w:color w:val="auto"/>
                      <w:lang w:eastAsia="zh-CN"/>
                    </w:rPr>
                  </w:pPr>
                  <w:r>
                    <w:rPr>
                      <w:color w:val="auto"/>
                    </w:rPr>
                    <w:t>生产废水经</w:t>
                  </w:r>
                  <w:r>
                    <w:rPr>
                      <w:rFonts w:hint="eastAsia"/>
                      <w:color w:val="auto"/>
                      <w:lang w:eastAsia="zh-CN"/>
                    </w:rPr>
                    <w:t>三级沉淀池</w:t>
                  </w:r>
                  <w:r>
                    <w:rPr>
                      <w:rFonts w:hint="eastAsia"/>
                      <w:color w:val="auto"/>
                    </w:rPr>
                    <w:t>处理</w:t>
                  </w:r>
                  <w:r>
                    <w:rPr>
                      <w:color w:val="auto"/>
                    </w:rPr>
                    <w:t>后回用于生产中</w:t>
                  </w:r>
                  <w:r>
                    <w:rPr>
                      <w:rFonts w:hint="eastAsia"/>
                      <w:color w:val="auto"/>
                      <w:lang w:eastAsia="zh-CN"/>
                    </w:rPr>
                    <w:t>，沉淀池底泥清掏回用。</w:t>
                  </w:r>
                </w:p>
              </w:tc>
              <w:tc>
                <w:tcPr>
                  <w:tcW w:w="422" w:type="pct"/>
                  <w:noWrap w:val="0"/>
                  <w:vAlign w:val="center"/>
                </w:tcPr>
                <w:p>
                  <w:pPr>
                    <w:tabs>
                      <w:tab w:val="left" w:pos="600"/>
                    </w:tabs>
                    <w:jc w:val="center"/>
                    <w:rPr>
                      <w:color w:val="auto"/>
                    </w:rPr>
                  </w:pPr>
                  <w:r>
                    <w:rPr>
                      <w:color w:val="auto"/>
                    </w:rPr>
                    <w:t>符合要求</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ascii="Times New Roman" w:hAnsi="Times New Roman" w:eastAsia="宋体" w:cs="Times New Roman"/>
                <w:b/>
                <w:bCs/>
                <w:color w:val="auto"/>
                <w:kern w:val="2"/>
                <w:sz w:val="21"/>
                <w:szCs w:val="21"/>
                <w:lang w:val="en-US" w:eastAsia="zh-CN" w:bidi="ar-SA"/>
              </w:rPr>
            </w:pPr>
            <w:r>
              <w:rPr>
                <w:rFonts w:ascii="Times New Roman" w:hAnsi="Times New Roman" w:eastAsia="宋体" w:cs="Times New Roman"/>
                <w:b/>
                <w:bCs/>
                <w:color w:val="auto"/>
                <w:kern w:val="2"/>
                <w:sz w:val="21"/>
                <w:szCs w:val="21"/>
                <w:lang w:val="en-US" w:eastAsia="zh-CN" w:bidi="ar-SA"/>
              </w:rPr>
              <w:t>表1-</w:t>
            </w:r>
            <w:r>
              <w:rPr>
                <w:rFonts w:hint="eastAsia" w:ascii="Times New Roman" w:hAnsi="Times New Roman" w:eastAsia="宋体" w:cs="Times New Roman"/>
                <w:b/>
                <w:bCs/>
                <w:color w:val="auto"/>
                <w:kern w:val="2"/>
                <w:sz w:val="21"/>
                <w:szCs w:val="21"/>
                <w:lang w:val="en-US" w:eastAsia="zh-CN" w:bidi="ar-SA"/>
              </w:rPr>
              <w:t>9  与</w:t>
            </w:r>
            <w:r>
              <w:rPr>
                <w:rFonts w:ascii="Times New Roman" w:hAnsi="Times New Roman" w:eastAsia="宋体" w:cs="Times New Roman"/>
                <w:b/>
                <w:bCs/>
                <w:color w:val="auto"/>
                <w:kern w:val="2"/>
                <w:sz w:val="21"/>
                <w:szCs w:val="21"/>
                <w:lang w:val="en-US" w:eastAsia="zh-CN" w:bidi="ar-SA"/>
              </w:rPr>
              <w:t>《四川省散装水泥管理条例》符合性分析</w:t>
            </w:r>
          </w:p>
          <w:tbl>
            <w:tblPr>
              <w:tblStyle w:val="4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5"/>
              <w:gridCol w:w="4010"/>
              <w:gridCol w:w="2682"/>
              <w:gridCol w:w="7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3" w:type="pct"/>
                  <w:noWrap w:val="0"/>
                  <w:vAlign w:val="center"/>
                </w:tcPr>
                <w:p>
                  <w:pPr>
                    <w:tabs>
                      <w:tab w:val="left" w:pos="600"/>
                    </w:tabs>
                    <w:jc w:val="center"/>
                    <w:rPr>
                      <w:b/>
                      <w:bCs/>
                      <w:color w:val="auto"/>
                    </w:rPr>
                  </w:pPr>
                  <w:r>
                    <w:rPr>
                      <w:b/>
                      <w:bCs/>
                      <w:color w:val="auto"/>
                    </w:rPr>
                    <w:t>条款</w:t>
                  </w:r>
                </w:p>
              </w:tc>
              <w:tc>
                <w:tcPr>
                  <w:tcW w:w="2356" w:type="pct"/>
                  <w:noWrap w:val="0"/>
                  <w:vAlign w:val="center"/>
                </w:tcPr>
                <w:p>
                  <w:pPr>
                    <w:tabs>
                      <w:tab w:val="left" w:pos="600"/>
                    </w:tabs>
                    <w:jc w:val="center"/>
                    <w:rPr>
                      <w:b/>
                      <w:bCs/>
                      <w:color w:val="auto"/>
                    </w:rPr>
                  </w:pPr>
                  <w:r>
                    <w:rPr>
                      <w:b/>
                      <w:bCs/>
                      <w:color w:val="auto"/>
                    </w:rPr>
                    <w:t>规范要求</w:t>
                  </w:r>
                </w:p>
              </w:tc>
              <w:tc>
                <w:tcPr>
                  <w:tcW w:w="1576" w:type="pct"/>
                  <w:noWrap w:val="0"/>
                  <w:vAlign w:val="center"/>
                </w:tcPr>
                <w:p>
                  <w:pPr>
                    <w:tabs>
                      <w:tab w:val="left" w:pos="600"/>
                    </w:tabs>
                    <w:jc w:val="center"/>
                    <w:rPr>
                      <w:b/>
                      <w:bCs/>
                      <w:color w:val="auto"/>
                    </w:rPr>
                  </w:pPr>
                  <w:r>
                    <w:rPr>
                      <w:b/>
                      <w:bCs/>
                      <w:color w:val="auto"/>
                    </w:rPr>
                    <w:t>符合性分析</w:t>
                  </w:r>
                </w:p>
              </w:tc>
              <w:tc>
                <w:tcPr>
                  <w:tcW w:w="424" w:type="pct"/>
                  <w:noWrap w:val="0"/>
                  <w:vAlign w:val="center"/>
                </w:tcPr>
                <w:p>
                  <w:pPr>
                    <w:tabs>
                      <w:tab w:val="left" w:pos="600"/>
                    </w:tabs>
                    <w:jc w:val="center"/>
                    <w:rPr>
                      <w:b/>
                      <w:bCs/>
                      <w:color w:val="auto"/>
                    </w:rPr>
                  </w:pPr>
                  <w:r>
                    <w:rPr>
                      <w:b/>
                      <w:bCs/>
                      <w:color w:val="auto"/>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3" w:type="pct"/>
                  <w:noWrap w:val="0"/>
                  <w:vAlign w:val="center"/>
                </w:tcPr>
                <w:p>
                  <w:pPr>
                    <w:tabs>
                      <w:tab w:val="left" w:pos="600"/>
                    </w:tabs>
                    <w:jc w:val="center"/>
                    <w:rPr>
                      <w:color w:val="auto"/>
                    </w:rPr>
                  </w:pPr>
                  <w:r>
                    <w:rPr>
                      <w:color w:val="auto"/>
                    </w:rPr>
                    <w:t>1</w:t>
                  </w:r>
                </w:p>
              </w:tc>
              <w:tc>
                <w:tcPr>
                  <w:tcW w:w="2356" w:type="pct"/>
                  <w:noWrap w:val="0"/>
                  <w:vAlign w:val="center"/>
                </w:tcPr>
                <w:p>
                  <w:pPr>
                    <w:tabs>
                      <w:tab w:val="left" w:pos="600"/>
                    </w:tabs>
                    <w:jc w:val="center"/>
                    <w:rPr>
                      <w:color w:val="auto"/>
                    </w:rPr>
                  </w:pPr>
                  <w:r>
                    <w:rPr>
                      <w:color w:val="auto"/>
                    </w:rPr>
                    <w:t>新建、改建预拌混凝土和预拌砂浆搅拌站，应当按照无粉尘污染、低噪音生产、废弃物零排放的绿色环保标准进行设计和建设。</w:t>
                  </w:r>
                </w:p>
              </w:tc>
              <w:tc>
                <w:tcPr>
                  <w:tcW w:w="1576" w:type="pct"/>
                  <w:noWrap w:val="0"/>
                  <w:vAlign w:val="center"/>
                </w:tcPr>
                <w:p>
                  <w:pPr>
                    <w:tabs>
                      <w:tab w:val="left" w:pos="600"/>
                    </w:tabs>
                    <w:jc w:val="center"/>
                    <w:rPr>
                      <w:color w:val="auto"/>
                    </w:rPr>
                  </w:pPr>
                  <w:r>
                    <w:rPr>
                      <w:color w:val="auto"/>
                    </w:rPr>
                    <w:t>本项目产生的粉尘经过除尘器</w:t>
                  </w:r>
                  <w:r>
                    <w:rPr>
                      <w:rFonts w:hint="eastAsia"/>
                      <w:color w:val="auto"/>
                    </w:rPr>
                    <w:t>等措施</w:t>
                  </w:r>
                  <w:r>
                    <w:rPr>
                      <w:color w:val="auto"/>
                    </w:rPr>
                    <w:t>处理达标后排放；选用的是低噪声设备；生产废水循环使用，不外排。</w:t>
                  </w:r>
                </w:p>
              </w:tc>
              <w:tc>
                <w:tcPr>
                  <w:tcW w:w="424" w:type="pct"/>
                  <w:noWrap w:val="0"/>
                  <w:vAlign w:val="center"/>
                </w:tcPr>
                <w:p>
                  <w:pPr>
                    <w:tabs>
                      <w:tab w:val="left" w:pos="600"/>
                    </w:tabs>
                    <w:jc w:val="center"/>
                    <w:rPr>
                      <w:color w:val="auto"/>
                    </w:rPr>
                  </w:pPr>
                  <w:r>
                    <w:rPr>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3" w:type="pct"/>
                  <w:noWrap w:val="0"/>
                  <w:vAlign w:val="center"/>
                </w:tcPr>
                <w:p>
                  <w:pPr>
                    <w:tabs>
                      <w:tab w:val="left" w:pos="600"/>
                    </w:tabs>
                    <w:jc w:val="center"/>
                    <w:rPr>
                      <w:color w:val="auto"/>
                    </w:rPr>
                  </w:pPr>
                  <w:r>
                    <w:rPr>
                      <w:color w:val="auto"/>
                    </w:rPr>
                    <w:t>2</w:t>
                  </w:r>
                </w:p>
              </w:tc>
              <w:tc>
                <w:tcPr>
                  <w:tcW w:w="2356" w:type="pct"/>
                  <w:noWrap w:val="0"/>
                  <w:vAlign w:val="center"/>
                </w:tcPr>
                <w:p>
                  <w:pPr>
                    <w:tabs>
                      <w:tab w:val="left" w:pos="600"/>
                    </w:tabs>
                    <w:jc w:val="center"/>
                    <w:rPr>
                      <w:color w:val="auto"/>
                    </w:rPr>
                  </w:pPr>
                  <w:r>
                    <w:rPr>
                      <w:color w:val="auto"/>
                    </w:rPr>
                    <w:t>鼓励企业建立规模化、专业化的散装水泥、预拌混凝土和预拌砂浆现代运输服务体系。</w:t>
                  </w:r>
                </w:p>
              </w:tc>
              <w:tc>
                <w:tcPr>
                  <w:tcW w:w="1576" w:type="pct"/>
                  <w:noWrap w:val="0"/>
                  <w:vAlign w:val="center"/>
                </w:tcPr>
                <w:p>
                  <w:pPr>
                    <w:tabs>
                      <w:tab w:val="left" w:pos="600"/>
                    </w:tabs>
                    <w:jc w:val="center"/>
                    <w:rPr>
                      <w:rFonts w:hint="default"/>
                      <w:color w:val="auto"/>
                      <w:lang w:val="en-US" w:eastAsia="zh-CN"/>
                    </w:rPr>
                  </w:pPr>
                  <w:r>
                    <w:rPr>
                      <w:rFonts w:hint="eastAsia"/>
                      <w:color w:val="auto"/>
                      <w:lang w:eastAsia="zh-CN"/>
                    </w:rPr>
                    <w:t>本项目年产</w:t>
                  </w:r>
                  <w:r>
                    <w:rPr>
                      <w:rFonts w:hint="eastAsia"/>
                      <w:color w:val="auto"/>
                      <w:lang w:val="en-US" w:eastAsia="zh-CN"/>
                    </w:rPr>
                    <w:t>8万t水稳层，采用已有国内先进技术。</w:t>
                  </w:r>
                </w:p>
              </w:tc>
              <w:tc>
                <w:tcPr>
                  <w:tcW w:w="424" w:type="pct"/>
                  <w:noWrap w:val="0"/>
                  <w:vAlign w:val="center"/>
                </w:tcPr>
                <w:p>
                  <w:pPr>
                    <w:tabs>
                      <w:tab w:val="left" w:pos="600"/>
                    </w:tabs>
                    <w:jc w:val="center"/>
                    <w:rPr>
                      <w:color w:val="auto"/>
                    </w:rPr>
                  </w:pPr>
                  <w:r>
                    <w:rPr>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3" w:type="pct"/>
                  <w:noWrap w:val="0"/>
                  <w:vAlign w:val="center"/>
                </w:tcPr>
                <w:p>
                  <w:pPr>
                    <w:tabs>
                      <w:tab w:val="left" w:pos="600"/>
                    </w:tabs>
                    <w:jc w:val="center"/>
                    <w:rPr>
                      <w:color w:val="auto"/>
                    </w:rPr>
                  </w:pPr>
                  <w:r>
                    <w:rPr>
                      <w:color w:val="auto"/>
                    </w:rPr>
                    <w:t>3</w:t>
                  </w:r>
                </w:p>
              </w:tc>
              <w:tc>
                <w:tcPr>
                  <w:tcW w:w="2356" w:type="pct"/>
                  <w:noWrap w:val="0"/>
                  <w:vAlign w:val="center"/>
                </w:tcPr>
                <w:p>
                  <w:pPr>
                    <w:tabs>
                      <w:tab w:val="left" w:pos="600"/>
                    </w:tabs>
                    <w:jc w:val="center"/>
                    <w:rPr>
                      <w:color w:val="auto"/>
                    </w:rPr>
                  </w:pPr>
                  <w:r>
                    <w:rPr>
                      <w:color w:val="auto"/>
                    </w:rPr>
                    <w:t>输散装水泥、预拌混凝土和预拌砂浆应当使用符合国家标准的专用车辆。</w:t>
                  </w:r>
                </w:p>
              </w:tc>
              <w:tc>
                <w:tcPr>
                  <w:tcW w:w="1576" w:type="pct"/>
                  <w:noWrap w:val="0"/>
                  <w:vAlign w:val="center"/>
                </w:tcPr>
                <w:p>
                  <w:pPr>
                    <w:tabs>
                      <w:tab w:val="left" w:pos="600"/>
                    </w:tabs>
                    <w:jc w:val="center"/>
                    <w:rPr>
                      <w:rFonts w:hint="eastAsia"/>
                      <w:color w:val="auto"/>
                      <w:lang w:eastAsia="zh-CN"/>
                    </w:rPr>
                  </w:pPr>
                  <w:r>
                    <w:rPr>
                      <w:color w:val="auto"/>
                    </w:rPr>
                    <w:t>配备专用运输车辆</w:t>
                  </w:r>
                  <w:r>
                    <w:rPr>
                      <w:rFonts w:hint="eastAsia"/>
                      <w:color w:val="auto"/>
                      <w:lang w:eastAsia="zh-CN"/>
                    </w:rPr>
                    <w:t>。</w:t>
                  </w:r>
                </w:p>
              </w:tc>
              <w:tc>
                <w:tcPr>
                  <w:tcW w:w="424" w:type="pct"/>
                  <w:noWrap w:val="0"/>
                  <w:vAlign w:val="center"/>
                </w:tcPr>
                <w:p>
                  <w:pPr>
                    <w:tabs>
                      <w:tab w:val="left" w:pos="600"/>
                    </w:tabs>
                    <w:jc w:val="center"/>
                    <w:rPr>
                      <w:color w:val="auto"/>
                    </w:rPr>
                  </w:pPr>
                  <w:r>
                    <w:rPr>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3" w:type="pct"/>
                  <w:noWrap w:val="0"/>
                  <w:vAlign w:val="center"/>
                </w:tcPr>
                <w:p>
                  <w:pPr>
                    <w:tabs>
                      <w:tab w:val="left" w:pos="600"/>
                    </w:tabs>
                    <w:jc w:val="center"/>
                    <w:rPr>
                      <w:color w:val="auto"/>
                    </w:rPr>
                  </w:pPr>
                  <w:r>
                    <w:rPr>
                      <w:color w:val="auto"/>
                    </w:rPr>
                    <w:t>4</w:t>
                  </w:r>
                </w:p>
              </w:tc>
              <w:tc>
                <w:tcPr>
                  <w:tcW w:w="2356" w:type="pct"/>
                  <w:noWrap w:val="0"/>
                  <w:vAlign w:val="center"/>
                </w:tcPr>
                <w:p>
                  <w:pPr>
                    <w:tabs>
                      <w:tab w:val="left" w:pos="600"/>
                    </w:tabs>
                    <w:jc w:val="center"/>
                    <w:rPr>
                      <w:color w:val="auto"/>
                    </w:rPr>
                  </w:pPr>
                  <w:r>
                    <w:rPr>
                      <w:color w:val="auto"/>
                    </w:rPr>
                    <w:t>企业生产预拌混凝土、预拌砂浆和混凝土预制构件，应当全部使用散装水泥。</w:t>
                  </w:r>
                </w:p>
              </w:tc>
              <w:tc>
                <w:tcPr>
                  <w:tcW w:w="1576" w:type="pct"/>
                  <w:noWrap w:val="0"/>
                  <w:vAlign w:val="center"/>
                </w:tcPr>
                <w:p>
                  <w:pPr>
                    <w:tabs>
                      <w:tab w:val="left" w:pos="600"/>
                    </w:tabs>
                    <w:jc w:val="center"/>
                    <w:rPr>
                      <w:rFonts w:hint="eastAsia"/>
                      <w:color w:val="auto"/>
                      <w:lang w:eastAsia="zh-CN"/>
                    </w:rPr>
                  </w:pPr>
                  <w:r>
                    <w:rPr>
                      <w:color w:val="auto"/>
                    </w:rPr>
                    <w:t>使用散装水泥</w:t>
                  </w:r>
                  <w:r>
                    <w:rPr>
                      <w:rFonts w:hint="eastAsia"/>
                      <w:color w:val="auto"/>
                    </w:rPr>
                    <w:t>，在生产车间设置有筒仓储存</w:t>
                  </w:r>
                  <w:r>
                    <w:rPr>
                      <w:rFonts w:hint="eastAsia"/>
                      <w:color w:val="auto"/>
                      <w:lang w:eastAsia="zh-CN"/>
                    </w:rPr>
                    <w:t>。</w:t>
                  </w:r>
                </w:p>
              </w:tc>
              <w:tc>
                <w:tcPr>
                  <w:tcW w:w="424" w:type="pct"/>
                  <w:noWrap w:val="0"/>
                  <w:vAlign w:val="center"/>
                </w:tcPr>
                <w:p>
                  <w:pPr>
                    <w:tabs>
                      <w:tab w:val="left" w:pos="600"/>
                    </w:tabs>
                    <w:jc w:val="center"/>
                    <w:rPr>
                      <w:color w:val="auto"/>
                    </w:rPr>
                  </w:pPr>
                  <w:r>
                    <w:rPr>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3" w:type="pct"/>
                  <w:noWrap w:val="0"/>
                  <w:vAlign w:val="center"/>
                </w:tcPr>
                <w:p>
                  <w:pPr>
                    <w:tabs>
                      <w:tab w:val="left" w:pos="600"/>
                    </w:tabs>
                    <w:jc w:val="center"/>
                    <w:rPr>
                      <w:color w:val="auto"/>
                    </w:rPr>
                  </w:pPr>
                  <w:r>
                    <w:rPr>
                      <w:color w:val="auto"/>
                    </w:rPr>
                    <w:t>5</w:t>
                  </w:r>
                </w:p>
              </w:tc>
              <w:tc>
                <w:tcPr>
                  <w:tcW w:w="2356" w:type="pct"/>
                  <w:noWrap w:val="0"/>
                  <w:vAlign w:val="center"/>
                </w:tcPr>
                <w:p>
                  <w:pPr>
                    <w:tabs>
                      <w:tab w:val="left" w:pos="600"/>
                    </w:tabs>
                    <w:jc w:val="center"/>
                    <w:rPr>
                      <w:color w:val="auto"/>
                    </w:rPr>
                  </w:pPr>
                  <w:r>
                    <w:rPr>
                      <w:color w:val="auto"/>
                    </w:rPr>
                    <w:t>新建、改建、扩建预拌混凝土和预拌砂浆生产项目应当符合当地散装水泥发展应用专项规划，进行环境影响评价。</w:t>
                  </w:r>
                </w:p>
              </w:tc>
              <w:tc>
                <w:tcPr>
                  <w:tcW w:w="1576" w:type="pct"/>
                  <w:noWrap w:val="0"/>
                  <w:vAlign w:val="center"/>
                </w:tcPr>
                <w:p>
                  <w:pPr>
                    <w:tabs>
                      <w:tab w:val="left" w:pos="600"/>
                    </w:tabs>
                    <w:jc w:val="center"/>
                    <w:rPr>
                      <w:rFonts w:hint="eastAsia" w:eastAsia="宋体"/>
                      <w:color w:val="auto"/>
                      <w:lang w:eastAsia="zh-CN"/>
                    </w:rPr>
                  </w:pPr>
                  <w:r>
                    <w:rPr>
                      <w:rFonts w:hint="eastAsia"/>
                      <w:color w:val="auto"/>
                      <w:lang w:eastAsia="zh-CN"/>
                    </w:rPr>
                    <w:t>本项目为水稳层生产，不属于</w:t>
                  </w:r>
                  <w:r>
                    <w:rPr>
                      <w:color w:val="auto"/>
                    </w:rPr>
                    <w:t>预拌混凝土和预拌砂浆</w:t>
                  </w:r>
                  <w:r>
                    <w:rPr>
                      <w:rFonts w:hint="eastAsia"/>
                      <w:color w:val="auto"/>
                      <w:lang w:eastAsia="zh-CN"/>
                    </w:rPr>
                    <w:t>，正在进行环境影响评价工作</w:t>
                  </w:r>
                </w:p>
              </w:tc>
              <w:tc>
                <w:tcPr>
                  <w:tcW w:w="424" w:type="pct"/>
                  <w:noWrap w:val="0"/>
                  <w:vAlign w:val="center"/>
                </w:tcPr>
                <w:p>
                  <w:pPr>
                    <w:tabs>
                      <w:tab w:val="left" w:pos="600"/>
                    </w:tabs>
                    <w:jc w:val="center"/>
                    <w:rPr>
                      <w:color w:val="auto"/>
                    </w:rPr>
                  </w:pPr>
                  <w:r>
                    <w:rPr>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3" w:type="pct"/>
                  <w:noWrap w:val="0"/>
                  <w:vAlign w:val="center"/>
                </w:tcPr>
                <w:p>
                  <w:pPr>
                    <w:tabs>
                      <w:tab w:val="left" w:pos="600"/>
                    </w:tabs>
                    <w:jc w:val="center"/>
                    <w:rPr>
                      <w:color w:val="auto"/>
                    </w:rPr>
                  </w:pPr>
                  <w:r>
                    <w:rPr>
                      <w:color w:val="auto"/>
                    </w:rPr>
                    <w:t>6</w:t>
                  </w:r>
                </w:p>
              </w:tc>
              <w:tc>
                <w:tcPr>
                  <w:tcW w:w="2356" w:type="pct"/>
                  <w:noWrap w:val="0"/>
                  <w:vAlign w:val="center"/>
                </w:tcPr>
                <w:p>
                  <w:pPr>
                    <w:tabs>
                      <w:tab w:val="left" w:pos="600"/>
                    </w:tabs>
                    <w:jc w:val="center"/>
                    <w:rPr>
                      <w:color w:val="auto"/>
                    </w:rPr>
                  </w:pPr>
                  <w:r>
                    <w:rPr>
                      <w:color w:val="auto"/>
                    </w:rPr>
                    <w:t>预拌砂浆生产企业应当按照国家有关规定向所在市（州）散装水泥管理机构登记备案。生产和应用应当符合国家和省相关技术标准、规程。</w:t>
                  </w:r>
                </w:p>
              </w:tc>
              <w:tc>
                <w:tcPr>
                  <w:tcW w:w="1576" w:type="pct"/>
                  <w:noWrap w:val="0"/>
                  <w:vAlign w:val="center"/>
                </w:tcPr>
                <w:p>
                  <w:pPr>
                    <w:tabs>
                      <w:tab w:val="left" w:pos="600"/>
                    </w:tabs>
                    <w:jc w:val="center"/>
                    <w:rPr>
                      <w:rFonts w:hint="eastAsia" w:eastAsia="宋体"/>
                      <w:color w:val="auto"/>
                      <w:lang w:eastAsia="zh-CN"/>
                    </w:rPr>
                  </w:pPr>
                  <w:r>
                    <w:rPr>
                      <w:rFonts w:hint="eastAsia"/>
                      <w:color w:val="auto"/>
                      <w:lang w:eastAsia="zh-CN"/>
                    </w:rPr>
                    <w:t>本项目为水稳层生产，不属于</w:t>
                  </w:r>
                  <w:r>
                    <w:rPr>
                      <w:color w:val="auto"/>
                    </w:rPr>
                    <w:t>预拌混凝土和预拌砂浆</w:t>
                  </w:r>
                  <w:r>
                    <w:rPr>
                      <w:rFonts w:hint="eastAsia"/>
                      <w:color w:val="auto"/>
                      <w:lang w:eastAsia="zh-CN"/>
                    </w:rPr>
                    <w:t>。</w:t>
                  </w:r>
                </w:p>
              </w:tc>
              <w:tc>
                <w:tcPr>
                  <w:tcW w:w="424" w:type="pct"/>
                  <w:noWrap w:val="0"/>
                  <w:vAlign w:val="center"/>
                </w:tcPr>
                <w:p>
                  <w:pPr>
                    <w:tabs>
                      <w:tab w:val="left" w:pos="600"/>
                    </w:tabs>
                    <w:jc w:val="center"/>
                    <w:rPr>
                      <w:color w:val="auto"/>
                    </w:rPr>
                  </w:pPr>
                  <w:r>
                    <w:rPr>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3" w:type="pct"/>
                  <w:noWrap w:val="0"/>
                  <w:vAlign w:val="center"/>
                </w:tcPr>
                <w:p>
                  <w:pPr>
                    <w:tabs>
                      <w:tab w:val="left" w:pos="600"/>
                    </w:tabs>
                    <w:jc w:val="center"/>
                    <w:rPr>
                      <w:color w:val="auto"/>
                    </w:rPr>
                  </w:pPr>
                  <w:r>
                    <w:rPr>
                      <w:color w:val="auto"/>
                    </w:rPr>
                    <w:t>7</w:t>
                  </w:r>
                </w:p>
              </w:tc>
              <w:tc>
                <w:tcPr>
                  <w:tcW w:w="2356" w:type="pct"/>
                  <w:noWrap w:val="0"/>
                  <w:vAlign w:val="center"/>
                </w:tcPr>
                <w:p>
                  <w:pPr>
                    <w:tabs>
                      <w:tab w:val="left" w:pos="600"/>
                    </w:tabs>
                    <w:jc w:val="center"/>
                    <w:rPr>
                      <w:color w:val="auto"/>
                    </w:rPr>
                  </w:pPr>
                  <w:r>
                    <w:rPr>
                      <w:color w:val="auto"/>
                    </w:rPr>
                    <w:t>散装水泥、预拌混凝土、预拌砂浆和混凝土预制构件生产企业应当建立健全质量控制体系，严格质量和计量管理，产品应当符合质量标准和计量要求。</w:t>
                  </w:r>
                </w:p>
              </w:tc>
              <w:tc>
                <w:tcPr>
                  <w:tcW w:w="1576" w:type="pct"/>
                  <w:noWrap w:val="0"/>
                  <w:vAlign w:val="center"/>
                </w:tcPr>
                <w:p>
                  <w:pPr>
                    <w:tabs>
                      <w:tab w:val="left" w:pos="600"/>
                    </w:tabs>
                    <w:jc w:val="center"/>
                    <w:rPr>
                      <w:rFonts w:hint="eastAsia"/>
                      <w:color w:val="auto"/>
                      <w:lang w:eastAsia="zh-CN"/>
                    </w:rPr>
                  </w:pPr>
                  <w:r>
                    <w:rPr>
                      <w:color w:val="auto"/>
                    </w:rPr>
                    <w:t>督促企业后期建立健全质量控制体系，严格质量和计量管理，产品应当符合质量标准和计量要求</w:t>
                  </w:r>
                  <w:r>
                    <w:rPr>
                      <w:rFonts w:hint="eastAsia"/>
                      <w:color w:val="auto"/>
                      <w:lang w:eastAsia="zh-CN"/>
                    </w:rPr>
                    <w:t>。</w:t>
                  </w:r>
                </w:p>
              </w:tc>
              <w:tc>
                <w:tcPr>
                  <w:tcW w:w="424" w:type="pct"/>
                  <w:noWrap w:val="0"/>
                  <w:vAlign w:val="center"/>
                </w:tcPr>
                <w:p>
                  <w:pPr>
                    <w:tabs>
                      <w:tab w:val="left" w:pos="600"/>
                    </w:tabs>
                    <w:jc w:val="center"/>
                    <w:rPr>
                      <w:color w:val="auto"/>
                    </w:rPr>
                  </w:pPr>
                  <w:r>
                    <w:rPr>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3" w:type="pct"/>
                  <w:noWrap w:val="0"/>
                  <w:vAlign w:val="center"/>
                </w:tcPr>
                <w:p>
                  <w:pPr>
                    <w:tabs>
                      <w:tab w:val="left" w:pos="600"/>
                    </w:tabs>
                    <w:jc w:val="center"/>
                    <w:rPr>
                      <w:color w:val="auto"/>
                    </w:rPr>
                  </w:pPr>
                  <w:r>
                    <w:rPr>
                      <w:color w:val="auto"/>
                    </w:rPr>
                    <w:t>8</w:t>
                  </w:r>
                </w:p>
              </w:tc>
              <w:tc>
                <w:tcPr>
                  <w:tcW w:w="2356" w:type="pct"/>
                  <w:noWrap w:val="0"/>
                  <w:vAlign w:val="center"/>
                </w:tcPr>
                <w:p>
                  <w:pPr>
                    <w:tabs>
                      <w:tab w:val="left" w:pos="600"/>
                    </w:tabs>
                    <w:jc w:val="center"/>
                    <w:rPr>
                      <w:color w:val="auto"/>
                    </w:rPr>
                  </w:pPr>
                  <w:r>
                    <w:rPr>
                      <w:color w:val="auto"/>
                    </w:rPr>
                    <w:t>散装水泥、预拌混凝土和预拌砂浆专用车辆装载水泥、混凝土和砂浆，应当符合核定载重量进行标准装载，严禁超载、超限、超速，防止抛洒滴漏，保持车辆清洁。</w:t>
                  </w:r>
                </w:p>
              </w:tc>
              <w:tc>
                <w:tcPr>
                  <w:tcW w:w="1576" w:type="pct"/>
                  <w:noWrap w:val="0"/>
                  <w:vAlign w:val="center"/>
                </w:tcPr>
                <w:p>
                  <w:pPr>
                    <w:tabs>
                      <w:tab w:val="left" w:pos="600"/>
                    </w:tabs>
                    <w:jc w:val="center"/>
                    <w:rPr>
                      <w:rFonts w:hint="eastAsia"/>
                      <w:color w:val="auto"/>
                      <w:lang w:eastAsia="zh-CN"/>
                    </w:rPr>
                  </w:pPr>
                  <w:r>
                    <w:rPr>
                      <w:color w:val="auto"/>
                    </w:rPr>
                    <w:t>专用运输车辆在运营期严格按照相关要求进行运输</w:t>
                  </w:r>
                  <w:r>
                    <w:rPr>
                      <w:rFonts w:hint="eastAsia"/>
                      <w:color w:val="auto"/>
                      <w:lang w:eastAsia="zh-CN"/>
                    </w:rPr>
                    <w:t>。</w:t>
                  </w:r>
                </w:p>
              </w:tc>
              <w:tc>
                <w:tcPr>
                  <w:tcW w:w="424" w:type="pct"/>
                  <w:noWrap w:val="0"/>
                  <w:vAlign w:val="center"/>
                </w:tcPr>
                <w:p>
                  <w:pPr>
                    <w:tabs>
                      <w:tab w:val="left" w:pos="600"/>
                    </w:tabs>
                    <w:jc w:val="center"/>
                    <w:rPr>
                      <w:color w:val="auto"/>
                    </w:rPr>
                  </w:pPr>
                  <w:r>
                    <w:rPr>
                      <w:color w:val="auto"/>
                    </w:rPr>
                    <w:t>符合要求</w:t>
                  </w:r>
                </w:p>
              </w:tc>
            </w:tr>
          </w:tbl>
          <w:p>
            <w:pPr>
              <w:widowControl/>
              <w:adjustRightInd w:val="0"/>
              <w:snapToGrid w:val="0"/>
              <w:spacing w:line="360" w:lineRule="auto"/>
              <w:ind w:firstLine="482" w:firstLineChars="200"/>
              <w:outlineLvl w:val="0"/>
              <w:rPr>
                <w:b/>
                <w:bCs/>
                <w:color w:val="auto"/>
                <w:sz w:val="24"/>
              </w:rPr>
            </w:pPr>
            <w:r>
              <w:rPr>
                <w:b/>
                <w:bCs/>
                <w:color w:val="auto"/>
                <w:sz w:val="24"/>
              </w:rPr>
              <w:t>1</w:t>
            </w:r>
            <w:r>
              <w:rPr>
                <w:rFonts w:hint="eastAsia"/>
                <w:b/>
                <w:bCs/>
                <w:color w:val="auto"/>
                <w:sz w:val="24"/>
                <w:lang w:val="en-US" w:eastAsia="zh-CN"/>
              </w:rPr>
              <w:t>2</w:t>
            </w:r>
            <w:r>
              <w:rPr>
                <w:b/>
                <w:bCs/>
                <w:color w:val="auto"/>
                <w:sz w:val="24"/>
              </w:rPr>
              <w:t>、</w:t>
            </w:r>
            <w:r>
              <w:rPr>
                <w:b/>
                <w:bCs/>
                <w:color w:val="auto"/>
                <w:kern w:val="0"/>
                <w:sz w:val="24"/>
              </w:rPr>
              <w:t>“三线一单”符合性分析</w:t>
            </w:r>
          </w:p>
          <w:p>
            <w:pPr>
              <w:widowControl/>
              <w:adjustRightInd w:val="0"/>
              <w:snapToGrid w:val="0"/>
              <w:spacing w:line="360" w:lineRule="auto"/>
              <w:ind w:firstLine="480" w:firstLineChars="200"/>
              <w:outlineLvl w:val="0"/>
              <w:rPr>
                <w:bCs/>
                <w:color w:val="auto"/>
                <w:kern w:val="0"/>
                <w:sz w:val="24"/>
              </w:rPr>
            </w:pPr>
            <w:r>
              <w:rPr>
                <w:bCs/>
                <w:color w:val="auto"/>
                <w:kern w:val="0"/>
                <w:sz w:val="24"/>
              </w:rPr>
              <w:t>“三线一单”是以改善环境质量为核心，将生态保护红线、环境质量底线、资源利用上线落实到不同的环境管控单元，并建立环境准入负面清单的环境分区管控体系。</w:t>
            </w:r>
          </w:p>
          <w:p>
            <w:pPr>
              <w:widowControl/>
              <w:spacing w:line="360" w:lineRule="auto"/>
              <w:jc w:val="center"/>
              <w:outlineLvl w:val="0"/>
              <w:rPr>
                <w:bCs/>
                <w:color w:val="auto"/>
                <w:kern w:val="0"/>
              </w:rPr>
            </w:pPr>
            <w:r>
              <w:rPr>
                <w:color w:val="auto"/>
              </w:rPr>
              <mc:AlternateContent>
                <mc:Choice Requires="wps">
                  <w:drawing>
                    <wp:anchor distT="0" distB="0" distL="114300" distR="114300" simplePos="0" relativeHeight="251671552" behindDoc="0" locked="0" layoutInCell="1" allowOverlap="1">
                      <wp:simplePos x="0" y="0"/>
                      <wp:positionH relativeFrom="column">
                        <wp:posOffset>3135630</wp:posOffset>
                      </wp:positionH>
                      <wp:positionV relativeFrom="paragraph">
                        <wp:posOffset>478790</wp:posOffset>
                      </wp:positionV>
                      <wp:extent cx="601980" cy="304165"/>
                      <wp:effectExtent l="328295" t="6350" r="22225" b="203835"/>
                      <wp:wrapNone/>
                      <wp:docPr id="178" name="矩形标注 178"/>
                      <wp:cNvGraphicFramePr/>
                      <a:graphic xmlns:a="http://schemas.openxmlformats.org/drawingml/2006/main">
                        <a:graphicData uri="http://schemas.microsoft.com/office/word/2010/wordprocessingShape">
                          <wps:wsp>
                            <wps:cNvSpPr/>
                            <wps:spPr>
                              <a:xfrm>
                                <a:off x="4389120" y="6418580"/>
                                <a:ext cx="601980" cy="304165"/>
                              </a:xfrm>
                              <a:prstGeom prst="wedgeRectCallout">
                                <a:avLst>
                                  <a:gd name="adj1" fmla="val -96413"/>
                                  <a:gd name="adj2" fmla="val 104488"/>
                                </a:avLst>
                              </a:prstGeom>
                              <a:noFill/>
                              <a:ln w="12700" cap="flat" cmpd="sng" algn="ctr">
                                <a:solidFill>
                                  <a:srgbClr val="41719C">
                                    <a:shade val="50000"/>
                                  </a:srgbClr>
                                </a:solidFill>
                                <a:prstDash val="solid"/>
                                <a:miter lim="800000"/>
                              </a:ln>
                              <a:effectLst/>
                            </wps:spPr>
                            <wps:txbx>
                              <w:txbxContent>
                                <w:p>
                                  <w:pPr>
                                    <w:jc w:val="center"/>
                                    <w:rPr>
                                      <w:color w:val="FF0000"/>
                                    </w:rPr>
                                  </w:pPr>
                                  <w:r>
                                    <w:rPr>
                                      <w:rFonts w:hint="eastAsia"/>
                                      <w:color w:val="FF0000"/>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46.9pt;margin-top:37.7pt;height:23.95pt;width:47.4pt;z-index:251671552;v-text-anchor:middle;mso-width-relative:page;mso-height-relative:page;" filled="f" stroked="t" coordsize="21600,21600" o:gfxdata="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JM4B9LYAAAA&#10;CgEAAA8AAAAAAAAAAQAgAAAAIgAAAGRycy9kb3ducmV2LnhtbFBLAQIUABQAAAAIAIdO4kAMiR1Q&#10;yAIAAHkFAAAOAAAAAAAAAAEAIAAAACcBAABkcnMvZTJvRG9jLnhtbFBLBQYAAAAABgAGAFkBAABh&#10;BgAAAAA=&#10;" adj="-10025,33369">
                      <v:path/>
                      <v:fill on="f" focussize="0,0"/>
                      <v:stroke weight="1pt" color="#41719C" joinstyle="miter"/>
                      <v:imagedata o:title=""/>
                      <o:lock v:ext="edit"/>
                      <v:textbox>
                        <w:txbxContent>
                          <w:p>
                            <w:pPr>
                              <w:jc w:val="center"/>
                              <w:rPr>
                                <w:color w:val="FF0000"/>
                              </w:rPr>
                            </w:pPr>
                            <w:r>
                              <w:rPr>
                                <w:rFonts w:hint="eastAsia"/>
                                <w:color w:val="FF0000"/>
                              </w:rPr>
                              <w:t>本项目</w:t>
                            </w:r>
                          </w:p>
                        </w:txbxContent>
                      </v:textbox>
                    </v:shape>
                  </w:pict>
                </mc:Fallback>
              </mc:AlternateContent>
            </w:r>
            <w:r>
              <w:rPr>
                <w:color w:val="auto"/>
                <w:szCs w:val="21"/>
              </w:rPr>
              <w:drawing>
                <wp:inline distT="0" distB="0" distL="114300" distR="114300">
                  <wp:extent cx="5399405" cy="3385185"/>
                  <wp:effectExtent l="0" t="0" r="10795" b="5715"/>
                  <wp:docPr id="171" name="图片 7" descr="第19页-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7" descr="第19页-1(1)"/>
                          <pic:cNvPicPr>
                            <a:picLocks noChangeAspect="1"/>
                          </pic:cNvPicPr>
                        </pic:nvPicPr>
                        <pic:blipFill>
                          <a:blip r:embed="rId45"/>
                          <a:stretch>
                            <a:fillRect/>
                          </a:stretch>
                        </pic:blipFill>
                        <pic:spPr>
                          <a:xfrm>
                            <a:off x="0" y="0"/>
                            <a:ext cx="5399405" cy="3385185"/>
                          </a:xfrm>
                          <a:prstGeom prst="rect">
                            <a:avLst/>
                          </a:prstGeom>
                          <a:noFill/>
                          <a:ln>
                            <a:noFill/>
                          </a:ln>
                        </pic:spPr>
                      </pic:pic>
                    </a:graphicData>
                  </a:graphic>
                </wp:inline>
              </w:drawing>
            </w:r>
          </w:p>
          <w:p>
            <w:pPr>
              <w:widowControl/>
              <w:spacing w:line="360" w:lineRule="auto"/>
              <w:jc w:val="center"/>
              <w:outlineLvl w:val="0"/>
              <w:rPr>
                <w:b/>
                <w:color w:val="auto"/>
                <w:kern w:val="0"/>
              </w:rPr>
            </w:pPr>
            <w:r>
              <w:rPr>
                <w:b/>
                <w:color w:val="auto"/>
                <w:kern w:val="0"/>
              </w:rPr>
              <w:t xml:space="preserve">图1-1 </w:t>
            </w:r>
            <w:r>
              <w:rPr>
                <w:rFonts w:hint="eastAsia"/>
                <w:b/>
                <w:color w:val="auto"/>
                <w:kern w:val="0"/>
                <w:lang w:val="en-US" w:eastAsia="zh-CN"/>
              </w:rPr>
              <w:t xml:space="preserve"> </w:t>
            </w:r>
            <w:r>
              <w:rPr>
                <w:b/>
                <w:color w:val="auto"/>
                <w:kern w:val="0"/>
              </w:rPr>
              <w:t>项目与生态保护红线的位置关系图</w:t>
            </w:r>
          </w:p>
          <w:p>
            <w:pPr>
              <w:widowControl/>
              <w:spacing w:line="360" w:lineRule="auto"/>
              <w:ind w:firstLine="480" w:firstLineChars="200"/>
              <w:outlineLvl w:val="0"/>
              <w:rPr>
                <w:bCs/>
                <w:color w:val="auto"/>
                <w:kern w:val="0"/>
                <w:sz w:val="24"/>
              </w:rPr>
            </w:pPr>
            <w:r>
              <w:rPr>
                <w:bCs/>
                <w:color w:val="auto"/>
                <w:kern w:val="0"/>
                <w:sz w:val="24"/>
              </w:rPr>
              <w:t>根据四川省生态环境厅办公室关于印发《产业园区规划环评“三线一单”符合性分析技术要点（试行）》和《项目环评“三线一单”符合性分析技术要点（试行）》的通知（川环办函﹝2021﹞469号）文件，建设项目环境影响评价中“三线一单”符合性分析结构如下图所示：</w:t>
            </w:r>
          </w:p>
          <w:p>
            <w:pPr>
              <w:widowControl/>
              <w:spacing w:line="360" w:lineRule="auto"/>
              <w:jc w:val="center"/>
              <w:outlineLvl w:val="0"/>
              <w:rPr>
                <w:bCs/>
                <w:color w:val="auto"/>
                <w:kern w:val="0"/>
              </w:rPr>
            </w:pPr>
            <w:r>
              <w:rPr>
                <w:color w:val="auto"/>
              </w:rPr>
              <w:drawing>
                <wp:inline distT="0" distB="0" distL="114300" distR="114300">
                  <wp:extent cx="5337175" cy="4045585"/>
                  <wp:effectExtent l="0" t="0" r="15875" b="12065"/>
                  <wp:docPr id="17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8"/>
                          <pic:cNvPicPr>
                            <a:picLocks noChangeAspect="1"/>
                          </pic:cNvPicPr>
                        </pic:nvPicPr>
                        <pic:blipFill>
                          <a:blip r:embed="rId46"/>
                          <a:stretch>
                            <a:fillRect/>
                          </a:stretch>
                        </pic:blipFill>
                        <pic:spPr>
                          <a:xfrm>
                            <a:off x="0" y="0"/>
                            <a:ext cx="5337175" cy="4045585"/>
                          </a:xfrm>
                          <a:prstGeom prst="rect">
                            <a:avLst/>
                          </a:prstGeom>
                          <a:noFill/>
                          <a:ln>
                            <a:noFill/>
                          </a:ln>
                        </pic:spPr>
                      </pic:pic>
                    </a:graphicData>
                  </a:graphic>
                </wp:inline>
              </w:drawing>
            </w:r>
          </w:p>
          <w:p>
            <w:pPr>
              <w:widowControl/>
              <w:adjustRightInd w:val="0"/>
              <w:snapToGrid w:val="0"/>
              <w:spacing w:line="360" w:lineRule="auto"/>
              <w:ind w:firstLine="482" w:firstLineChars="200"/>
              <w:jc w:val="center"/>
              <w:outlineLvl w:val="0"/>
              <w:rPr>
                <w:b/>
                <w:color w:val="auto"/>
                <w:kern w:val="0"/>
              </w:rPr>
            </w:pPr>
            <w:r>
              <w:rPr>
                <w:b/>
                <w:color w:val="auto"/>
                <w:kern w:val="0"/>
              </w:rPr>
              <w:t>图1-2 建设项目环境影响评价中“三线一单”符合性分析结构示意图</w:t>
            </w:r>
          </w:p>
          <w:p>
            <w:pPr>
              <w:adjustRightInd w:val="0"/>
              <w:snapToGrid w:val="0"/>
              <w:spacing w:line="360" w:lineRule="auto"/>
              <w:ind w:firstLine="480" w:firstLineChars="200"/>
              <w:rPr>
                <w:color w:val="auto"/>
                <w:sz w:val="24"/>
              </w:rPr>
            </w:pPr>
            <w:r>
              <w:rPr>
                <w:color w:val="auto"/>
                <w:sz w:val="24"/>
              </w:rPr>
              <w:t>（1）环境管控单元</w:t>
            </w:r>
          </w:p>
          <w:p>
            <w:pPr>
              <w:autoSpaceDE w:val="0"/>
              <w:autoSpaceDN w:val="0"/>
              <w:adjustRightInd w:val="0"/>
              <w:snapToGrid w:val="0"/>
              <w:spacing w:line="360" w:lineRule="auto"/>
              <w:ind w:firstLine="480" w:firstLineChars="200"/>
              <w:rPr>
                <w:color w:val="auto"/>
                <w:sz w:val="24"/>
              </w:rPr>
            </w:pPr>
            <w:r>
              <w:rPr>
                <w:color w:val="auto"/>
                <w:sz w:val="24"/>
              </w:rPr>
              <w:t>根据《建设项目环境影响报告表编制技术指南》（污染影响类），本项目属于污染影响为主要特征的建设项目，项目位于四川省乐山市市中区悦来镇龙岩村，属于园区外项目，重点分析项目空间符合性分析。该项目涉及环境管控单元3个，涉及管控单元见下表。</w:t>
            </w:r>
          </w:p>
          <w:p>
            <w:pPr>
              <w:adjustRightInd w:val="0"/>
              <w:snapToGrid w:val="0"/>
              <w:spacing w:line="360" w:lineRule="auto"/>
              <w:jc w:val="center"/>
              <w:rPr>
                <w:b/>
                <w:bCs/>
                <w:color w:val="auto"/>
              </w:rPr>
            </w:pPr>
            <w:r>
              <w:rPr>
                <w:b/>
                <w:bCs/>
                <w:color w:val="auto"/>
              </w:rPr>
              <w:t>表1-</w:t>
            </w:r>
            <w:r>
              <w:rPr>
                <w:rFonts w:hint="eastAsia"/>
                <w:b/>
                <w:bCs/>
                <w:color w:val="auto"/>
                <w:lang w:val="en-US" w:eastAsia="zh-CN"/>
              </w:rPr>
              <w:t>10</w:t>
            </w:r>
            <w:r>
              <w:rPr>
                <w:b/>
                <w:bCs/>
                <w:color w:val="auto"/>
              </w:rPr>
              <w:t xml:space="preserve">  项目涉及管控单元一览表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6"/>
              <w:gridCol w:w="1587"/>
              <w:gridCol w:w="1176"/>
              <w:gridCol w:w="881"/>
              <w:gridCol w:w="1513"/>
              <w:gridCol w:w="16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blHeader/>
                <w:jc w:val="center"/>
              </w:trPr>
              <w:tc>
                <w:tcPr>
                  <w:tcW w:w="1013" w:type="pct"/>
                  <w:noWrap/>
                  <w:vAlign w:val="center"/>
                </w:tcPr>
                <w:p>
                  <w:pPr>
                    <w:widowControl/>
                    <w:jc w:val="center"/>
                    <w:rPr>
                      <w:b/>
                      <w:bCs/>
                      <w:color w:val="auto"/>
                      <w:kern w:val="0"/>
                      <w:szCs w:val="21"/>
                    </w:rPr>
                  </w:pPr>
                  <w:r>
                    <w:rPr>
                      <w:b/>
                      <w:bCs/>
                      <w:color w:val="auto"/>
                      <w:kern w:val="0"/>
                      <w:szCs w:val="21"/>
                    </w:rPr>
                    <w:t>环境管控单元编码</w:t>
                  </w:r>
                </w:p>
              </w:tc>
              <w:tc>
                <w:tcPr>
                  <w:tcW w:w="932" w:type="pct"/>
                  <w:noWrap/>
                  <w:vAlign w:val="center"/>
                </w:tcPr>
                <w:p>
                  <w:pPr>
                    <w:widowControl/>
                    <w:jc w:val="center"/>
                    <w:rPr>
                      <w:b/>
                      <w:bCs/>
                      <w:color w:val="auto"/>
                      <w:kern w:val="0"/>
                      <w:szCs w:val="21"/>
                    </w:rPr>
                  </w:pPr>
                  <w:r>
                    <w:rPr>
                      <w:b/>
                      <w:bCs/>
                      <w:color w:val="auto"/>
                      <w:kern w:val="0"/>
                      <w:szCs w:val="21"/>
                    </w:rPr>
                    <w:t>环境管控单元名称</w:t>
                  </w:r>
                </w:p>
              </w:tc>
              <w:tc>
                <w:tcPr>
                  <w:tcW w:w="690" w:type="pct"/>
                  <w:noWrap/>
                  <w:vAlign w:val="center"/>
                </w:tcPr>
                <w:p>
                  <w:pPr>
                    <w:widowControl/>
                    <w:jc w:val="center"/>
                    <w:rPr>
                      <w:b/>
                      <w:bCs/>
                      <w:color w:val="auto"/>
                      <w:kern w:val="0"/>
                      <w:szCs w:val="21"/>
                    </w:rPr>
                  </w:pPr>
                  <w:r>
                    <w:rPr>
                      <w:b/>
                      <w:bCs/>
                      <w:color w:val="auto"/>
                      <w:kern w:val="0"/>
                      <w:szCs w:val="21"/>
                    </w:rPr>
                    <w:t>所属市（州）</w:t>
                  </w:r>
                </w:p>
              </w:tc>
              <w:tc>
                <w:tcPr>
                  <w:tcW w:w="517" w:type="pct"/>
                  <w:noWrap/>
                  <w:vAlign w:val="center"/>
                </w:tcPr>
                <w:p>
                  <w:pPr>
                    <w:widowControl/>
                    <w:jc w:val="center"/>
                    <w:rPr>
                      <w:b/>
                      <w:bCs/>
                      <w:color w:val="auto"/>
                      <w:kern w:val="0"/>
                      <w:szCs w:val="21"/>
                    </w:rPr>
                  </w:pPr>
                  <w:r>
                    <w:rPr>
                      <w:b/>
                      <w:bCs/>
                      <w:color w:val="auto"/>
                      <w:kern w:val="0"/>
                      <w:szCs w:val="21"/>
                    </w:rPr>
                    <w:t>所属区县</w:t>
                  </w:r>
                </w:p>
              </w:tc>
              <w:tc>
                <w:tcPr>
                  <w:tcW w:w="888" w:type="pct"/>
                  <w:noWrap/>
                  <w:vAlign w:val="center"/>
                </w:tcPr>
                <w:p>
                  <w:pPr>
                    <w:widowControl/>
                    <w:jc w:val="center"/>
                    <w:rPr>
                      <w:b/>
                      <w:bCs/>
                      <w:color w:val="auto"/>
                      <w:kern w:val="0"/>
                      <w:szCs w:val="21"/>
                    </w:rPr>
                  </w:pPr>
                  <w:r>
                    <w:rPr>
                      <w:b/>
                      <w:bCs/>
                      <w:color w:val="auto"/>
                      <w:kern w:val="0"/>
                      <w:szCs w:val="21"/>
                    </w:rPr>
                    <w:t>准入清单类型</w:t>
                  </w:r>
                </w:p>
              </w:tc>
              <w:tc>
                <w:tcPr>
                  <w:tcW w:w="956" w:type="pct"/>
                  <w:noWrap/>
                  <w:vAlign w:val="center"/>
                </w:tcPr>
                <w:p>
                  <w:pPr>
                    <w:widowControl/>
                    <w:jc w:val="center"/>
                    <w:rPr>
                      <w:b/>
                      <w:bCs/>
                      <w:color w:val="auto"/>
                      <w:kern w:val="0"/>
                      <w:szCs w:val="21"/>
                    </w:rPr>
                  </w:pPr>
                  <w:r>
                    <w:rPr>
                      <w:b/>
                      <w:bCs/>
                      <w:color w:val="auto"/>
                      <w:kern w:val="0"/>
                      <w:szCs w:val="21"/>
                    </w:rPr>
                    <w:t>管控类型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blHeader/>
                <w:jc w:val="center"/>
              </w:trPr>
              <w:tc>
                <w:tcPr>
                  <w:tcW w:w="1013" w:type="pct"/>
                  <w:noWrap/>
                  <w:vAlign w:val="center"/>
                </w:tcPr>
                <w:p>
                  <w:pPr>
                    <w:pStyle w:val="192"/>
                    <w:widowControl/>
                    <w:spacing w:line="240" w:lineRule="auto"/>
                    <w:ind w:firstLine="0" w:firstLineChars="0"/>
                    <w:jc w:val="center"/>
                    <w:rPr>
                      <w:rFonts w:eastAsia="宋体"/>
                      <w:color w:val="auto"/>
                      <w:sz w:val="21"/>
                    </w:rPr>
                  </w:pPr>
                  <w:r>
                    <w:rPr>
                      <w:rFonts w:eastAsia="宋体"/>
                      <w:color w:val="auto"/>
                      <w:sz w:val="21"/>
                    </w:rPr>
                    <w:t>ZH51110220004</w:t>
                  </w:r>
                </w:p>
              </w:tc>
              <w:tc>
                <w:tcPr>
                  <w:tcW w:w="932" w:type="pct"/>
                  <w:noWrap/>
                  <w:vAlign w:val="center"/>
                </w:tcPr>
                <w:p>
                  <w:pPr>
                    <w:pStyle w:val="192"/>
                    <w:widowControl/>
                    <w:spacing w:line="240" w:lineRule="auto"/>
                    <w:ind w:firstLine="0" w:firstLineChars="0"/>
                    <w:jc w:val="center"/>
                    <w:rPr>
                      <w:rFonts w:eastAsia="宋体"/>
                      <w:color w:val="auto"/>
                      <w:sz w:val="21"/>
                    </w:rPr>
                  </w:pPr>
                  <w:r>
                    <w:rPr>
                      <w:rFonts w:eastAsia="宋体"/>
                      <w:color w:val="auto"/>
                      <w:sz w:val="21"/>
                    </w:rPr>
                    <w:t>市中区要素重点管控单元</w:t>
                  </w:r>
                </w:p>
              </w:tc>
              <w:tc>
                <w:tcPr>
                  <w:tcW w:w="690" w:type="pct"/>
                  <w:noWrap/>
                  <w:vAlign w:val="center"/>
                </w:tcPr>
                <w:p>
                  <w:pPr>
                    <w:pStyle w:val="192"/>
                    <w:widowControl/>
                    <w:spacing w:line="240" w:lineRule="auto"/>
                    <w:ind w:firstLine="0" w:firstLineChars="0"/>
                    <w:jc w:val="center"/>
                    <w:rPr>
                      <w:rFonts w:eastAsia="宋体"/>
                      <w:color w:val="auto"/>
                      <w:sz w:val="21"/>
                    </w:rPr>
                  </w:pPr>
                  <w:r>
                    <w:rPr>
                      <w:rFonts w:eastAsia="宋体"/>
                      <w:color w:val="auto"/>
                      <w:sz w:val="21"/>
                    </w:rPr>
                    <w:t>乐山市</w:t>
                  </w:r>
                </w:p>
              </w:tc>
              <w:tc>
                <w:tcPr>
                  <w:tcW w:w="517" w:type="pct"/>
                  <w:noWrap/>
                  <w:vAlign w:val="center"/>
                </w:tcPr>
                <w:p>
                  <w:pPr>
                    <w:pStyle w:val="192"/>
                    <w:widowControl/>
                    <w:spacing w:line="240" w:lineRule="auto"/>
                    <w:ind w:firstLine="0" w:firstLineChars="0"/>
                    <w:jc w:val="center"/>
                    <w:rPr>
                      <w:rFonts w:eastAsia="宋体"/>
                      <w:color w:val="auto"/>
                      <w:sz w:val="21"/>
                    </w:rPr>
                  </w:pPr>
                  <w:r>
                    <w:rPr>
                      <w:rFonts w:eastAsia="宋体"/>
                      <w:color w:val="auto"/>
                      <w:sz w:val="21"/>
                    </w:rPr>
                    <w:t>市中区</w:t>
                  </w:r>
                </w:p>
              </w:tc>
              <w:tc>
                <w:tcPr>
                  <w:tcW w:w="888" w:type="pct"/>
                  <w:noWrap/>
                  <w:vAlign w:val="center"/>
                </w:tcPr>
                <w:p>
                  <w:pPr>
                    <w:pStyle w:val="192"/>
                    <w:widowControl/>
                    <w:spacing w:line="240" w:lineRule="auto"/>
                    <w:ind w:firstLine="0" w:firstLineChars="0"/>
                    <w:jc w:val="center"/>
                    <w:rPr>
                      <w:rFonts w:eastAsia="宋体"/>
                      <w:color w:val="auto"/>
                      <w:sz w:val="21"/>
                    </w:rPr>
                  </w:pPr>
                  <w:r>
                    <w:rPr>
                      <w:rFonts w:eastAsia="宋体"/>
                      <w:color w:val="auto"/>
                      <w:sz w:val="21"/>
                    </w:rPr>
                    <w:t>环境管控单元</w:t>
                  </w:r>
                </w:p>
              </w:tc>
              <w:tc>
                <w:tcPr>
                  <w:tcW w:w="956" w:type="pct"/>
                  <w:noWrap/>
                  <w:vAlign w:val="center"/>
                </w:tcPr>
                <w:p>
                  <w:pPr>
                    <w:pStyle w:val="192"/>
                    <w:widowControl/>
                    <w:spacing w:line="240" w:lineRule="auto"/>
                    <w:ind w:firstLine="0" w:firstLineChars="0"/>
                    <w:jc w:val="center"/>
                    <w:rPr>
                      <w:rFonts w:eastAsia="宋体"/>
                      <w:color w:val="auto"/>
                      <w:sz w:val="21"/>
                    </w:rPr>
                  </w:pPr>
                  <w:r>
                    <w:rPr>
                      <w:rFonts w:eastAsia="宋体"/>
                      <w:color w:val="auto"/>
                      <w:sz w:val="21"/>
                    </w:rPr>
                    <w:t>环境综合管控单元要素重点管控单元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blHeader/>
                <w:jc w:val="center"/>
              </w:trPr>
              <w:tc>
                <w:tcPr>
                  <w:tcW w:w="1013" w:type="pct"/>
                  <w:noWrap/>
                  <w:vAlign w:val="center"/>
                </w:tcPr>
                <w:p>
                  <w:pPr>
                    <w:pStyle w:val="192"/>
                    <w:widowControl/>
                    <w:spacing w:line="240" w:lineRule="auto"/>
                    <w:ind w:firstLine="0" w:firstLineChars="0"/>
                    <w:jc w:val="center"/>
                    <w:rPr>
                      <w:rFonts w:eastAsia="宋体"/>
                      <w:color w:val="auto"/>
                      <w:sz w:val="21"/>
                    </w:rPr>
                  </w:pPr>
                  <w:r>
                    <w:rPr>
                      <w:rFonts w:eastAsia="宋体"/>
                      <w:color w:val="auto"/>
                      <w:sz w:val="21"/>
                    </w:rPr>
                    <w:t>YS5111023210024</w:t>
                  </w:r>
                </w:p>
              </w:tc>
              <w:tc>
                <w:tcPr>
                  <w:tcW w:w="932" w:type="pct"/>
                  <w:noWrap/>
                  <w:vAlign w:val="center"/>
                </w:tcPr>
                <w:p>
                  <w:pPr>
                    <w:pStyle w:val="192"/>
                    <w:widowControl/>
                    <w:spacing w:line="240" w:lineRule="auto"/>
                    <w:ind w:firstLine="0" w:firstLineChars="0"/>
                    <w:jc w:val="center"/>
                    <w:rPr>
                      <w:rFonts w:eastAsia="宋体"/>
                      <w:color w:val="auto"/>
                      <w:sz w:val="21"/>
                    </w:rPr>
                  </w:pPr>
                  <w:r>
                    <w:rPr>
                      <w:rFonts w:eastAsia="宋体"/>
                      <w:color w:val="auto"/>
                      <w:sz w:val="21"/>
                    </w:rPr>
                    <w:t>岷江市中区青衣坝控制单元</w:t>
                  </w:r>
                </w:p>
              </w:tc>
              <w:tc>
                <w:tcPr>
                  <w:tcW w:w="690" w:type="pct"/>
                  <w:noWrap/>
                  <w:vAlign w:val="center"/>
                </w:tcPr>
                <w:p>
                  <w:pPr>
                    <w:pStyle w:val="192"/>
                    <w:widowControl/>
                    <w:spacing w:line="240" w:lineRule="auto"/>
                    <w:ind w:firstLine="0" w:firstLineChars="0"/>
                    <w:jc w:val="center"/>
                    <w:rPr>
                      <w:rFonts w:eastAsia="宋体"/>
                      <w:color w:val="auto"/>
                      <w:sz w:val="21"/>
                    </w:rPr>
                  </w:pPr>
                  <w:r>
                    <w:rPr>
                      <w:rFonts w:eastAsia="宋体"/>
                      <w:color w:val="auto"/>
                      <w:sz w:val="21"/>
                    </w:rPr>
                    <w:t>乐山市</w:t>
                  </w:r>
                </w:p>
              </w:tc>
              <w:tc>
                <w:tcPr>
                  <w:tcW w:w="517" w:type="pct"/>
                  <w:noWrap/>
                  <w:vAlign w:val="center"/>
                </w:tcPr>
                <w:p>
                  <w:pPr>
                    <w:pStyle w:val="192"/>
                    <w:widowControl/>
                    <w:spacing w:line="240" w:lineRule="auto"/>
                    <w:ind w:firstLine="0" w:firstLineChars="0"/>
                    <w:jc w:val="center"/>
                    <w:rPr>
                      <w:rFonts w:eastAsia="宋体"/>
                      <w:color w:val="auto"/>
                      <w:sz w:val="21"/>
                    </w:rPr>
                  </w:pPr>
                  <w:r>
                    <w:rPr>
                      <w:rFonts w:eastAsia="宋体"/>
                      <w:color w:val="auto"/>
                      <w:sz w:val="21"/>
                    </w:rPr>
                    <w:t>市中区</w:t>
                  </w:r>
                </w:p>
              </w:tc>
              <w:tc>
                <w:tcPr>
                  <w:tcW w:w="888" w:type="pct"/>
                  <w:noWrap/>
                  <w:vAlign w:val="center"/>
                </w:tcPr>
                <w:p>
                  <w:pPr>
                    <w:pStyle w:val="192"/>
                    <w:widowControl/>
                    <w:spacing w:line="240" w:lineRule="auto"/>
                    <w:ind w:firstLine="0" w:firstLineChars="0"/>
                    <w:jc w:val="center"/>
                    <w:rPr>
                      <w:rFonts w:eastAsia="宋体"/>
                      <w:color w:val="auto"/>
                      <w:sz w:val="21"/>
                    </w:rPr>
                  </w:pPr>
                  <w:r>
                    <w:rPr>
                      <w:rFonts w:eastAsia="宋体"/>
                      <w:color w:val="auto"/>
                      <w:sz w:val="21"/>
                    </w:rPr>
                    <w:t>水环境管控分区</w:t>
                  </w:r>
                </w:p>
              </w:tc>
              <w:tc>
                <w:tcPr>
                  <w:tcW w:w="956" w:type="pct"/>
                  <w:noWrap/>
                  <w:vAlign w:val="center"/>
                </w:tcPr>
                <w:p>
                  <w:pPr>
                    <w:pStyle w:val="192"/>
                    <w:widowControl/>
                    <w:spacing w:line="240" w:lineRule="auto"/>
                    <w:ind w:firstLine="0" w:firstLineChars="0"/>
                    <w:jc w:val="center"/>
                    <w:rPr>
                      <w:rFonts w:eastAsia="宋体"/>
                      <w:color w:val="auto"/>
                      <w:sz w:val="21"/>
                    </w:rPr>
                  </w:pPr>
                  <w:r>
                    <w:rPr>
                      <w:rFonts w:eastAsia="宋体"/>
                      <w:color w:val="auto"/>
                      <w:sz w:val="21"/>
                    </w:rPr>
                    <w:t>水环境一般管控区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blHeader/>
                <w:jc w:val="center"/>
              </w:trPr>
              <w:tc>
                <w:tcPr>
                  <w:tcW w:w="1013" w:type="pct"/>
                  <w:noWrap/>
                  <w:vAlign w:val="center"/>
                </w:tcPr>
                <w:p>
                  <w:pPr>
                    <w:pStyle w:val="192"/>
                    <w:widowControl/>
                    <w:spacing w:line="240" w:lineRule="auto"/>
                    <w:ind w:firstLine="0" w:firstLineChars="0"/>
                    <w:jc w:val="center"/>
                    <w:rPr>
                      <w:rFonts w:eastAsia="宋体"/>
                      <w:color w:val="auto"/>
                      <w:sz w:val="21"/>
                    </w:rPr>
                  </w:pPr>
                  <w:r>
                    <w:rPr>
                      <w:rFonts w:eastAsia="宋体"/>
                      <w:color w:val="auto"/>
                      <w:sz w:val="21"/>
                    </w:rPr>
                    <w:t>YS5111022320001</w:t>
                  </w:r>
                </w:p>
              </w:tc>
              <w:tc>
                <w:tcPr>
                  <w:tcW w:w="932" w:type="pct"/>
                  <w:noWrap/>
                  <w:vAlign w:val="center"/>
                </w:tcPr>
                <w:p>
                  <w:pPr>
                    <w:pStyle w:val="192"/>
                    <w:widowControl/>
                    <w:spacing w:line="240" w:lineRule="auto"/>
                    <w:ind w:firstLine="0" w:firstLineChars="0"/>
                    <w:jc w:val="center"/>
                    <w:rPr>
                      <w:rFonts w:eastAsia="宋体"/>
                      <w:color w:val="auto"/>
                      <w:sz w:val="21"/>
                    </w:rPr>
                  </w:pPr>
                  <w:r>
                    <w:rPr>
                      <w:rFonts w:eastAsia="宋体"/>
                      <w:color w:val="auto"/>
                      <w:sz w:val="21"/>
                    </w:rPr>
                    <w:t>乐山市市中区大气环境布局敏感重点管控区</w:t>
                  </w:r>
                </w:p>
              </w:tc>
              <w:tc>
                <w:tcPr>
                  <w:tcW w:w="690" w:type="pct"/>
                  <w:noWrap/>
                  <w:vAlign w:val="center"/>
                </w:tcPr>
                <w:p>
                  <w:pPr>
                    <w:pStyle w:val="192"/>
                    <w:widowControl/>
                    <w:spacing w:line="240" w:lineRule="auto"/>
                    <w:ind w:firstLine="0" w:firstLineChars="0"/>
                    <w:jc w:val="center"/>
                    <w:rPr>
                      <w:rFonts w:eastAsia="宋体"/>
                      <w:color w:val="auto"/>
                      <w:sz w:val="21"/>
                    </w:rPr>
                  </w:pPr>
                  <w:r>
                    <w:rPr>
                      <w:rFonts w:eastAsia="宋体"/>
                      <w:color w:val="auto"/>
                      <w:sz w:val="21"/>
                    </w:rPr>
                    <w:t>乐山市</w:t>
                  </w:r>
                </w:p>
              </w:tc>
              <w:tc>
                <w:tcPr>
                  <w:tcW w:w="517" w:type="pct"/>
                  <w:noWrap/>
                  <w:vAlign w:val="center"/>
                </w:tcPr>
                <w:p>
                  <w:pPr>
                    <w:pStyle w:val="192"/>
                    <w:widowControl/>
                    <w:spacing w:line="240" w:lineRule="auto"/>
                    <w:ind w:firstLine="0" w:firstLineChars="0"/>
                    <w:jc w:val="center"/>
                    <w:rPr>
                      <w:rFonts w:eastAsia="宋体"/>
                      <w:color w:val="auto"/>
                      <w:sz w:val="21"/>
                    </w:rPr>
                  </w:pPr>
                  <w:r>
                    <w:rPr>
                      <w:rFonts w:eastAsia="宋体"/>
                      <w:color w:val="auto"/>
                      <w:sz w:val="21"/>
                    </w:rPr>
                    <w:t>市中区</w:t>
                  </w:r>
                </w:p>
              </w:tc>
              <w:tc>
                <w:tcPr>
                  <w:tcW w:w="888" w:type="pct"/>
                  <w:noWrap/>
                  <w:vAlign w:val="center"/>
                </w:tcPr>
                <w:p>
                  <w:pPr>
                    <w:pStyle w:val="192"/>
                    <w:widowControl/>
                    <w:spacing w:line="240" w:lineRule="auto"/>
                    <w:ind w:firstLine="0" w:firstLineChars="0"/>
                    <w:jc w:val="center"/>
                    <w:rPr>
                      <w:rFonts w:eastAsia="宋体"/>
                      <w:color w:val="auto"/>
                      <w:sz w:val="21"/>
                    </w:rPr>
                  </w:pPr>
                  <w:r>
                    <w:rPr>
                      <w:rFonts w:eastAsia="宋体"/>
                      <w:color w:val="auto"/>
                      <w:sz w:val="21"/>
                    </w:rPr>
                    <w:t>大气环境管控分区</w:t>
                  </w:r>
                </w:p>
              </w:tc>
              <w:tc>
                <w:tcPr>
                  <w:tcW w:w="956" w:type="pct"/>
                  <w:noWrap/>
                  <w:vAlign w:val="center"/>
                </w:tcPr>
                <w:p>
                  <w:pPr>
                    <w:pStyle w:val="192"/>
                    <w:widowControl/>
                    <w:spacing w:line="240" w:lineRule="auto"/>
                    <w:ind w:firstLine="0" w:firstLineChars="0"/>
                    <w:jc w:val="center"/>
                    <w:rPr>
                      <w:rFonts w:eastAsia="宋体"/>
                      <w:color w:val="auto"/>
                      <w:sz w:val="21"/>
                    </w:rPr>
                  </w:pPr>
                  <w:r>
                    <w:rPr>
                      <w:rFonts w:eastAsia="宋体"/>
                      <w:color w:val="auto"/>
                      <w:sz w:val="21"/>
                    </w:rPr>
                    <w:t>大气环境布局敏感重点管控区</w:t>
                  </w:r>
                </w:p>
              </w:tc>
            </w:tr>
          </w:tbl>
          <w:p>
            <w:pPr>
              <w:adjustRightInd w:val="0"/>
              <w:snapToGrid w:val="0"/>
              <w:spacing w:line="360" w:lineRule="auto"/>
              <w:jc w:val="center"/>
              <w:rPr>
                <w:b/>
                <w:bCs/>
                <w:color w:val="auto"/>
              </w:rPr>
            </w:pPr>
            <w:r>
              <w:rPr>
                <w:rFonts w:eastAsia="Helvetica"/>
                <w:color w:val="auto"/>
                <w:sz w:val="28"/>
              </w:rPr>
              <w:drawing>
                <wp:inline distT="0" distB="0" distL="114300" distR="114300">
                  <wp:extent cx="5375910" cy="3810000"/>
                  <wp:effectExtent l="0" t="0" r="15240" b="0"/>
                  <wp:docPr id="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
                          <pic:cNvPicPr>
                            <a:picLocks noChangeAspect="1"/>
                          </pic:cNvPicPr>
                        </pic:nvPicPr>
                        <pic:blipFill>
                          <a:blip r:embed="rId47"/>
                          <a:stretch>
                            <a:fillRect/>
                          </a:stretch>
                        </pic:blipFill>
                        <pic:spPr>
                          <a:xfrm>
                            <a:off x="0" y="0"/>
                            <a:ext cx="5375910" cy="3810000"/>
                          </a:xfrm>
                          <a:prstGeom prst="rect">
                            <a:avLst/>
                          </a:prstGeom>
                          <a:noFill/>
                          <a:ln>
                            <a:noFill/>
                          </a:ln>
                        </pic:spPr>
                      </pic:pic>
                    </a:graphicData>
                  </a:graphic>
                </wp:inline>
              </w:drawing>
            </w:r>
            <w:r>
              <w:rPr>
                <w:b/>
                <w:bCs/>
                <w:color w:val="auto"/>
              </w:rPr>
              <w:t>图1-3  项目与所在区域环境管控单元的位置关系图</w:t>
            </w:r>
          </w:p>
          <w:p>
            <w:pPr>
              <w:adjustRightInd w:val="0"/>
              <w:snapToGrid w:val="0"/>
              <w:spacing w:line="360" w:lineRule="auto"/>
              <w:ind w:firstLine="480" w:firstLineChars="200"/>
              <w:jc w:val="left"/>
              <w:rPr>
                <w:color w:val="auto"/>
              </w:rPr>
            </w:pPr>
            <w:r>
              <w:rPr>
                <w:color w:val="auto"/>
              </w:rPr>
              <w:t>注：（来源于四川省生态环境厅 四川省“三线一单”数据分析系统：http://103.203.219.138:8083/gis2/n_index.html）。</w:t>
            </w:r>
          </w:p>
          <w:p>
            <w:pPr>
              <w:adjustRightInd w:val="0"/>
              <w:snapToGrid w:val="0"/>
              <w:spacing w:line="360" w:lineRule="auto"/>
              <w:ind w:firstLine="480" w:firstLineChars="200"/>
              <w:jc w:val="left"/>
              <w:rPr>
                <w:color w:val="auto"/>
                <w:sz w:val="24"/>
              </w:rPr>
            </w:pPr>
            <w:r>
              <w:rPr>
                <w:color w:val="auto"/>
                <w:sz w:val="24"/>
              </w:rPr>
              <w:t>（2）生态环境准入清单符合性分析</w:t>
            </w:r>
          </w:p>
          <w:p>
            <w:pPr>
              <w:adjustRightInd w:val="0"/>
              <w:snapToGrid w:val="0"/>
              <w:spacing w:line="360" w:lineRule="auto"/>
              <w:ind w:firstLine="480" w:firstLineChars="200"/>
              <w:jc w:val="left"/>
              <w:rPr>
                <w:color w:val="auto"/>
                <w:sz w:val="24"/>
              </w:rPr>
            </w:pPr>
            <w:r>
              <w:rPr>
                <w:color w:val="auto"/>
                <w:sz w:val="24"/>
              </w:rPr>
              <w:t>根据项目所在地所属环境管控单元的生态环境准入清单，从空间布局约束、污染物排放管控、环境风险防控、资源开发效率四个维度，本项目与生态环境准入清单符合性分析见表1-</w:t>
            </w:r>
            <w:r>
              <w:rPr>
                <w:rFonts w:hint="eastAsia"/>
                <w:color w:val="auto"/>
                <w:sz w:val="24"/>
                <w:lang w:val="en-US" w:eastAsia="zh-CN"/>
              </w:rPr>
              <w:t>11</w:t>
            </w:r>
            <w:r>
              <w:rPr>
                <w:color w:val="auto"/>
                <w:sz w:val="24"/>
              </w:rPr>
              <w:t>。</w:t>
            </w:r>
          </w:p>
          <w:p>
            <w:pPr>
              <w:adjustRightInd w:val="0"/>
              <w:snapToGrid w:val="0"/>
              <w:spacing w:line="360" w:lineRule="auto"/>
              <w:ind w:firstLine="480" w:firstLineChars="200"/>
              <w:rPr>
                <w:bCs/>
                <w:color w:val="auto"/>
                <w:sz w:val="24"/>
              </w:rPr>
            </w:pPr>
            <w:r>
              <w:rPr>
                <w:bCs/>
                <w:color w:val="auto"/>
                <w:sz w:val="24"/>
              </w:rPr>
              <w:t>1）本项目与环境质量底线符合性分析</w:t>
            </w:r>
          </w:p>
          <w:p>
            <w:pPr>
              <w:adjustRightInd w:val="0"/>
              <w:snapToGrid w:val="0"/>
              <w:spacing w:line="360" w:lineRule="auto"/>
              <w:ind w:firstLine="480" w:firstLineChars="200"/>
              <w:rPr>
                <w:color w:val="auto"/>
                <w:sz w:val="24"/>
              </w:rPr>
            </w:pPr>
            <w:r>
              <w:rPr>
                <w:color w:val="auto"/>
                <w:sz w:val="24"/>
              </w:rPr>
              <w:t>环境质量底线是国家和地方设置的大气、水和土壤环境质量目标，也是改善环境质量的基准线。环境质量事关民生幸福，环境质量的底线就是以人民群众身体健康和生命财产安全为目标，维护人类生存基本环境质量需求的底线和保障线。具体而言，环境质量底线应涵盖以下3方面的基本要求。一是必须消除已有的劣质化环境；二是严格遵守执行环境质量“只能更好、不能变坏”的基本要求；三是保障环境风险控制在安全范围内。</w:t>
            </w:r>
          </w:p>
          <w:p>
            <w:pPr>
              <w:adjustRightInd w:val="0"/>
              <w:snapToGrid w:val="0"/>
              <w:spacing w:line="360" w:lineRule="auto"/>
              <w:ind w:firstLine="480" w:firstLineChars="200"/>
              <w:rPr>
                <w:color w:val="auto"/>
                <w:sz w:val="24"/>
              </w:rPr>
            </w:pPr>
            <w:r>
              <w:rPr>
                <w:color w:val="auto"/>
                <w:sz w:val="24"/>
              </w:rPr>
              <w:t>项目区域空气环境质量标准执行《环境空气质量标准》（GB3095-2012）中的二级标准；地表水环境质量标准执行《地表水环境质量标准》（GB3838-2002）中Ⅲ类水域标准；声环境质量标准执行《声环境质量标准》（GB3096-2008）中的2类声环境功能区标准。</w:t>
            </w:r>
          </w:p>
          <w:p>
            <w:pPr>
              <w:adjustRightInd w:val="0"/>
              <w:snapToGrid w:val="0"/>
              <w:spacing w:line="360" w:lineRule="auto"/>
              <w:ind w:firstLine="480" w:firstLineChars="200"/>
              <w:rPr>
                <w:color w:val="auto"/>
                <w:sz w:val="24"/>
              </w:rPr>
            </w:pPr>
            <w:r>
              <w:rPr>
                <w:rFonts w:hint="eastAsia"/>
                <w:color w:val="auto"/>
                <w:sz w:val="24"/>
              </w:rPr>
              <w:t>根据《乐山市污染防治攻坚战工作通报》2023年第2期，2022年项目所在区域为不达标区，不达标污染物为PM</w:t>
            </w:r>
            <w:r>
              <w:rPr>
                <w:rFonts w:hint="eastAsia"/>
                <w:color w:val="auto"/>
                <w:sz w:val="24"/>
                <w:vertAlign w:val="subscript"/>
              </w:rPr>
              <w:t>2.5</w:t>
            </w:r>
            <w:r>
              <w:rPr>
                <w:rFonts w:hint="eastAsia"/>
                <w:color w:val="auto"/>
                <w:sz w:val="24"/>
              </w:rPr>
              <w:t>及O</w:t>
            </w:r>
            <w:r>
              <w:rPr>
                <w:rFonts w:hint="eastAsia"/>
                <w:color w:val="auto"/>
                <w:sz w:val="24"/>
                <w:vertAlign w:val="subscript"/>
              </w:rPr>
              <w:t>3</w:t>
            </w:r>
            <w:r>
              <w:rPr>
                <w:rFonts w:hint="eastAsia"/>
                <w:color w:val="auto"/>
                <w:sz w:val="24"/>
              </w:rPr>
              <w:t>。根据《乐山市空气质量限期达标规划（2017-2025）》，乐山市近期采取产业结构调整优化、加强移动源污染防治、推进农业源大气污染防控等措施后，到2025年力争空气质量稳定达标</w:t>
            </w:r>
            <w:r>
              <w:rPr>
                <w:rFonts w:hint="eastAsia"/>
                <w:color w:val="auto"/>
                <w:sz w:val="24"/>
                <w:lang w:val="en-US" w:eastAsia="zh-CN"/>
              </w:rPr>
              <w:t>。</w:t>
            </w:r>
            <w:r>
              <w:rPr>
                <w:color w:val="auto"/>
                <w:sz w:val="24"/>
              </w:rPr>
              <w:t>区域地表水环境质量满足《地表水环境质量标准》（GB3838-2002）Ⅲ类水域标准要求；根据监测可知，区域声环境质量满足《声环境质量标准》（GB3096-2008）中2类标准要求。本项目在采取相应的环保措施后，对周围环境影响较小，不会突破环境质量底线。</w:t>
            </w:r>
          </w:p>
          <w:p>
            <w:pPr>
              <w:adjustRightInd w:val="0"/>
              <w:snapToGrid w:val="0"/>
              <w:spacing w:line="360" w:lineRule="auto"/>
              <w:ind w:firstLine="480" w:firstLineChars="200"/>
              <w:rPr>
                <w:bCs/>
                <w:color w:val="auto"/>
                <w:sz w:val="24"/>
              </w:rPr>
            </w:pPr>
            <w:r>
              <w:rPr>
                <w:bCs/>
                <w:color w:val="auto"/>
                <w:sz w:val="24"/>
              </w:rPr>
              <w:t>2）本项目与资源利用上线符合性分析</w:t>
            </w:r>
          </w:p>
          <w:p>
            <w:pPr>
              <w:adjustRightInd w:val="0"/>
              <w:snapToGrid w:val="0"/>
              <w:spacing w:line="360" w:lineRule="auto"/>
              <w:ind w:firstLine="480" w:firstLineChars="200"/>
              <w:rPr>
                <w:color w:val="auto"/>
                <w:sz w:val="24"/>
              </w:rPr>
            </w:pPr>
            <w:r>
              <w:rPr>
                <w:color w:val="auto"/>
                <w:sz w:val="24"/>
              </w:rPr>
              <w:t>资源是环境的载体，资源利用上线是各地区能源、水、土地等资源消耗不得突破的“天花板”。本项目资源能源消耗主要为</w:t>
            </w:r>
            <w:r>
              <w:rPr>
                <w:rFonts w:hint="eastAsia"/>
                <w:color w:val="auto"/>
                <w:sz w:val="24"/>
              </w:rPr>
              <w:t>砂石</w:t>
            </w:r>
            <w:r>
              <w:rPr>
                <w:rFonts w:hint="eastAsia"/>
                <w:color w:val="auto"/>
                <w:sz w:val="24"/>
                <w:lang w:eastAsia="zh-CN"/>
              </w:rPr>
              <w:t>、</w:t>
            </w:r>
            <w:r>
              <w:rPr>
                <w:color w:val="auto"/>
                <w:sz w:val="24"/>
              </w:rPr>
              <w:t>电能和水，消耗量较小，不会突破资源消耗“天花板”，符合资源利用上线要求。</w:t>
            </w:r>
          </w:p>
          <w:p>
            <w:pPr>
              <w:adjustRightInd w:val="0"/>
              <w:snapToGrid w:val="0"/>
              <w:spacing w:line="360" w:lineRule="auto"/>
              <w:ind w:firstLine="480" w:firstLineChars="200"/>
              <w:rPr>
                <w:bCs/>
                <w:color w:val="auto"/>
                <w:sz w:val="24"/>
              </w:rPr>
            </w:pPr>
            <w:r>
              <w:rPr>
                <w:bCs/>
                <w:color w:val="auto"/>
                <w:sz w:val="24"/>
              </w:rPr>
              <w:t>（3）本项目与环境准入负面清单符合性分析</w:t>
            </w:r>
          </w:p>
          <w:p>
            <w:pPr>
              <w:adjustRightInd w:val="0"/>
              <w:snapToGrid w:val="0"/>
              <w:spacing w:line="360" w:lineRule="auto"/>
              <w:ind w:firstLine="480" w:firstLineChars="200"/>
              <w:rPr>
                <w:b/>
                <w:color w:val="auto"/>
                <w:sz w:val="24"/>
              </w:rPr>
            </w:pPr>
            <w:r>
              <w:rPr>
                <w:color w:val="auto"/>
                <w:sz w:val="24"/>
              </w:rPr>
              <w:t>本项目为水稳层生产项目，项目未被列入《四川省国家重点生态功能区产业准入负面清单（第一批）（试行）》、《四川省重点生态功能区产业准入负面清单（第二批）（试行）》以及《四川省、重庆市长江经济带发展负面清单实施细则》（试行，2022版）中禁止、限制建设的项目。</w:t>
            </w:r>
          </w:p>
          <w:p>
            <w:pPr>
              <w:adjustRightInd w:val="0"/>
              <w:snapToGrid w:val="0"/>
              <w:spacing w:line="360" w:lineRule="auto"/>
              <w:ind w:firstLine="480" w:firstLineChars="200"/>
              <w:rPr>
                <w:color w:val="auto"/>
                <w:sz w:val="24"/>
              </w:rPr>
            </w:pPr>
            <w:r>
              <w:rPr>
                <w:color w:val="auto"/>
                <w:sz w:val="24"/>
              </w:rPr>
              <w:t>综上，通过与“三线一单”进行对照后，本项目的建设满足四川省生态环境分区管控方案要求，项目不在生态保护红线内、未超出环境质量底线及资源利用上线、符合生态环境准入清单要求。</w:t>
            </w:r>
          </w:p>
          <w:p>
            <w:pPr>
              <w:autoSpaceDE w:val="0"/>
              <w:autoSpaceDN w:val="0"/>
              <w:adjustRightInd w:val="0"/>
              <w:snapToGrid w:val="0"/>
              <w:spacing w:line="360" w:lineRule="auto"/>
              <w:ind w:firstLine="482" w:firstLineChars="200"/>
              <w:jc w:val="center"/>
              <w:rPr>
                <w:color w:val="auto"/>
                <w:sz w:val="24"/>
              </w:rPr>
            </w:pPr>
            <w:r>
              <w:rPr>
                <w:b/>
                <w:bCs/>
                <w:color w:val="auto"/>
              </w:rPr>
              <w:t>表1-</w:t>
            </w:r>
            <w:r>
              <w:rPr>
                <w:rFonts w:hint="eastAsia"/>
                <w:b/>
                <w:bCs/>
                <w:color w:val="auto"/>
                <w:lang w:val="en-US" w:eastAsia="zh-CN"/>
              </w:rPr>
              <w:t>11</w:t>
            </w:r>
            <w:r>
              <w:rPr>
                <w:b/>
                <w:bCs/>
                <w:color w:val="auto"/>
              </w:rPr>
              <w:t xml:space="preserve">  项目与“三线一单”相关要求的符合性分析要点</w:t>
            </w:r>
          </w:p>
        </w:tc>
      </w:tr>
    </w:tbl>
    <w:p>
      <w:pPr>
        <w:rPr>
          <w:color w:val="auto"/>
        </w:rPr>
        <w:sectPr>
          <w:headerReference r:id="rId11" w:type="default"/>
          <w:footerReference r:id="rId12" w:type="default"/>
          <w:pgSz w:w="11906" w:h="16838"/>
          <w:pgMar w:top="1440" w:right="1080" w:bottom="1440" w:left="1080" w:header="851" w:footer="992" w:gutter="0"/>
          <w:pgNumType w:start="1"/>
          <w:cols w:space="425" w:num="1"/>
          <w:docGrid w:type="lines" w:linePitch="312" w:charSpace="0"/>
        </w:sectPr>
      </w:pPr>
    </w:p>
    <w:tbl>
      <w:tblPr>
        <w:tblStyle w:val="20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4"/>
        <w:gridCol w:w="835"/>
        <w:gridCol w:w="5095"/>
        <w:gridCol w:w="476"/>
        <w:gridCol w:w="5095"/>
        <w:gridCol w:w="1779"/>
        <w:gridCol w:w="3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ign w:val="center"/>
          </w:tcPr>
          <w:p>
            <w:pPr>
              <w:widowControl/>
              <w:adjustRightInd w:val="0"/>
              <w:snapToGrid w:val="0"/>
              <w:jc w:val="center"/>
              <w:rPr>
                <w:rFonts w:eastAsia="仿宋"/>
                <w:color w:val="auto"/>
                <w:szCs w:val="21"/>
              </w:rPr>
            </w:pPr>
            <w:r>
              <w:rPr>
                <w:rFonts w:eastAsia="仿宋"/>
                <w:b/>
                <w:bCs/>
                <w:color w:val="auto"/>
                <w:kern w:val="0"/>
                <w:szCs w:val="21"/>
              </w:rPr>
              <w:t>环境管控单元编码</w:t>
            </w:r>
          </w:p>
        </w:tc>
        <w:tc>
          <w:tcPr>
            <w:tcW w:w="0" w:type="auto"/>
            <w:noWrap/>
            <w:vAlign w:val="center"/>
          </w:tcPr>
          <w:p>
            <w:pPr>
              <w:widowControl/>
              <w:adjustRightInd w:val="0"/>
              <w:snapToGrid w:val="0"/>
              <w:jc w:val="center"/>
              <w:rPr>
                <w:rFonts w:eastAsia="仿宋"/>
                <w:color w:val="auto"/>
                <w:szCs w:val="21"/>
              </w:rPr>
            </w:pPr>
            <w:r>
              <w:rPr>
                <w:rFonts w:eastAsia="仿宋"/>
                <w:b/>
                <w:bCs/>
                <w:color w:val="auto"/>
                <w:kern w:val="0"/>
                <w:szCs w:val="21"/>
              </w:rPr>
              <w:t>环境管控单元名称</w:t>
            </w:r>
          </w:p>
        </w:tc>
        <w:tc>
          <w:tcPr>
            <w:tcW w:w="0" w:type="auto"/>
            <w:noWrap/>
            <w:vAlign w:val="center"/>
          </w:tcPr>
          <w:p>
            <w:pPr>
              <w:adjustRightInd w:val="0"/>
              <w:snapToGrid w:val="0"/>
              <w:jc w:val="center"/>
              <w:rPr>
                <w:rFonts w:eastAsia="仿宋"/>
                <w:color w:val="auto"/>
                <w:kern w:val="0"/>
                <w:szCs w:val="21"/>
              </w:rPr>
            </w:pPr>
            <w:r>
              <w:rPr>
                <w:rFonts w:eastAsia="仿宋"/>
                <w:b/>
                <w:bCs/>
                <w:color w:val="auto"/>
                <w:kern w:val="0"/>
                <w:szCs w:val="21"/>
              </w:rPr>
              <w:t>乐山市普适性清单</w:t>
            </w:r>
          </w:p>
        </w:tc>
        <w:tc>
          <w:tcPr>
            <w:tcW w:w="0" w:type="auto"/>
            <w:noWrap/>
            <w:vAlign w:val="center"/>
          </w:tcPr>
          <w:p>
            <w:pPr>
              <w:widowControl/>
              <w:adjustRightInd w:val="0"/>
              <w:snapToGrid w:val="0"/>
              <w:jc w:val="center"/>
              <w:rPr>
                <w:rFonts w:eastAsia="仿宋"/>
                <w:color w:val="auto"/>
                <w:szCs w:val="21"/>
              </w:rPr>
            </w:pPr>
            <w:r>
              <w:rPr>
                <w:rFonts w:eastAsia="仿宋"/>
                <w:b/>
                <w:bCs/>
                <w:color w:val="auto"/>
                <w:kern w:val="0"/>
                <w:szCs w:val="21"/>
              </w:rPr>
              <w:t>管控类别</w:t>
            </w:r>
          </w:p>
        </w:tc>
        <w:tc>
          <w:tcPr>
            <w:tcW w:w="0" w:type="auto"/>
            <w:noWrap/>
            <w:vAlign w:val="center"/>
          </w:tcPr>
          <w:p>
            <w:pPr>
              <w:widowControl/>
              <w:adjustRightInd w:val="0"/>
              <w:snapToGrid w:val="0"/>
              <w:jc w:val="center"/>
              <w:rPr>
                <w:rFonts w:eastAsia="仿宋"/>
                <w:color w:val="auto"/>
                <w:szCs w:val="21"/>
              </w:rPr>
            </w:pPr>
            <w:r>
              <w:rPr>
                <w:rFonts w:eastAsia="仿宋"/>
                <w:b/>
                <w:bCs/>
                <w:color w:val="auto"/>
                <w:kern w:val="0"/>
                <w:szCs w:val="21"/>
              </w:rPr>
              <w:t>单元特性管控要求</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b/>
                <w:bCs/>
                <w:color w:val="auto"/>
                <w:kern w:val="0"/>
                <w:sz w:val="21"/>
              </w:rPr>
            </w:pPr>
            <w:r>
              <w:rPr>
                <w:rFonts w:eastAsia="宋体"/>
                <w:b/>
                <w:bCs/>
                <w:color w:val="auto"/>
                <w:kern w:val="0"/>
                <w:sz w:val="21"/>
              </w:rPr>
              <w:t>项目对应情况介绍</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b/>
                <w:bCs/>
                <w:color w:val="auto"/>
                <w:kern w:val="0"/>
                <w:sz w:val="21"/>
              </w:rPr>
            </w:pPr>
            <w:r>
              <w:rPr>
                <w:rFonts w:eastAsia="宋体"/>
                <w:b/>
                <w:bCs/>
                <w:color w:val="auto"/>
                <w:sz w:val="21"/>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ZH51110220004</w:t>
            </w:r>
          </w:p>
        </w:tc>
        <w:tc>
          <w:tcPr>
            <w:tcW w:w="0" w:type="auto"/>
            <w:vMerge w:val="restart"/>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市中区要素重点管控单元</w:t>
            </w:r>
          </w:p>
        </w:tc>
        <w:tc>
          <w:tcPr>
            <w:tcW w:w="0" w:type="auto"/>
            <w:vMerge w:val="restart"/>
            <w:noWrap/>
            <w:vAlign w:val="center"/>
          </w:tcPr>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空间布局约束：</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禁止开发建设活动的要求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（1）禁止在长江干支流岸线一公里范围内新建、扩建化工园区和化工项目；禁止在长江重要支流岸线一公里范围内新建、改建、扩建尾矿库（以提升安全、生态环境保护水平为目的的改建除外）；</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（2）禁止在长江流域开放水域养殖、投放外来物种或者其他非本地物种种质资源。禁止在长江流域禁止采砂区和禁止采砂期从事采砂活动。全面停止小型水电项目开发，已建成的中小型水电站不再扩容；</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（3）禁止在法律法规规定的禁采区内开采矿产；禁止土法采、选、冶严重污染环境的矿产资源；</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（4）对于基本农田，除法律规定的重点建设项目选址确实无法避让外，其他任何建设不得占用；</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（5）畜禽养殖严格按照乐山市各区县畜禽养殖区域划定方案执行，依法关闭或搬迁禁养区内的畜禽养殖场（小区）和养殖专业户。</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限制开发建设活动的要求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（1）现有化工、建材、有色、钢铁等工业企业，原则上限制发展，污染物排放只降不增，允许以提升安全、生态环境保护水平为目的的改建，引导企业结合产业升级等适时搬迁入园；</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（2）单元内若新布局工业园区，应符合最新的国土空间规划，并结合区域环境特点、三线成果、园区产业类别，充分论证选址的环境合理性；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水环境农业污染重点管控区应严格限制布设以电力、钢铁、造纸、石化、化工、印染、化纤等高耗水行业为主导产业的园区；新建屠宰、用排水量大的农副产品加工等以水污染为主的企业，严格实行水污染物倍量替代；控制畜禽养殖规模，全面治理畜禽养殖污染；</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4）大气环境布局敏感区应严格限制布设以钢铁、建材、石化、化工、有色等高污染行业为主导产业的园区，大气环境弱扩散区谨慎布局垃圾发电、危废焚烧等以大气污染为主的企业；位于不达标区域的大气环境布局敏感严格限制新建、扩建涉气三类工业项目；</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5）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（6）坚持最严格的耕地保护制度，对全部耕地按限制开发的要求进行管理。严格限制农用地转为建设用地，控制建设用地总量，对耕地实行特殊保护；</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7）新建大中型水电工程，应当经科学论证，并报国务院或者国务院授权的部门批准。除与生态环境保护相协调的且是国务院及其相关部门、省级人民政府认可的脱贫攻坚项目外，严控新建商业开发的小水电项目；</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（8）长江流域河道采砂应当依法取得国务院水行政主管部门有关流域管理机构或者县级以上地方人民政府水行政主管部门的许可。严格控制采砂区域、采砂总量和采砂区域内的采砂船舶数量。</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不符合空间布局要求活动的退出要求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（1）全面取缔禁养区内规模化畜禽养殖场。岷江岸线延伸至陆域200米范围内基本消除畜禽养殖场（小区）；</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（2）对长江流域已建小水电工程，不符合生态保护要求的，县级以上地方人民政府应当组织分类整改或者采取措施逐步退出；</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（3）长江主要支流重点管控岸线：按照长江干线非法码头治理标准和生态保护红线管控等要求，持续开展长江主要支流非法码头整治。</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其他空间布局约束要求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污染物排放管控：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允许排放量要求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（1）对新建排放二氧化硫、氮氧化物、工业烟粉尘和挥发性有机物的项目实施现役源2倍削减替代；</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（2）上一年度水环境质量未完成目标的，新建排放水污染的建设项目按照总量管控要求进行倍量削减替代；</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（3）水质超标的水功能区，应当实施更严格的污染物排放总量削减要求。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现有源提标升级改造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 xml:space="preserve">（1）现有处理规模大于1000吨日的城镇生活污水处理厂，以及存栏量≥300 头猪、粪污经处理后向环境排放的畜禽养殖场，应执行《四川省岷江、沱江流域水污染物排放标准》（DB512311-2016）相关要求； </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市中区、五通桥区、沙湾区、犍为县、井研县、夹江县、峨眉山市的现有企业执行相应行业以及锅炉大气污染物排放标准中颗粒物、二氧化硫、氮氧化物和挥发性有机物特别排放限值和特别控制要求。全市燃煤锅炉稳定达到超低排放限值要求，烟粉尘低于10毫克立方米，二氧化硫低于35毫克立方米，氮氧化物低于50毫克立方米；</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严禁新增钢铁、电力、水泥、玻璃、砖瓦、陶瓷、焦化、电解铝、有色等重点行业大气污染物排放。持续推进水泥、陶瓷、砖瓦、铸造、铁合金、钢铁等行业大气污染深度治理，深入推进颗粒物、二氧化硫、氮氧化物和挥发性有机物治理，持续推进陶瓷行业（喷雾干燥塔）清洁能源改造工程，加快推进五通桥涉氨排放化工企业氨排放治理。</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其他污染物排放管控要求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（1）新、改、扩建工业项目全面执行大气污染物特别排放限值。</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（2）乡镇生活污水处理设施全覆盖，生活污水收集处理率80%。到 2022 年底，65%以上的行政村农村生活污水得到有效治理。</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新、改扩建规模化畜禽养殖场（小区）要实施雨污分流、粪便污水资源化利用。主要农作物化肥、农药使用量实现零增长，利用率提高到40%以上，测土配方施肥技术推广覆盖率提高到90%以上，控制农村面源污染，采取灌排分离等措施控制农田氮磷流失。</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（4）新、改扩造纸企业参考执行乐山市“三线一单”生态环境分区管控中制浆造纸行业资源环境绩效准入门槛相应要求。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（5）屠宰项目如需接入城市污水管网，必须按照排水许可证要求排放污水，同时接受所在地的城镇排水主管部门的监督管理。</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（6）到 2023 年底，乡镇及行政村生活垃圾收转运处置体系基本实现全覆盖。</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7）大气环境布局敏感区强化挥发性有机物整治。扎实推进机械设备制造、家具制造等重点行业挥发性有机物治理，确保全面达标；推广使用符合环保要求的建筑涂料、木器涂料、胶黏剂等产品；全面推广汽修行业使用低挥发性涂料，采用高效涂装工艺，完善有机废气收集和处理系统，取缔露天和敞开式汽修喷涂作业。</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8）严格执行《关于实施第六阶段机动车排放标准的通告》及《四川省机动车和非道路移动机械排气污染防治办法》。加强油品的监督管理，按照国家、省要求全面供应国六标准的车用汽柴油，严厉打击生产、销售、使用不合格油品和车用尿素行为。</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9）严格控制道路扬尘。国省道路、高速路连接线等重点通行线路和建成区城乡结合部每天机械化清扫、冲洗不少于1次。强化城郊结合部扬尘污染管控。重点抓好重点交通建筑工地扬尘治理，切实加强城郊结合部重点货车绕行道路扬尘治理。熏制腊肉集中规划布点，加强宣传和引导，防止腌制品熏制污染大气环境。</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环境风险防控：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联防联控要求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其他环境风险防控要求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（1）严禁新增以铅、汞、镉、铬、砷五类重金属为主的污染物排放，引导现有企业结合产业升级等适时搬入产业对口园区；</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应按相关要求进行土壤环境状况调查评估，符合相应规划用地土壤环境质量要求的地块，方可进入用地程序；</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（3）严禁将城镇生活垃圾、污泥、工业废物直接用作肥料，禁止处理不达标的污泥进入耕地；禁止在农用地排放、倾倒、使用污泥、清淤底泥、尾矿（渣）等可能对土壤造成污染的固体废物；</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4）严格控制在优先保护类耕地集中的区县新建有色金属矿采选、有色金属冶炼、石油加工、化工、焦化、电镀、制革、天然（页岩）气开采、铅蓄电池、汽车制造、农药、危废处置、电子拆解、涉重等行业企业。严格控制林地、草地、园地的农药使用量，禁止使用高毒、高残留农药。</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资源开发利用效率要求：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水资源利用总量要求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加强农业灌溉管理，发展喷灌、微灌、管道输水灌溉、水肥一体化等高效农业节水灌溉方式和农耕农艺节水技术，提高输配水效率和调度水平。发展节水渔业、牧业，组织实施规模养殖场节水建设和改造，推行节水型畜禽养殖技术和方式。</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地下水开采要求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能源利用总量及效率要求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（1）禁止焚烧秸秆，大力推进秸秆肥料化、饲料化、基料化、原料化、能源化等多种形式的秸秆综合利用。</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（2）到2030年，农业废弃物全部实现资源化利用，</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（3）在秋收和夏收阶段开展秸秆禁烧专项巡查，强化成都平原地区区域联动。</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禁燃区要求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（1）能源结构以天然气和电为主。保留20蒸吨小时以上燃煤锅炉，并执行超低排放要求，鼓励搬入园区；</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（2）禁燃区内禁止审批（核准、备案）、新建、扩建燃用高污染燃料的项目和设施。</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其他资源利用效率要求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tc>
        <w:tc>
          <w:tcPr>
            <w:tcW w:w="0" w:type="auto"/>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空间布局约束</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禁止开发建设活动的要求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执行乐山市要素重点管控单元普适性总体准入要求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限制开发建设活动的要求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1、严控新（改、扩）建排放污染物的项目；2、其他执行乐山市要素重点管控单元普适性总体准入要求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允许开发建设活动的要求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不符合空间布局要求活动的退出要求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1、单元内既有合法手续的、且污染物排放和环境风险满足管控要求的企业可继续保留，不得新增污染物排放，并进一步加强监管；否则限期进行整改，整改后仍不能达到要求的，属地政府责令关停退出；2、执行乐山市要素重点管控单元普适性总体准入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其他空间布局约束要求</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kern w:val="0"/>
                <w:sz w:val="21"/>
              </w:rPr>
              <w:t>本项</w:t>
            </w:r>
            <w:r>
              <w:rPr>
                <w:rFonts w:hint="eastAsia" w:eastAsia="宋体"/>
                <w:color w:val="auto"/>
                <w:kern w:val="0"/>
                <w:sz w:val="21"/>
                <w:lang w:eastAsia="zh-CN"/>
              </w:rPr>
              <w:t>目为</w:t>
            </w:r>
            <w:r>
              <w:rPr>
                <w:rFonts w:eastAsia="宋体"/>
                <w:color w:val="auto"/>
                <w:kern w:val="0"/>
                <w:sz w:val="21"/>
              </w:rPr>
              <w:t>水稳层生产项目，不占用基本农田，不在园区内，运营期配套有相关环保设施，确保污染物达标排放</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ZH51110220004</w:t>
            </w:r>
          </w:p>
        </w:tc>
        <w:tc>
          <w:tcPr>
            <w:tcW w:w="0" w:type="auto"/>
            <w:vMerge w:val="continue"/>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市中区要素重点管控单元</w:t>
            </w:r>
          </w:p>
        </w:tc>
        <w:tc>
          <w:tcPr>
            <w:tcW w:w="0" w:type="auto"/>
            <w:vMerge w:val="continue"/>
            <w:noWrap/>
            <w:vAlign w:val="center"/>
          </w:tcPr>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空间布局约束：</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禁止开发建设活动的要求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（1）禁止在长江干支流岸线一公里范围内新建、扩建化工园区和化工项目；禁止在长江重要支流岸线一公里范围内新建、改建、扩建尾矿库（以提升安全、生态环境保护水平为目的的改建除外）；</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（2）禁止在长江流域开放水域养殖、投放外来物种或者其他非本地物种种质资源。禁止在长江流域禁止采砂区和禁止采砂期从事采砂活动。全面停止小型水电项目开发，已建成的中小型水电站不再扩容；</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（3）禁止在法律法规规定的禁采区内开采矿产；禁止土法采、选、冶严重污染环境的矿产资源；</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（4）对于基本农田，除法律规定的重点建设项目选址确实无法避让外，其他任何建设不得占用；</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（5）畜禽养殖严格按照乐山市各区县畜禽养殖区域划定方案执行，依法关闭或搬迁禁养区内的畜禽养殖场（小区）和养殖专业户。</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限制开发建设活动的要求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（1）现有化工、建材、有色、钢铁等工业企业，原则上限制发展，污染物排放只降不增，允许以提升安全、生态环境保护水平为目的的改建，引导企业结合产业升级等适时搬迁入园；</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（2）单元内若新布局工业园区，应符合最新的国土空间规划，并结合区域环境特点、三线成果、园区产业类别，充分论证选址的环境合理性；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水环境农业污染重点管控区应严格限制布设以电力、钢铁、造纸、石化、化工、印染、化纤等高耗水行业为主导产业的园区；新建屠宰、用排水量大的农副产品加工等以水污染为主的企业，严格实行水污染物倍量替代；控制畜禽养殖规模，全面治理畜禽养殖污染；</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4）大气环境布局敏感区应严格限制布设以钢铁、建材、石化、化工、有色等高污染行业为主导产业的园区，大气环境弱扩散区谨慎布局垃圾发电、危废焚烧等以大气污染为主的企业；位于不达标区域的大气环境布局敏感严格限制新建、扩建涉气三类工业项目；</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5）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（6）坚持最严格的耕地保护制度，对全部耕地按限制开发的要求进行管理。严格限制农用地转为建设用地，控制建设用地总量，对耕地实行特殊保护；</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7）新建大中型水电工程，应当经科学论证，并报国务院或者国务院授权的部门批准。除与生态环境保护相协调的且是国务院及其相关部门、省级人民政府认可的脱贫攻坚项目外，严控新建商业开发的小水电项目；</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（8）长江流域河道采砂应当依法取得国务院水行政主管部门有关流域管理机构或者县级以上地方人民政府水行政主管部门的许可。严格控制采砂区域、采砂总量和采砂区域内的采砂船舶数量。</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不符合空间布局要求活动的退出要求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（1）全面取缔禁养区内规模化畜禽养殖场。岷江岸线延伸至陆域200米范围内基本消除畜禽养殖场（小区）；</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（2）对长江流域已建小水电工程，不符合生态保护要求的，县级以上地方人民政府应当组织分类整改或者采取措施逐步退出；</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（3）长江主要支流重点管控岸线：按照长江干线非法码头治理标准和生态保护红线管控等要求，持续开展长江主要支流非法码头整治。</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其他空间布局约束要求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污染物排放管控：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允许排放量要求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（1）对新建排放二氧化硫、氮氧化物、工业烟粉尘和挥发性有机物的项目实施现役源2倍削减替代；</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（2）上一年度水环境质量未完成目标的，新建排放水污染的建设项目按照总量管控要求进行倍量削减替代；</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（3）水质超标的水功能区，应当实施更严格的污染物排放总量削减要求。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现有源提标升级改造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 xml:space="preserve">（1）现有处理规模大于1000吨日的城镇生活污水处理厂，以及存栏量≥300 头猪、粪污经处理后向环境排放的畜禽养殖场，应执行《四川省岷江、沱江流域水污染物排放标准》（DB512311-2016）相关要求； </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市中区、五通桥区、沙湾区、犍为县、井研县、夹江县、峨眉山市的现有企业执行相应行业以及锅炉大气污染物排放标准中颗粒物、二氧化硫、氮氧化物和挥发性有机物特别排放限值和特别控制要求。全市燃煤锅炉稳定达到超低排放限值要求，烟粉尘低于10毫克立方米，二氧化硫低于35毫克立方米，氮氧化物低于50毫克立方米；</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严禁新增钢铁、电力、水泥、玻璃、砖瓦、陶瓷、焦化、电解铝、有色等重点行业大气污染物排放。持续推进水泥、陶瓷、砖瓦、铸造、铁合金、钢铁等行业大气污染深度治理，深入推进颗粒物、二氧化硫、氮氧化物和挥发性有机物治理，持续推进陶瓷行业（喷雾干燥塔）清洁能源改造工程，加快推进五通桥涉氨排放化工企业氨排放治理。</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其他污染物排放管控要求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（1）新、改、扩建工业项目全面执行大气污染物特别排放限值。</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（2）乡镇生活污水处理设施全覆盖，生活污水收集处理率80%。到 2022 年底，65%以上的行政村农村生活污水得到有效治理。</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新、改扩建规模化畜禽养殖场（小区）要实施雨污分流、粪便污水资源化利用。主要农作物化肥、农药使用量实现零增长，利用率提高到40%以上，测土配方施肥技术推广覆盖率提高到90%以上，控制农村面源污染，采取灌排分离等措施控制农田氮磷流失。</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（4）新、改扩造纸企业参考执行乐山市“三线一单”生态环境分区管控中制浆造纸行业资源环境绩效准入门槛相应要求。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（5）屠宰项目如需接入城市污水管网，必须按照排水许可证要求排放污水，同时接受所在地的城镇排水主管部门的监督管理。</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（6）到 2023 年底，乡镇及行政村生活垃圾收转运处置体系基本实现全覆盖。</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7）大气环境布局敏感区强化挥发性有机物整治。扎实推进机械设备制造、家具制造等重点行业挥发性有机物治理，确保全面达标；推广使用符合环保要求的建筑涂料、木器涂料、胶黏剂等产品；全面推广汽修行业使用低挥发性涂料，采用高效涂装工艺，完善有机废气收集和处理系统，取缔露天和敞开式汽修喷涂作业。</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8）严格执行《关于实施第六阶段机动车排放标准的通告》及《四川省机动车和非道路移动机械排气污染防治办法》。加强油品的监督管理，按照国家、省要求全面供应国六标准的车用汽柴油，严厉打击生产、销售、使用不合格油品和车用尿素行为。</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9）严格控制道路扬尘。国省道路、高速路连接线等重点通行线路和建成区城乡结合部每天机械化清扫、冲洗不少于1次。强化城郊结合部扬尘污染管控。重点抓好重点交通建筑工地扬尘治理，切实加强城郊结合部重点货车绕行道路扬尘治理。熏制腊肉集中规划布点，加强宣传和引导，防止腌制品熏制污染大气环境。</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环境风险防控：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联防联控要求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其他环境风险防控要求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（1）严禁新增以铅、汞、镉、铬、砷五类重金属为主的污染物排放，引导现有企业结合产业升级等适时搬入产业对口园区；</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应按相关要求进行土壤环境状况调查评估，符合相应规划用地土壤环境质量要求的地块，方可进入用地程序；</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（3）严禁将城镇生活垃圾、污泥、工业废物直接用作肥料，禁止处理不达标的污泥进入耕地；禁止在农用地排放、倾倒、使用污泥、清淤底泥、尾矿（渣）等可能对土壤造成污染的固体废物；</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4）严格控制在优先保护类耕地集中的区县新建有色金属矿采选、有色金属冶炼、石油加工、化工、焦化、电镀、制革、天然（页岩）气开采、铅蓄电池、汽车制造、农药、危废处置、电子拆解、涉重等行业企业。严格控制林地、草地、园地的农药使用量，禁止使用高毒、高残留农药。</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资源开发利用效率要求：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水资源利用总量要求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加强农业灌溉管理，发展喷灌、微灌、管道输水灌溉、水肥一体化等高效农业节水灌溉方式和农耕农艺节水技术，提高输配水效率和调度水平。发展节水渔业、牧业，组织实施规模养殖场节水建设和改造，推行节水型畜禽养殖技术和方式。</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地下水开采要求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能源利用总量及效率要求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（1）禁止焚烧秸秆，大力推进秸秆肥料化、饲料化、基料化、原料化、能源化等多种形式的秸秆综合利用。</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（2）到2030年，农业废弃物全部实现资源化利用，</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（3）在秋收和夏收阶段开展秸秆禁烧专项巡查，强化成都平原地区区域联动。</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禁燃区要求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（1）能源结构以天然气和电为主。保留20蒸吨小时以上燃煤锅炉，并执行超低排放要求，鼓励搬入园区；</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（2）禁燃区内禁止审批（核准、备案）、新建、扩建燃用高污染燃料的项目和设施。</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其他资源利用效率要求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tc>
        <w:tc>
          <w:tcPr>
            <w:tcW w:w="0" w:type="auto"/>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污染物排放管控</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现有源提标升级改造</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1、现有白酒、造纸等水污染企业，限期进行深度治理，不达标的企业关停并转；2、执行乐山市要素重点管控单元普适性总体准入要求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新增源等量或倍量替代</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执行乐山市要素重点管控单元普适性总体准入要求。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新增源排放标准限值</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污染物排放绩效水平准入要求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1、控制工业、生活污染源，减少移动源污染物排放。打好柴油货车污染治理攻坚战，实施“车、油、路、管”综合整治；加快老旧车辆的淘汰和不达标车辆的整治。加强渣土运输车辆规范化管理，严格实施密闭运输，强化城乡结合部环境监管。</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其他污染物排放管控要求</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kern w:val="0"/>
                <w:sz w:val="21"/>
              </w:rPr>
              <w:t>本项目为水稳层生产项目，项目运营过程中加强管理，确保污染物达标排放</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ZH51110220004</w:t>
            </w:r>
          </w:p>
        </w:tc>
        <w:tc>
          <w:tcPr>
            <w:tcW w:w="0" w:type="auto"/>
            <w:vMerge w:val="continue"/>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市中区要素重点管控单元</w:t>
            </w:r>
          </w:p>
        </w:tc>
        <w:tc>
          <w:tcPr>
            <w:tcW w:w="0" w:type="auto"/>
            <w:vMerge w:val="continue"/>
            <w:noWrap/>
            <w:vAlign w:val="center"/>
          </w:tcPr>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空间布局约束：</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禁止开发建设活动的要求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（1）禁止在长江干支流岸线一公里范围内新建、扩建化工园区和化工项目；禁止在长江重要支流岸线一公里范围内新建、改建、扩建尾矿库（以提升安全、生态环境保护水平为目的的改建除外）；</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（2）禁止在长江流域开放水域养殖、投放外来物种或者其他非本地物种种质资源。禁止在长江流域禁止采砂区和禁止采砂期从事采砂活动。全面停止小型水电项目开发，已建成的中小型水电站不再扩容；</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（3）禁止在法律法规规定的禁采区内开采矿产；禁止土法采、选、冶严重污染环境的矿产资源；</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（4）对于基本农田，除法律规定的重点建设项目选址确实无法避让外，其他任何建设不得占用；</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（5）畜禽养殖严格按照乐山市各区县畜禽养殖区域划定方案执行，依法关闭或搬迁禁养区内的畜禽养殖场（小区）和养殖专业户。</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限制开发建设活动的要求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（1）现有化工、建材、有色、钢铁等工业企业，原则上限制发展，污染物排放只降不增，允许以提升安全、生态环境保护水平为目的的改建，引导企业结合产业升级等适时搬迁入园；</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（2）单元内若新布局工业园区，应符合最新的国土空间规划，并结合区域环境特点、三线成果、园区产业类别，充分论证选址的环境合理性；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水环境农业污染重点管控区应严格限制布设以电力、钢铁、造纸、石化、化工、印染、化纤等高耗水行业为主导产业的园区；新建屠宰、用排水量大的农副产品加工等以水污染为主的企业，严格实行水污染物倍量替代；控制畜禽养殖规模，全面治理畜禽养殖污染；</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4）大气环境布局敏感区应严格限制布设以钢铁、建材、石化、化工、有色等高污染行业为主导产业的园区，大气环境弱扩散区谨慎布局垃圾发电、危废焚烧等以大气污染为主的企业；位于不达标区域的大气环境布局敏感严格限制新建、扩建涉气三类工业项目；</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5）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（6）坚持最严格的耕地保护制度，对全部耕地按限制开发的要求进行管理。严格限制农用地转为建设用地，控制建设用地总量，对耕地实行特殊保护；</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7）新建大中型水电工程，应当经科学论证，并报国务院或者国务院授权的部门批准。除与生态环境保护相协调的且是国务院及其相关部门、省级人民政府认可的脱贫攻坚项目外，严控新建商业开发的小水电项目；</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（8）长江流域河道采砂应当依法取得国务院水行政主管部门有关流域管理机构或者县级以上地方人民政府水行政主管部门的许可。严格控制采砂区域、采砂总量和采砂区域内的采砂船舶数量。</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不符合空间布局要求活动的退出要求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（1）全面取缔禁养区内规模化畜禽养殖场。岷江岸线延伸至陆域200米范围内基本消除畜禽养殖场（小区）；</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（2）对长江流域已建小水电工程，不符合生态保护要求的，县级以上地方人民政府应当组织分类整改或者采取措施逐步退出；</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（3）长江主要支流重点管控岸线：按照长江干线非法码头治理标准和生态保护红线管控等要求，持续开展长江主要支流非法码头整治。</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其他空间布局约束要求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污染物排放管控：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允许排放量要求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（1）对新建排放二氧化硫、氮氧化物、工业烟粉尘和挥发性有机物的项目实施现役源2倍削减替代；</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（2）上一年度水环境质量未完成目标的，新建排放水污染的建设项目按照总量管控要求进行倍量削减替代；</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（3）水质超标的水功能区，应当实施更严格的污染物排放总量削减要求。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现有源提标升级改造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 xml:space="preserve">（1）现有处理规模大于1000吨日的城镇生活污水处理厂，以及存栏量≥300 头猪、粪污经处理后向环境排放的畜禽养殖场，应执行《四川省岷江、沱江流域水污染物排放标准》（DB512311-2016）相关要求； </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市中区、五通桥区、沙湾区、犍为县、井研县、夹江县、峨眉山市的现有企业执行相应行业以及锅炉大气污染物排放标准中颗粒物、二氧化硫、氮氧化物和挥发性有机物特别排放限值和特别控制要求。全市燃煤锅炉稳定达到超低排放限值要求，烟粉尘低于10毫克立方米，二氧化硫低于35毫克立方米，氮氧化物低于50毫克立方米；</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严禁新增钢铁、电力、水泥、玻璃、砖瓦、陶瓷、焦化、电解铝、有色等重点行业大气污染物排放。持续推进水泥、陶瓷、砖瓦、铸造、铁合金、钢铁等行业大气污染深度治理，深入推进颗粒物、二氧化硫、氮氧化物和挥发性有机物治理，持续推进陶瓷行业（喷雾干燥塔）清洁能源改造工程，加快推进五通桥涉氨排放化工企业氨排放治理。</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其他污染物排放管控要求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（1）新、改、扩建工业项目全面执行大气污染物特别排放限值。</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（2）乡镇生活污水处理设施全覆盖，生活污水收集处理率80%。到 2022 年底，65%以上的行政村农村生活污水得到有效治理。</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新、改扩建规模化畜禽养殖场（小区）要实施雨污分流、粪便污水资源化利用。主要农作物化肥、农药使用量实现零增长，利用率提高到40%以上，测土配方施肥技术推广覆盖率提高到90%以上，控制农村面源污染，采取灌排分离等措施控制农田氮磷流失。</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（4）新、改扩造纸企业参考执行乐山市“三线一单”生态环境分区管控中制浆造纸行业资源环境绩效准入门槛相应要求。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（5）屠宰项目如需接入城市污水管网，必须按照排水许可证要求排放污水，同时接受所在地的城镇排水主管部门的监督管理。</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（6）到 2023 年底，乡镇及行政村生活垃圾收转运处置体系基本实现全覆盖。</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7）大气环境布局敏感区强化挥发性有机物整治。扎实推进机械设备制造、家具制造等重点行业挥发性有机物治理，确保全面达标；推广使用符合环保要求的建筑涂料、木器涂料、胶黏剂等产品；全面推广汽修行业使用低挥发性涂料，采用高效涂装工艺，完善有机废气收集和处理系统，取缔露天和敞开式汽修喷涂作业。</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8）严格执行《关于实施第六阶段机动车排放标准的通告》及《四川省机动车和非道路移动机械排气污染防治办法》。加强油品的监督管理，按照国家、省要求全面供应国六标准的车用汽柴油，严厉打击生产、销售、使用不合格油品和车用尿素行为。</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9）严格控制道路扬尘。国省道路、高速路连接线等重点通行线路和建成区城乡结合部每天机械化清扫、冲洗不少于1次。强化城郊结合部扬尘污染管控。重点抓好重点交通建筑工地扬尘治理，切实加强城郊结合部重点货车绕行道路扬尘治理。熏制腊肉集中规划布点，加强宣传和引导，防止腌制品熏制污染大气环境。</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环境风险防控：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联防联控要求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其他环境风险防控要求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（1）严禁新增以铅、汞、镉、铬、砷五类重金属为主的污染物排放，引导现有企业结合产业升级等适时搬入产业对口园区；</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应按相关要求进行土壤环境状况调查评估，符合相应规划用地土壤环境质量要求的地块，方可进入用地程序；</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（3）严禁将城镇生活垃圾、污泥、工业废物直接用作肥料，禁止处理不达标的污泥进入耕地；禁止在农用地排放、倾倒、使用污泥、清淤底泥、尾矿（渣）等可能对土壤造成污染的固体废物；</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4）严格控制在优先保护类耕地集中的区县新建有色金属矿采选、有色金属冶炼、石油加工、化工、焦化、电镀、制革、天然（页岩）气开采、铅蓄电池、汽车制造、农药、危废处置、电子拆解、涉重等行业企业。严格控制林地、草地、园地的农药使用量，禁止使用高毒、高残留农药。</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资源开发利用效率要求：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水资源利用总量要求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加强农业灌溉管理，发展喷灌、微灌、管道输水灌溉、水肥一体化等高效农业节水灌溉方式和农耕农艺节水技术，提高输配水效率和调度水平。发展节水渔业、牧业，组织实施规模养殖场节水建设和改造，推行节水型畜禽养殖技术和方式。</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地下水开采要求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能源利用总量及效率要求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（1）禁止焚烧秸秆，大力推进秸秆肥料化、饲料化、基料化、原料化、能源化等多种形式的秸秆综合利用。</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（2）到2030年，农业废弃物全部实现资源化利用，</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（3）在秋收和夏收阶段开展秸秆禁烧专项巡查，强化成都平原地区区域联动。</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禁燃区要求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（1）能源结构以天然气和电为主。保留20蒸吨小时以上燃煤锅炉，并执行超低排放要求，鼓励搬入园区；</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（2）禁燃区内禁止审批（核准、备案）、新建、扩建燃用高污染燃料的项目和设施。</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其他资源利用效率要求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tc>
        <w:tc>
          <w:tcPr>
            <w:tcW w:w="0" w:type="auto"/>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环境风险防控</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严格管控类农用地管控要求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安全利用类农用地管控要求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污染地块管控要求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园区环境风险防控要求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企业环境风险防控要求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1、土壤污染重点监管企业和污染地块应严格执行《中华人民共和国土壤污染防治法》、《工矿用地土壤环境管理办法（试行）》、《四川省工况用地土壤环境管理办法》、《土壤污染防治行动计划四川省工作方案》、《四川省污染地块土壤环境管理办法》等要求；2、其他执行乐山市要素重点管控单元普适性总体准入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其他环境风险防控要求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执行乐山市要素重点管控单元普适性总体准入要求。</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项目运营过程中严格执行相关法律法规标准</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ZH51110220004</w:t>
            </w:r>
          </w:p>
        </w:tc>
        <w:tc>
          <w:tcPr>
            <w:tcW w:w="0" w:type="auto"/>
            <w:vMerge w:val="continue"/>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市中区要素重点管控单元</w:t>
            </w:r>
          </w:p>
        </w:tc>
        <w:tc>
          <w:tcPr>
            <w:tcW w:w="0" w:type="auto"/>
            <w:vMerge w:val="continue"/>
            <w:noWrap/>
            <w:vAlign w:val="center"/>
          </w:tcPr>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空间布局约束：</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禁止开发建设活动的要求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（1）禁止在长江干支流岸线一公里范围内新建、扩建化工园区和化工项目；禁止在长江重要支流岸线一公里范围内新建、改建、扩建尾矿库（以提升安全、生态环境保护水平为目的的改建除外）；</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（2）禁止在长江流域开放水域养殖、投放外来物种或者其他非本地物种种质资源。禁止在长江流域禁止采砂区和禁止采砂期从事采砂活动。全面停止小型水电项目开发，已建成的中小型水电站不再扩容；</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（3）禁止在法律法规规定的禁采区内开采矿产；禁止土法采、选、冶严重污染环境的矿产资源；</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（4）对于基本农田，除法律规定的重点建设项目选址确实无法避让外，其他任何建设不得占用；</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（5）畜禽养殖严格按照乐山市各区县畜禽养殖区域划定方案执行，依法关闭或搬迁禁养区内的畜禽养殖场（小区）和养殖专业户。</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限制开发建设活动的要求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（1）现有化工、建材、有色、钢铁等工业企业，原则上限制发展，污染物排放只降不增，允许以提升安全、生态环境保护水平为目的的改建，引导企业结合产业升级等适时搬迁入园；</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（2）单元内若新布局工业园区，应符合最新的国土空间规划，并结合区域环境特点、三线成果、园区产业类别，充分论证选址的环境合理性；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水环境农业污染重点管控区应严格限制布设以电力、钢铁、造纸、石化、化工、印染、化纤等高耗水行业为主导产业的园区；新建屠宰、用排水量大的农副产品加工等以水污染为主的企业，严格实行水污染物倍量替代；控制畜禽养殖规模，全面治理畜禽养殖污染；</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4）大气环境布局敏感区应严格限制布设以钢铁、建材、石化、化工、有色等高污染行业为主导产业的园区，大气环境弱扩散区谨慎布局垃圾发电、危废焚烧等以大气污染为主的企业；位于不达标区域的大气环境布局敏感严格限制新建、扩建涉气三类工业项目；</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5）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（6）坚持最严格的耕地保护制度，对全部耕地按限制开发的要求进行管理。严格限制农用地转为建设用地，控制建设用地总量，对耕地实行特殊保护；</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7）新建大中型水电工程，应当经科学论证，并报国务院或者国务院授权的部门批准。除与生态环境保护相协调的且是国务院及其相关部门、省级人民政府认可的脱贫攻坚项目外，严控新建商业开发的小水电项目；</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（8）长江流域河道采砂应当依法取得国务院水行政主管部门有关流域管理机构或者县级以上地方人民政府水行政主管部门的许可。严格控制采砂区域、采砂总量和采砂区域内的采砂船舶数量。</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不符合空间布局要求活动的退出要求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（1）全面取缔禁养区内规模化畜禽养殖场。岷江岸线延伸至陆域200米范围内基本消除畜禽养殖场（小区）；</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（2）对长江流域已建小水电工程，不符合生态保护要求的，县级以上地方人民政府应当组织分类整改或者采取措施逐步退出；</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（3）长江主要支流重点管控岸线：按照长江干线非法码头治理标准和生态保护红线管控等要求，持续开展长江主要支流非法码头整治。</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其他空间布局约束要求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污染物排放管控：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允许排放量要求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（1）对新建排放二氧化硫、氮氧化物、工业烟粉尘和挥发性有机物的项目实施现役源2倍削减替代；</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（2）上一年度水环境质量未完成目标的，新建排放水污染的建设项目按照总量管控要求进行倍量削减替代；</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（3）水质超标的水功能区，应当实施更严格的污染物排放总量削减要求。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现有源提标升级改造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 xml:space="preserve">（1）现有处理规模大于1000吨日的城镇生活污水处理厂，以及存栏量≥300 头猪、粪污经处理后向环境排放的畜禽养殖场，应执行《四川省岷江、沱江流域水污染物排放标准》（DB512311-2016）相关要求； </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市中区、五通桥区、沙湾区、犍为县、井研县、夹江县、峨眉山市的现有企业执行相应行业以及锅炉大气污染物排放标准中颗粒物、二氧化硫、氮氧化物和挥发性有机物特别排放限值和特别控制要求。全市燃煤锅炉稳定达到超低排放限值要求，烟粉尘低于10毫克立方米，二氧化硫低于35毫克立方米，氮氧化物低于50毫克立方米；</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严禁新增钢铁、电力、水泥、玻璃、砖瓦、陶瓷、焦化、电解铝、有色等重点行业大气污染物排放。持续推进水泥、陶瓷、砖瓦、铸造、铁合金、钢铁等行业大气污染深度治理，深入推进颗粒物、二氧化硫、氮氧化物和挥发性有机物治理，持续推进陶瓷行业（喷雾干燥塔）清洁能源改造工程，加快推进五通桥涉氨排放化工企业氨排放治理。</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其他污染物排放管控要求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（1）新、改、扩建工业项目全面执行大气污染物特别排放限值。</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（2）乡镇生活污水处理设施全覆盖，生活污水收集处理率80%。到 2022 年底，65%以上的行政村农村生活污水得到有效治理。</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新、改扩建规模化畜禽养殖场（小区）要实施雨污分流、粪便污水资源化利用。主要农作物化肥、农药使用量实现零增长，利用率提高到40%以上，测土配方施肥技术推广覆盖率提高到90%以上，控制农村面源污染，采取灌排分离等措施控制农田氮磷流失。</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（4）新、改扩造纸企业参考执行乐山市“三线一单”生态环境分区管控中制浆造纸行业资源环境绩效准入门槛相应要求。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（5）屠宰项目如需接入城市污水管网，必须按照排水许可证要求排放污水，同时接受所在地的城镇排水主管部门的监督管理。</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（6）到 2023 年底，乡镇及行政村生活垃圾收转运处置体系基本实现全覆盖。</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7）大气环境布局敏感区强化挥发性有机物整治。扎实推进机械设备制造、家具制造等重点行业挥发性有机物治理，确保全面达标；推广使用符合环保要求的建筑涂料、木器涂料、胶黏剂等产品；全面推广汽修行业使用低挥发性涂料，采用高效涂装工艺，完善有机废气收集和处理系统，取缔露天和敞开式汽修喷涂作业。</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8）严格执行《关于实施第六阶段机动车排放标准的通告》及《四川省机动车和非道路移动机械排气污染防治办法》。加强油品的监督管理，按照国家、省要求全面供应国六标准的车用汽柴油，严厉打击生产、销售、使用不合格油品和车用尿素行为。</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9）严格控制道路扬尘。国省道路、高速路连接线等重点通行线路和建成区城乡结合部每天机械化清扫、冲洗不少于1次。强化城郊结合部扬尘污染管控。重点抓好重点交通建筑工地扬尘治理，切实加强城郊结合部重点货车绕行道路扬尘治理。熏制腊肉集中规划布点，加强宣传和引导，防止腌制品熏制污染大气环境。</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环境风险防控：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联防联控要求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其他环境风险防控要求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（1）严禁新增以铅、汞、镉、铬、砷五类重金属为主的污染物排放，引导现有企业结合产业升级等适时搬入产业对口园区；</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应按相关要求进行土壤环境状况调查评估，符合相应规划用地土壤环境质量要求的地块，方可进入用地程序；</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（3）严禁将城镇生活垃圾、污泥、工业废物直接用作肥料，禁止处理不达标的污泥进入耕地；禁止在农用地排放、倾倒、使用污泥、清淤底泥、尾矿（渣）等可能对土壤造成污染的固体废物；</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4）严格控制在优先保护类耕地集中的区县新建有色金属矿采选、有色金属冶炼、石油加工、化工、焦化、电镀、制革、天然（页岩）气开采、铅蓄电池、汽车制造、农药、危废处置、电子拆解、涉重等行业企业。严格控制林地、草地、园地的农药使用量，禁止使用高毒、高残留农药。</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资源开发利用效率要求：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水资源利用总量要求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加强农业灌溉管理，发展喷灌、微灌、管道输水灌溉、水肥一体化等高效农业节水灌溉方式和农耕农艺节水技术，提高输配水效率和调度水平。发展节水渔业、牧业，组织实施规模养殖场节水建设和改造，推行节水型畜禽养殖技术和方式。</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地下水开采要求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能源利用总量及效率要求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（1）禁止焚烧秸秆，大力推进秸秆肥料化、饲料化、基料化、原料化、能源化等多种形式的秸秆综合利用。</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（2）到2030年，农业废弃物全部实现资源化利用，</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（3）在秋收和夏收阶段开展秸秆禁烧专项巡查，强化成都平原地区区域联动。</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禁燃区要求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（1）能源结构以天然气和电为主。保留20蒸吨小时以上燃煤锅炉，并执行超低排放要求，鼓励搬入园区；</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（2）禁燃区内禁止审批（核准、备案）、新建、扩建燃用高污染燃料的项目和设施。</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其他资源利用效率要求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tc>
        <w:tc>
          <w:tcPr>
            <w:tcW w:w="0" w:type="auto"/>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资源开发效率要求</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水资源利用效率要求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执行乐山市要素重点管控单元普适性总体准入要求。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地下水开采要求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能源利用效率要求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执行乐山市要素重点管控单元普适性总体准入要求。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其他资源利用效率要求</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本项目生产废水全部循环使用</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YS5111023210024</w:t>
            </w:r>
          </w:p>
        </w:tc>
        <w:tc>
          <w:tcPr>
            <w:tcW w:w="0" w:type="auto"/>
            <w:vMerge w:val="restart"/>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岷江市中区青衣坝控制单元</w:t>
            </w:r>
          </w:p>
        </w:tc>
        <w:tc>
          <w:tcPr>
            <w:tcW w:w="0" w:type="auto"/>
            <w:vMerge w:val="restart"/>
            <w:noWrap/>
            <w:vAlign w:val="center"/>
          </w:tcPr>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空间布局约束：</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禁止开发建设活动的要求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限制开发建设活动的要求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不符合空间布局要求活动的退出要求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其他空间布局约束要求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污染物排放管控：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允许排放量要求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现有源提标升级改造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其他污染物排放管控要求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环境风险防控：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联防联控要求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其他环境风险防控要求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资源开发利用效率要求：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水资源利用总量要求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地下水开采要求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能源利用总量及效率要求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禁燃区要求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其他资源利用效率要求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tc>
        <w:tc>
          <w:tcPr>
            <w:tcW w:w="0" w:type="auto"/>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空间布局约束</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禁止开发建设活动的要求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限制开发建设活动的要求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允许开发建设活动的要求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不符合空间布局要求活动的退出要求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其他空间布局约束要求</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YS5111023210024</w:t>
            </w:r>
          </w:p>
        </w:tc>
        <w:tc>
          <w:tcPr>
            <w:tcW w:w="0" w:type="auto"/>
            <w:vMerge w:val="continue"/>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岷江市中区青衣坝控制单元</w:t>
            </w:r>
          </w:p>
        </w:tc>
        <w:tc>
          <w:tcPr>
            <w:tcW w:w="0" w:type="auto"/>
            <w:vMerge w:val="continue"/>
            <w:noWrap/>
            <w:vAlign w:val="center"/>
          </w:tcPr>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空间布局约束：</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禁止开发建设活动的要求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限制开发建设活动的要求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不符合空间布局要求活动的退出要求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其他空间布局约束要求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污染物排放管控：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允许排放量要求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现有源提标升级改造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其他污染物排放管控要求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环境风险防控：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联防联控要求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其他环境风险防控要求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资源开发利用效率要求：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水资源利用总量要求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地下水开采要求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能源利用总量及效率要求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禁燃区要求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其他资源利用效率要求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tc>
        <w:tc>
          <w:tcPr>
            <w:tcW w:w="0" w:type="auto"/>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污染物排放管控</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城镇污水污染控制措施要求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工业废水污染控制措施要求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农业面源水污染控制措施要求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合理布局畜禽养殖规模，单位面积耕地的畜禽承载力不突破《四川省畜禽养殖污染防治技术指南》要求；强化畜禽养殖场污染治理，提高养殖粪污资源化利用率。</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船舶港口水污染控制措施要求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饮用水水源和其它特殊水体保护要求</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本项目无生产废水外排</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YS5111023210024</w:t>
            </w:r>
          </w:p>
        </w:tc>
        <w:tc>
          <w:tcPr>
            <w:tcW w:w="0" w:type="auto"/>
            <w:vMerge w:val="continue"/>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岷江市中区青衣坝控制单元</w:t>
            </w:r>
          </w:p>
        </w:tc>
        <w:tc>
          <w:tcPr>
            <w:tcW w:w="0" w:type="auto"/>
            <w:vMerge w:val="continue"/>
            <w:noWrap/>
            <w:vAlign w:val="center"/>
          </w:tcPr>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空间布局约束：</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禁止开发建设活动的要求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限制开发建设活动的要求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不符合空间布局要求活动的退出要求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其他空间布局约束要求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污染物排放管控：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允许排放量要求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现有源提标升级改造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其他污染物排放管控要求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环境风险防控：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联防联控要求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其他环境风险防控要求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资源开发利用效率要求：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水资源利用总量要求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地下水开采要求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能源利用总量及效率要求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禁燃区要求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其他资源利用效率要求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tc>
        <w:tc>
          <w:tcPr>
            <w:tcW w:w="0" w:type="auto"/>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环境风险防控</w:t>
            </w:r>
          </w:p>
        </w:tc>
        <w:tc>
          <w:tcPr>
            <w:tcW w:w="0" w:type="auto"/>
            <w:vMerge w:val="restart"/>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YS5111023210024</w:t>
            </w:r>
          </w:p>
        </w:tc>
        <w:tc>
          <w:tcPr>
            <w:tcW w:w="0" w:type="auto"/>
            <w:vMerge w:val="continue"/>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岷江市中区青衣坝控制单元</w:t>
            </w:r>
          </w:p>
        </w:tc>
        <w:tc>
          <w:tcPr>
            <w:tcW w:w="0" w:type="auto"/>
            <w:vMerge w:val="continue"/>
            <w:noWrap/>
            <w:vAlign w:val="center"/>
          </w:tcPr>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空间布局约束：</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禁止开发建设活动的要求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限制开发建设活动的要求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不符合空间布局要求活动的退出要求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其他空间布局约束要求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污染物排放管控：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允许排放量要求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现有源提标升级改造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其他污染物排放管控要求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环境风险防控：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联防联控要求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其他环境风险防控要求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资源开发利用效率要求：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水资源利用总量要求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地下水开采要求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能源利用总量及效率要求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禁燃区要求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其他资源利用效率要求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tc>
        <w:tc>
          <w:tcPr>
            <w:tcW w:w="0" w:type="auto"/>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资源开发效率要求</w:t>
            </w:r>
          </w:p>
        </w:tc>
        <w:tc>
          <w:tcPr>
            <w:tcW w:w="0" w:type="auto"/>
            <w:vMerge w:val="continue"/>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YS5111022320001</w:t>
            </w:r>
          </w:p>
        </w:tc>
        <w:tc>
          <w:tcPr>
            <w:tcW w:w="0" w:type="auto"/>
            <w:vMerge w:val="restart"/>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乐山市市中区大气环境布局敏感重点管控区</w:t>
            </w:r>
          </w:p>
        </w:tc>
        <w:tc>
          <w:tcPr>
            <w:tcW w:w="0" w:type="auto"/>
            <w:vMerge w:val="continue"/>
            <w:noWrap/>
            <w:vAlign w:val="center"/>
          </w:tcPr>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空间布局约束：</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禁止开发建设活动的要求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限制开发建设活动的要求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不符合空间布局要求活动的退出要求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其他空间布局约束要求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污染物排放管控：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允许排放量要求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现有源提标升级改造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其他污染物排放管控要求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环境风险防控：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联防联控要求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其他环境风险防控要求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资源开发利用效率要求：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水资源利用总量要求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地下水开采要求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能源利用总量及效率要求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禁燃区要求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其他资源利用效率要求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tc>
        <w:tc>
          <w:tcPr>
            <w:tcW w:w="0" w:type="auto"/>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空间布局约束</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禁止开发建设活动的要求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限制开发建设活动的要求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允许开发建设活动的要求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不符合空间布局要求活动的退出要求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其他空间布局约束要求</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YS5111022320001</w:t>
            </w:r>
          </w:p>
        </w:tc>
        <w:tc>
          <w:tcPr>
            <w:tcW w:w="0" w:type="auto"/>
            <w:vMerge w:val="continue"/>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乐山市市中区大气环境布局敏感重点管控区</w:t>
            </w:r>
          </w:p>
        </w:tc>
        <w:tc>
          <w:tcPr>
            <w:tcW w:w="0" w:type="auto"/>
            <w:vMerge w:val="continue"/>
            <w:noWrap/>
            <w:vAlign w:val="center"/>
          </w:tcPr>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空间布局约束：</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禁止开发建设活动的要求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限制开发建设活动的要求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不符合空间布局要求活动的退出要求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其他空间布局约束要求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污染物排放管控：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允许排放量要求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现有源提标升级改造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其他污染物排放管控要求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环境风险防控：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联防联控要求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其他环境风险防控要求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资源开发利用效率要求：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水资源利用总量要求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地下水开采要求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能源利用总量及效率要求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禁燃区要求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其他资源利用效率要求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tc>
        <w:tc>
          <w:tcPr>
            <w:tcW w:w="0" w:type="auto"/>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污染物排放管控</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大气环境质量执行标准《环境空气质量标准》（GB3095-2012）：二级</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区域大气污染物削减/替代要求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新增大气污染物排放的建设项目实施总量削减替代。</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燃煤和其他能源大气污染控制要求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工业废气污染控制要求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机动车船大气污染控制要求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扬尘污染控制要求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农业生产经营活动大气污染控制要求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重点行业企业专项治理要求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其他大气污染物排放管控要求</w:t>
            </w:r>
          </w:p>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禁止新建高污染项目，新上涉及大气污染物排放的项目必须采用国际领先、国内一流的清洁生产技术。把能源消耗与污染物排放总量指标作为环评审批的前置条件，对新建排放二氧化硫、氮氧化物、工业烟粉尘和挥发性有机物的项目实施现役源2倍削减量替代。提高挥发性有机物污染企业环境准入门槛。对涉VOCs新建项目进行严格把关，要求各类涉VOCs的建设项目在设计、建设中使用国际领先、国内一流的清洁生产和密闭化工艺。</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本项目废气污染物为颗粒物，不属于高污染项目，本项目颗粒物总量在市中区内调剂</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YS5111022320001</w:t>
            </w:r>
          </w:p>
        </w:tc>
        <w:tc>
          <w:tcPr>
            <w:tcW w:w="0" w:type="auto"/>
            <w:vMerge w:val="continue"/>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乐山市市中区大气环境布局敏感重点管控区</w:t>
            </w:r>
          </w:p>
        </w:tc>
        <w:tc>
          <w:tcPr>
            <w:tcW w:w="0" w:type="auto"/>
            <w:vMerge w:val="continue"/>
            <w:noWrap/>
            <w:vAlign w:val="center"/>
          </w:tcPr>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空间布局约束：</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禁止开发建设活动的要求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限制开发建设活动的要求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不符合空间布局要求活动的退出要求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其他空间布局约束要求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污染物排放管控：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允许排放量要求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现有源提标升级改造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其他污染物排放管控要求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环境风险防控：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联防联控要求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其他环境风险防控要求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资源开发利用效率要求：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水资源利用总量要求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地下水开采要求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能源利用总量及效率要求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禁燃区要求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其他资源利用效率要求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tc>
        <w:tc>
          <w:tcPr>
            <w:tcW w:w="0" w:type="auto"/>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环境风险防控</w:t>
            </w:r>
          </w:p>
        </w:tc>
        <w:tc>
          <w:tcPr>
            <w:tcW w:w="0" w:type="auto"/>
            <w:vMerge w:val="restart"/>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YS5111022320001</w:t>
            </w:r>
          </w:p>
        </w:tc>
        <w:tc>
          <w:tcPr>
            <w:tcW w:w="0" w:type="auto"/>
            <w:vMerge w:val="continue"/>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乐山市市中区大气环境布局敏感重点管控区</w:t>
            </w:r>
          </w:p>
        </w:tc>
        <w:tc>
          <w:tcPr>
            <w:tcW w:w="0" w:type="auto"/>
            <w:vMerge w:val="continue"/>
            <w:noWrap/>
            <w:vAlign w:val="center"/>
          </w:tcPr>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空间布局约束：</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禁止开发建设活动的要求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限制开发建设活动的要求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不符合空间布局要求活动的退出要求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其他空间布局约束要求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污染物排放管控：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允许排放量要求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现有源提标升级改造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其他污染物排放管控要求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环境风险防控：</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联防联控要求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其他环境风险防控要求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资源开发利用效率要求：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水资源利用总量要求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地下水开采要求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能源利用总量及效率要求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禁燃区要求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其他资源利用效率要求</w:t>
            </w:r>
          </w:p>
          <w:p>
            <w:pPr>
              <w:pStyle w:val="201"/>
              <w:adjustRightInd w:val="0"/>
              <w:snapToGrid w:val="0"/>
              <w:spacing w:line="240" w:lineRule="auto"/>
              <w:ind w:firstLine="0" w:firstLineChars="0"/>
              <w:jc w:val="center"/>
              <w:rPr>
                <w:rFonts w:eastAsia="宋体"/>
                <w:color w:val="auto"/>
                <w:kern w:val="0"/>
                <w:sz w:val="21"/>
              </w:rPr>
            </w:pPr>
            <w:r>
              <w:rPr>
                <w:rFonts w:eastAsia="宋体"/>
                <w:color w:val="auto"/>
                <w:kern w:val="0"/>
                <w:sz w:val="21"/>
              </w:rPr>
              <w:t>暂无</w:t>
            </w:r>
          </w:p>
        </w:tc>
        <w:tc>
          <w:tcPr>
            <w:tcW w:w="0" w:type="auto"/>
            <w:noWrap/>
            <w:vAlign w:val="center"/>
          </w:tcPr>
          <w:p>
            <w:pPr>
              <w:pStyle w:val="201"/>
              <w:widowControl/>
              <w:adjustRightInd w:val="0"/>
              <w:snapToGrid w:val="0"/>
              <w:spacing w:line="240" w:lineRule="auto"/>
              <w:ind w:firstLine="0" w:firstLineChars="0"/>
              <w:jc w:val="center"/>
              <w:rPr>
                <w:rFonts w:eastAsia="宋体"/>
                <w:color w:val="auto"/>
                <w:sz w:val="21"/>
              </w:rPr>
            </w:pPr>
            <w:r>
              <w:rPr>
                <w:rFonts w:eastAsia="宋体"/>
                <w:color w:val="auto"/>
                <w:sz w:val="21"/>
              </w:rPr>
              <w:t>资源开发效率要求</w:t>
            </w:r>
          </w:p>
        </w:tc>
        <w:tc>
          <w:tcPr>
            <w:tcW w:w="0" w:type="auto"/>
            <w:vMerge w:val="continue"/>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w:t>
            </w:r>
          </w:p>
        </w:tc>
        <w:tc>
          <w:tcPr>
            <w:tcW w:w="0" w:type="auto"/>
            <w:noWrap/>
            <w:vAlign w:val="center"/>
          </w:tcPr>
          <w:p>
            <w:pPr>
              <w:pStyle w:val="201"/>
              <w:widowControl/>
              <w:shd w:val="clear" w:color="auto" w:fill="FFFFFF"/>
              <w:adjustRightInd w:val="0"/>
              <w:snapToGrid w:val="0"/>
              <w:spacing w:line="240" w:lineRule="auto"/>
              <w:ind w:firstLine="0" w:firstLineChars="0"/>
              <w:jc w:val="center"/>
              <w:rPr>
                <w:rFonts w:eastAsia="宋体"/>
                <w:color w:val="auto"/>
                <w:sz w:val="21"/>
              </w:rPr>
            </w:pPr>
            <w:r>
              <w:rPr>
                <w:rFonts w:eastAsia="宋体"/>
                <w:color w:val="auto"/>
                <w:sz w:val="21"/>
              </w:rPr>
              <w:t>/</w:t>
            </w:r>
          </w:p>
        </w:tc>
      </w:tr>
    </w:tbl>
    <w:p>
      <w:pPr>
        <w:pStyle w:val="39"/>
        <w:ind w:firstLine="210"/>
        <w:rPr>
          <w:color w:val="auto"/>
        </w:rPr>
        <w:sectPr>
          <w:pgSz w:w="16838" w:h="11906" w:orient="landscape"/>
          <w:pgMar w:top="1080" w:right="1440" w:bottom="1080" w:left="1440" w:header="851" w:footer="992" w:gutter="0"/>
          <w:cols w:space="425" w:num="1"/>
          <w:docGrid w:type="lines" w:linePitch="312" w:charSpace="0"/>
        </w:sectPr>
      </w:pPr>
    </w:p>
    <w:p>
      <w:pPr>
        <w:pStyle w:val="37"/>
        <w:spacing w:before="0" w:beforeAutospacing="0" w:after="0" w:afterAutospacing="0"/>
        <w:jc w:val="center"/>
        <w:outlineLvl w:val="0"/>
        <w:rPr>
          <w:rFonts w:ascii="Times New Roman" w:hAnsi="Times New Roman"/>
          <w:b/>
          <w:bCs/>
          <w:snapToGrid w:val="0"/>
          <w:color w:val="auto"/>
          <w:sz w:val="30"/>
          <w:szCs w:val="30"/>
        </w:rPr>
      </w:pPr>
      <w:r>
        <w:rPr>
          <w:rFonts w:ascii="Times New Roman" w:hAnsi="Times New Roman"/>
          <w:b/>
          <w:bCs/>
          <w:snapToGrid w:val="0"/>
          <w:color w:val="auto"/>
          <w:sz w:val="30"/>
          <w:szCs w:val="30"/>
        </w:rPr>
        <w:t>二、建设项目工程分析</w:t>
      </w:r>
    </w:p>
    <w:tbl>
      <w:tblPr>
        <w:tblStyle w:val="41"/>
        <w:tblW w:w="521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757"/>
        <w:gridCol w:w="947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77" w:type="pct"/>
            <w:tcMar>
              <w:top w:w="16" w:type="dxa"/>
              <w:left w:w="16" w:type="dxa"/>
              <w:right w:w="16" w:type="dxa"/>
            </w:tcMar>
            <w:vAlign w:val="center"/>
          </w:tcPr>
          <w:p>
            <w:pPr>
              <w:adjustRightInd w:val="0"/>
              <w:snapToGrid w:val="0"/>
              <w:jc w:val="center"/>
              <w:rPr>
                <w:color w:val="auto"/>
                <w:sz w:val="24"/>
              </w:rPr>
            </w:pPr>
            <w:r>
              <w:rPr>
                <w:color w:val="auto"/>
                <w:sz w:val="24"/>
              </w:rPr>
              <w:t>建设内容</w:t>
            </w:r>
          </w:p>
        </w:tc>
        <w:tc>
          <w:tcPr>
            <w:tcW w:w="4422" w:type="pct"/>
            <w:vAlign w:val="center"/>
          </w:tcPr>
          <w:p>
            <w:pPr>
              <w:widowControl/>
              <w:adjustRightInd w:val="0"/>
              <w:snapToGrid w:val="0"/>
              <w:spacing w:line="360" w:lineRule="auto"/>
              <w:ind w:firstLine="562" w:firstLineChars="200"/>
              <w:jc w:val="left"/>
              <w:rPr>
                <w:b/>
                <w:bCs/>
                <w:color w:val="auto"/>
                <w:sz w:val="28"/>
                <w:szCs w:val="28"/>
              </w:rPr>
            </w:pPr>
            <w:r>
              <w:rPr>
                <w:b/>
                <w:bCs/>
                <w:color w:val="auto"/>
                <w:sz w:val="28"/>
                <w:szCs w:val="28"/>
              </w:rPr>
              <w:t>1、项目由来</w:t>
            </w:r>
          </w:p>
          <w:p>
            <w:pPr>
              <w:adjustRightInd w:val="0"/>
              <w:snapToGrid w:val="0"/>
              <w:spacing w:line="360" w:lineRule="auto"/>
              <w:ind w:firstLine="480" w:firstLineChars="200"/>
              <w:rPr>
                <w:color w:val="auto"/>
                <w:sz w:val="24"/>
              </w:rPr>
            </w:pPr>
            <w:r>
              <w:rPr>
                <w:color w:val="auto"/>
                <w:sz w:val="24"/>
              </w:rPr>
              <w:t>水稳层是水泥稳定碎石层的简称，是以级配碎石作骨料，采用一定数量的水泥填充骨料的空隙，按嵌挤原理摊铺压实。其压实度接近于密实度，强度主要靠碎石间的嵌挤锁结原理，同时有足够的灰浆体积来填充骨料的空隙。它的初期强度高，并且强度随龄期而增加很快结成板体，因而具有较高的强度，抗渗度和抗冻性较好。水稳水泥用量一般为混合料3%~6%，7天的无侧限抗压强度可达1.5~4.0MPa，较其他路基材料高。水稳成活后遇雨不泥泞，表面坚实，是高级路面的理想基层材料。</w:t>
            </w:r>
          </w:p>
          <w:p>
            <w:pPr>
              <w:pStyle w:val="40"/>
              <w:adjustRightInd w:val="0"/>
              <w:snapToGrid w:val="0"/>
              <w:spacing w:after="0" w:line="360" w:lineRule="auto"/>
              <w:ind w:left="0" w:leftChars="0" w:firstLine="480"/>
              <w:rPr>
                <w:color w:val="auto"/>
                <w:sz w:val="24"/>
              </w:rPr>
            </w:pPr>
            <w:r>
              <w:rPr>
                <w:color w:val="auto"/>
                <w:sz w:val="24"/>
              </w:rPr>
              <w:t>乐山鼎智建材有限公司是一家以水泥制品</w:t>
            </w:r>
            <w:r>
              <w:rPr>
                <w:rFonts w:hint="eastAsia"/>
                <w:color w:val="auto"/>
                <w:sz w:val="24"/>
                <w:lang w:eastAsia="zh-CN"/>
              </w:rPr>
              <w:t>销售、水泥制品制造</w:t>
            </w:r>
            <w:r>
              <w:rPr>
                <w:color w:val="auto"/>
                <w:sz w:val="24"/>
              </w:rPr>
              <w:t>为主的公司。为了满足市场需求，乐山鼎智建材有限公司拟与乐山铁匠世家手工刀具有限公司在四川省乐山市市中区悦来镇龙岩村租用乐山市交通投资开发有限公司厂地2666.68m</w:t>
            </w:r>
            <w:r>
              <w:rPr>
                <w:color w:val="auto"/>
                <w:sz w:val="24"/>
                <w:vertAlign w:val="superscript"/>
              </w:rPr>
              <w:t>2</w:t>
            </w:r>
            <w:r>
              <w:rPr>
                <w:color w:val="auto"/>
                <w:sz w:val="24"/>
              </w:rPr>
              <w:t>，购置HZS90型搅拌设施一套，PLD2400配料机1台等设备建设水稳层生产线1条，建设完成后年产8万t水稳层。</w:t>
            </w:r>
          </w:p>
          <w:p>
            <w:pPr>
              <w:pStyle w:val="40"/>
              <w:adjustRightInd w:val="0"/>
              <w:snapToGrid w:val="0"/>
              <w:spacing w:after="0" w:line="360" w:lineRule="auto"/>
              <w:ind w:left="0" w:leftChars="0" w:firstLine="480"/>
              <w:rPr>
                <w:color w:val="auto"/>
                <w:sz w:val="24"/>
              </w:rPr>
            </w:pPr>
            <w:r>
              <w:rPr>
                <w:color w:val="auto"/>
                <w:sz w:val="24"/>
              </w:rPr>
              <w:t>根据《中华人民共和国环境保护法》、《中华人民共和国环境影响评价法》以及国务院令第682号《建设项目环境保护管理条例》、生态环境部部令第16号《建设项目环境影响评价分类管理名录（2021年版）》，本项目属于二十七非金属矿物制品业中55“石膏、水泥制品及类似制品制造302”中“水泥制品制造”，应编制环境影响报告表。据此，乐山鼎智建材有限公司委托我单位承担本项目的环境影响评价工作。我方接受委托后，立刻开展环境影响报告表编制工作，并开展了现场踏勘、资料收集、整理等工作，了解了所建项目周围外环境情况，收集了当地水文、地质、气候、气象等自然环境概况，进行了项目特点和环境特征分析。在此基础上，按照环评技术导则规范和要求，编制完成了本项目的环境影响报告表。</w:t>
            </w:r>
          </w:p>
          <w:p>
            <w:pPr>
              <w:widowControl/>
              <w:adjustRightInd w:val="0"/>
              <w:snapToGrid w:val="0"/>
              <w:spacing w:line="360" w:lineRule="auto"/>
              <w:ind w:firstLine="482" w:firstLineChars="200"/>
              <w:jc w:val="left"/>
              <w:rPr>
                <w:b/>
                <w:bCs/>
                <w:color w:val="auto"/>
                <w:sz w:val="24"/>
              </w:rPr>
            </w:pPr>
            <w:r>
              <w:rPr>
                <w:b/>
                <w:bCs/>
                <w:color w:val="auto"/>
                <w:sz w:val="24"/>
              </w:rPr>
              <w:t xml:space="preserve">2、项目概况 </w:t>
            </w:r>
          </w:p>
          <w:p>
            <w:pPr>
              <w:widowControl/>
              <w:adjustRightInd w:val="0"/>
              <w:snapToGrid w:val="0"/>
              <w:spacing w:line="360" w:lineRule="auto"/>
              <w:ind w:firstLine="480" w:firstLineChars="200"/>
              <w:jc w:val="left"/>
              <w:rPr>
                <w:color w:val="auto"/>
                <w:sz w:val="24"/>
              </w:rPr>
            </w:pPr>
            <w:r>
              <w:rPr>
                <w:color w:val="auto"/>
                <w:sz w:val="24"/>
              </w:rPr>
              <w:t>（1）项目名称：</w:t>
            </w:r>
            <w:r>
              <w:rPr>
                <w:bCs/>
                <w:color w:val="auto"/>
                <w:sz w:val="24"/>
              </w:rPr>
              <w:t>乐山鼎智建材有限公司水稳拌合站项目</w:t>
            </w:r>
          </w:p>
          <w:p>
            <w:pPr>
              <w:widowControl/>
              <w:adjustRightInd w:val="0"/>
              <w:snapToGrid w:val="0"/>
              <w:spacing w:line="360" w:lineRule="auto"/>
              <w:ind w:firstLine="480" w:firstLineChars="200"/>
              <w:jc w:val="left"/>
              <w:rPr>
                <w:color w:val="auto"/>
                <w:sz w:val="24"/>
              </w:rPr>
            </w:pPr>
            <w:r>
              <w:rPr>
                <w:color w:val="auto"/>
                <w:sz w:val="24"/>
              </w:rPr>
              <w:t>（2）建设地点：</w:t>
            </w:r>
            <w:r>
              <w:rPr>
                <w:bCs/>
                <w:color w:val="auto"/>
                <w:sz w:val="24"/>
              </w:rPr>
              <w:t>四川省乐山市市中区悦来镇龙岩村</w:t>
            </w:r>
          </w:p>
          <w:p>
            <w:pPr>
              <w:widowControl/>
              <w:adjustRightInd w:val="0"/>
              <w:snapToGrid w:val="0"/>
              <w:spacing w:line="360" w:lineRule="auto"/>
              <w:ind w:firstLine="480" w:firstLineChars="200"/>
              <w:jc w:val="left"/>
              <w:rPr>
                <w:color w:val="auto"/>
                <w:sz w:val="24"/>
              </w:rPr>
            </w:pPr>
            <w:r>
              <w:rPr>
                <w:color w:val="auto"/>
                <w:sz w:val="24"/>
              </w:rPr>
              <w:t>（3）建设单位：</w:t>
            </w:r>
            <w:r>
              <w:rPr>
                <w:bCs/>
                <w:color w:val="auto"/>
                <w:sz w:val="24"/>
              </w:rPr>
              <w:t>乐山鼎智建材有限公司</w:t>
            </w:r>
          </w:p>
          <w:p>
            <w:pPr>
              <w:widowControl/>
              <w:adjustRightInd w:val="0"/>
              <w:snapToGrid w:val="0"/>
              <w:spacing w:line="360" w:lineRule="auto"/>
              <w:ind w:firstLine="480" w:firstLineChars="200"/>
              <w:jc w:val="left"/>
              <w:rPr>
                <w:color w:val="auto"/>
                <w:sz w:val="24"/>
              </w:rPr>
            </w:pPr>
            <w:r>
              <w:rPr>
                <w:color w:val="auto"/>
                <w:sz w:val="24"/>
              </w:rPr>
              <w:t>（4）建设性质：新建</w:t>
            </w:r>
          </w:p>
          <w:p>
            <w:pPr>
              <w:pStyle w:val="54"/>
              <w:adjustRightInd w:val="0"/>
              <w:snapToGrid w:val="0"/>
              <w:spacing w:line="360" w:lineRule="auto"/>
              <w:ind w:firstLine="480" w:firstLineChars="200"/>
              <w:jc w:val="both"/>
              <w:rPr>
                <w:rFonts w:ascii="Times New Roman" w:hAnsi="Times New Roman" w:eastAsia="宋体"/>
                <w:color w:val="auto"/>
              </w:rPr>
            </w:pPr>
            <w:r>
              <w:rPr>
                <w:rFonts w:ascii="Times New Roman" w:hAnsi="Times New Roman" w:eastAsia="宋体"/>
                <w:color w:val="auto"/>
              </w:rPr>
              <w:t>（5）项目总投资：300万元，其中环保投资35.2万元，环保投资占总投资的11.7%</w:t>
            </w:r>
          </w:p>
          <w:p>
            <w:pPr>
              <w:adjustRightInd w:val="0"/>
              <w:snapToGrid w:val="0"/>
              <w:spacing w:line="360" w:lineRule="auto"/>
              <w:ind w:firstLine="480" w:firstLineChars="200"/>
              <w:rPr>
                <w:bCs/>
                <w:color w:val="auto"/>
                <w:sz w:val="24"/>
              </w:rPr>
            </w:pPr>
            <w:r>
              <w:rPr>
                <w:color w:val="auto"/>
                <w:sz w:val="24"/>
                <w:shd w:val="clear" w:color="auto" w:fill="FFFFFF"/>
              </w:rPr>
              <w:t>（6）生产制度与劳动定员：劳动定员15人，年工作天数300天，</w:t>
            </w:r>
            <w:r>
              <w:rPr>
                <w:rFonts w:hint="eastAsia"/>
                <w:color w:val="auto"/>
                <w:sz w:val="24"/>
                <w:shd w:val="clear" w:color="auto" w:fill="FFFFFF"/>
                <w:lang w:eastAsia="zh-CN"/>
              </w:rPr>
              <w:t>每天工作</w:t>
            </w:r>
            <w:r>
              <w:rPr>
                <w:rFonts w:hint="eastAsia"/>
                <w:color w:val="auto"/>
                <w:sz w:val="24"/>
                <w:shd w:val="clear" w:color="auto" w:fill="FFFFFF"/>
                <w:lang w:val="en-US" w:eastAsia="zh-CN"/>
              </w:rPr>
              <w:t>10h，</w:t>
            </w:r>
            <w:r>
              <w:rPr>
                <w:bCs/>
                <w:color w:val="auto"/>
                <w:sz w:val="24"/>
              </w:rPr>
              <w:t>夜间不生产</w:t>
            </w:r>
          </w:p>
          <w:p>
            <w:pPr>
              <w:adjustRightInd w:val="0"/>
              <w:snapToGrid w:val="0"/>
              <w:spacing w:line="360" w:lineRule="auto"/>
              <w:ind w:firstLine="480" w:firstLineChars="200"/>
              <w:rPr>
                <w:color w:val="auto"/>
                <w:sz w:val="24"/>
              </w:rPr>
            </w:pPr>
            <w:r>
              <w:rPr>
                <w:color w:val="auto"/>
                <w:sz w:val="24"/>
              </w:rPr>
              <w:t>（7）建设内容：购置HZS90型搅拌设施一套，PLD2400配料机1台等设备新建水稳层生产线一条，建设完成后年产8万吨水稳层。</w:t>
            </w:r>
          </w:p>
          <w:p>
            <w:pPr>
              <w:widowControl/>
              <w:adjustRightInd w:val="0"/>
              <w:snapToGrid w:val="0"/>
              <w:spacing w:line="360" w:lineRule="auto"/>
              <w:ind w:firstLine="482" w:firstLineChars="200"/>
              <w:jc w:val="left"/>
              <w:rPr>
                <w:b/>
                <w:bCs/>
                <w:color w:val="auto"/>
                <w:sz w:val="24"/>
              </w:rPr>
            </w:pPr>
            <w:r>
              <w:rPr>
                <w:b/>
                <w:bCs/>
                <w:color w:val="auto"/>
                <w:sz w:val="24"/>
              </w:rPr>
              <w:t>3、建设规模和内容</w:t>
            </w:r>
          </w:p>
          <w:p>
            <w:pPr>
              <w:adjustRightInd w:val="0"/>
              <w:snapToGrid w:val="0"/>
              <w:spacing w:line="360" w:lineRule="auto"/>
              <w:ind w:firstLine="480"/>
              <w:rPr>
                <w:bCs/>
                <w:color w:val="auto"/>
                <w:sz w:val="24"/>
              </w:rPr>
            </w:pPr>
            <w:r>
              <w:rPr>
                <w:bCs/>
                <w:color w:val="auto"/>
                <w:sz w:val="24"/>
              </w:rPr>
              <w:t>（1）产品方案</w:t>
            </w:r>
          </w:p>
          <w:p>
            <w:pPr>
              <w:adjustRightInd w:val="0"/>
              <w:snapToGrid w:val="0"/>
              <w:spacing w:line="360" w:lineRule="auto"/>
              <w:ind w:firstLine="480" w:firstLineChars="200"/>
              <w:rPr>
                <w:b/>
                <w:color w:val="auto"/>
                <w:szCs w:val="21"/>
              </w:rPr>
            </w:pPr>
            <w:r>
              <w:rPr>
                <w:color w:val="auto"/>
                <w:sz w:val="24"/>
              </w:rPr>
              <w:t>本项目年产3%水稳层8万t。</w:t>
            </w:r>
          </w:p>
          <w:p>
            <w:pPr>
              <w:adjustRightInd w:val="0"/>
              <w:snapToGrid w:val="0"/>
              <w:spacing w:line="360" w:lineRule="auto"/>
              <w:jc w:val="center"/>
              <w:rPr>
                <w:b/>
                <w:color w:val="auto"/>
                <w:szCs w:val="21"/>
              </w:rPr>
            </w:pPr>
            <w:r>
              <w:rPr>
                <w:b/>
                <w:color w:val="auto"/>
                <w:szCs w:val="21"/>
              </w:rPr>
              <w:t>表2-1  产品方案</w:t>
            </w:r>
          </w:p>
          <w:tbl>
            <w:tblPr>
              <w:tblStyle w:val="4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8"/>
              <w:gridCol w:w="1957"/>
              <w:gridCol w:w="1436"/>
              <w:gridCol w:w="4173"/>
              <w:gridCol w:w="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8" w:type="pct"/>
                  <w:tcBorders>
                    <w:tl2br w:val="nil"/>
                    <w:tr2bl w:val="nil"/>
                  </w:tcBorders>
                </w:tcPr>
                <w:p>
                  <w:pPr>
                    <w:adjustRightInd w:val="0"/>
                    <w:snapToGrid w:val="0"/>
                    <w:jc w:val="center"/>
                    <w:rPr>
                      <w:b/>
                      <w:bCs/>
                      <w:color w:val="auto"/>
                      <w:szCs w:val="21"/>
                    </w:rPr>
                  </w:pPr>
                  <w:r>
                    <w:rPr>
                      <w:b/>
                      <w:bCs/>
                      <w:color w:val="auto"/>
                      <w:szCs w:val="21"/>
                    </w:rPr>
                    <w:t>名称</w:t>
                  </w:r>
                </w:p>
              </w:tc>
              <w:tc>
                <w:tcPr>
                  <w:tcW w:w="1047" w:type="pct"/>
                  <w:tcBorders>
                    <w:tl2br w:val="nil"/>
                    <w:tr2bl w:val="nil"/>
                  </w:tcBorders>
                </w:tcPr>
                <w:p>
                  <w:pPr>
                    <w:adjustRightInd w:val="0"/>
                    <w:snapToGrid w:val="0"/>
                    <w:jc w:val="center"/>
                    <w:rPr>
                      <w:b/>
                      <w:bCs/>
                      <w:color w:val="auto"/>
                      <w:szCs w:val="21"/>
                    </w:rPr>
                  </w:pPr>
                  <w:r>
                    <w:rPr>
                      <w:b/>
                      <w:bCs/>
                      <w:color w:val="auto"/>
                      <w:szCs w:val="21"/>
                    </w:rPr>
                    <w:t>产量</w:t>
                  </w:r>
                </w:p>
              </w:tc>
              <w:tc>
                <w:tcPr>
                  <w:tcW w:w="768" w:type="pct"/>
                  <w:tcBorders>
                    <w:tl2br w:val="nil"/>
                    <w:tr2bl w:val="nil"/>
                  </w:tcBorders>
                </w:tcPr>
                <w:p>
                  <w:pPr>
                    <w:adjustRightInd w:val="0"/>
                    <w:snapToGrid w:val="0"/>
                    <w:jc w:val="center"/>
                    <w:rPr>
                      <w:b/>
                      <w:bCs/>
                      <w:color w:val="auto"/>
                      <w:szCs w:val="21"/>
                    </w:rPr>
                  </w:pPr>
                  <w:r>
                    <w:rPr>
                      <w:b/>
                      <w:bCs/>
                      <w:color w:val="auto"/>
                      <w:szCs w:val="21"/>
                    </w:rPr>
                    <w:t>规格/型号</w:t>
                  </w:r>
                </w:p>
              </w:tc>
              <w:tc>
                <w:tcPr>
                  <w:tcW w:w="2232" w:type="pct"/>
                  <w:tcBorders>
                    <w:tl2br w:val="nil"/>
                    <w:tr2bl w:val="nil"/>
                  </w:tcBorders>
                </w:tcPr>
                <w:p>
                  <w:pPr>
                    <w:adjustRightInd w:val="0"/>
                    <w:snapToGrid w:val="0"/>
                    <w:jc w:val="center"/>
                    <w:rPr>
                      <w:b/>
                      <w:bCs/>
                      <w:color w:val="auto"/>
                      <w:szCs w:val="21"/>
                    </w:rPr>
                  </w:pPr>
                  <w:r>
                    <w:rPr>
                      <w:b/>
                      <w:bCs/>
                      <w:color w:val="auto"/>
                      <w:szCs w:val="21"/>
                    </w:rPr>
                    <w:t>产品质量标准</w:t>
                  </w:r>
                </w:p>
              </w:tc>
              <w:tc>
                <w:tcPr>
                  <w:tcW w:w="433" w:type="pct"/>
                  <w:tcBorders>
                    <w:tl2br w:val="nil"/>
                    <w:tr2bl w:val="nil"/>
                  </w:tcBorders>
                </w:tcPr>
                <w:p>
                  <w:pPr>
                    <w:adjustRightInd w:val="0"/>
                    <w:snapToGrid w:val="0"/>
                    <w:jc w:val="center"/>
                    <w:rPr>
                      <w:b/>
                      <w:bCs/>
                      <w:color w:val="auto"/>
                      <w:szCs w:val="21"/>
                    </w:rPr>
                  </w:pPr>
                  <w:r>
                    <w:rPr>
                      <w:b/>
                      <w:bCs/>
                      <w:color w:val="auto"/>
                      <w:szCs w:val="21"/>
                    </w:rPr>
                    <w:t>用途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8" w:type="pct"/>
                  <w:tcBorders>
                    <w:tl2br w:val="nil"/>
                    <w:tr2bl w:val="nil"/>
                  </w:tcBorders>
                  <w:vAlign w:val="center"/>
                </w:tcPr>
                <w:p>
                  <w:pPr>
                    <w:adjustRightInd w:val="0"/>
                    <w:snapToGrid w:val="0"/>
                    <w:jc w:val="center"/>
                    <w:rPr>
                      <w:color w:val="auto"/>
                      <w:szCs w:val="21"/>
                    </w:rPr>
                  </w:pPr>
                  <w:r>
                    <w:rPr>
                      <w:color w:val="auto"/>
                      <w:szCs w:val="21"/>
                    </w:rPr>
                    <w:t>水稳层</w:t>
                  </w:r>
                </w:p>
              </w:tc>
              <w:tc>
                <w:tcPr>
                  <w:tcW w:w="1047" w:type="pct"/>
                  <w:tcBorders>
                    <w:tl2br w:val="nil"/>
                    <w:tr2bl w:val="nil"/>
                  </w:tcBorders>
                  <w:vAlign w:val="center"/>
                </w:tcPr>
                <w:p>
                  <w:pPr>
                    <w:adjustRightInd w:val="0"/>
                    <w:snapToGrid w:val="0"/>
                    <w:jc w:val="center"/>
                    <w:rPr>
                      <w:color w:val="auto"/>
                      <w:szCs w:val="21"/>
                    </w:rPr>
                  </w:pPr>
                  <w:r>
                    <w:rPr>
                      <w:color w:val="auto"/>
                      <w:szCs w:val="21"/>
                    </w:rPr>
                    <w:t>8万t/a（折约3.5万m</w:t>
                  </w:r>
                  <w:r>
                    <w:rPr>
                      <w:color w:val="auto"/>
                      <w:szCs w:val="21"/>
                      <w:vertAlign w:val="superscript"/>
                    </w:rPr>
                    <w:t>3</w:t>
                  </w:r>
                  <w:r>
                    <w:rPr>
                      <w:color w:val="auto"/>
                      <w:szCs w:val="21"/>
                    </w:rPr>
                    <w:t>/a）</w:t>
                  </w:r>
                </w:p>
              </w:tc>
              <w:tc>
                <w:tcPr>
                  <w:tcW w:w="768" w:type="pct"/>
                  <w:tcBorders>
                    <w:tl2br w:val="nil"/>
                    <w:tr2bl w:val="nil"/>
                  </w:tcBorders>
                  <w:vAlign w:val="center"/>
                </w:tcPr>
                <w:p>
                  <w:pPr>
                    <w:adjustRightInd w:val="0"/>
                    <w:snapToGrid w:val="0"/>
                    <w:jc w:val="center"/>
                    <w:rPr>
                      <w:color w:val="auto"/>
                      <w:szCs w:val="21"/>
                    </w:rPr>
                  </w:pPr>
                  <w:r>
                    <w:rPr>
                      <w:color w:val="auto"/>
                      <w:szCs w:val="21"/>
                    </w:rPr>
                    <w:t>3%</w:t>
                  </w:r>
                </w:p>
              </w:tc>
              <w:tc>
                <w:tcPr>
                  <w:tcW w:w="2232" w:type="pct"/>
                  <w:tcBorders>
                    <w:tl2br w:val="nil"/>
                    <w:tr2bl w:val="nil"/>
                  </w:tcBorders>
                  <w:vAlign w:val="center"/>
                </w:tcPr>
                <w:p>
                  <w:pPr>
                    <w:adjustRightInd w:val="0"/>
                    <w:snapToGrid w:val="0"/>
                    <w:jc w:val="center"/>
                    <w:rPr>
                      <w:color w:val="auto"/>
                      <w:szCs w:val="21"/>
                    </w:rPr>
                  </w:pPr>
                  <w:r>
                    <w:rPr>
                      <w:color w:val="auto"/>
                      <w:szCs w:val="21"/>
                    </w:rPr>
                    <w:t>产品质量符合《混凝土质量控制标准》（GB50164-2011）等标准</w:t>
                  </w:r>
                </w:p>
              </w:tc>
              <w:tc>
                <w:tcPr>
                  <w:tcW w:w="433" w:type="pct"/>
                  <w:tcBorders>
                    <w:tl2br w:val="nil"/>
                    <w:tr2bl w:val="nil"/>
                  </w:tcBorders>
                  <w:vAlign w:val="center"/>
                </w:tcPr>
                <w:p>
                  <w:pPr>
                    <w:adjustRightInd w:val="0"/>
                    <w:snapToGrid w:val="0"/>
                    <w:jc w:val="center"/>
                    <w:rPr>
                      <w:color w:val="auto"/>
                      <w:szCs w:val="21"/>
                    </w:rPr>
                  </w:pPr>
                  <w:r>
                    <w:rPr>
                      <w:color w:val="auto"/>
                      <w:szCs w:val="21"/>
                    </w:rPr>
                    <w:t>修建道路</w:t>
                  </w:r>
                </w:p>
              </w:tc>
            </w:tr>
          </w:tbl>
          <w:p>
            <w:pPr>
              <w:adjustRightInd w:val="0"/>
              <w:snapToGrid w:val="0"/>
              <w:spacing w:line="360" w:lineRule="auto"/>
              <w:ind w:firstLine="480" w:firstLineChars="200"/>
              <w:contextualSpacing/>
              <w:rPr>
                <w:bCs/>
                <w:color w:val="auto"/>
                <w:sz w:val="24"/>
              </w:rPr>
            </w:pPr>
            <w:r>
              <w:rPr>
                <w:bCs/>
                <w:color w:val="auto"/>
                <w:szCs w:val="21"/>
              </w:rPr>
              <w:t>本项目产品用于周边道路建设。</w:t>
            </w:r>
          </w:p>
          <w:p>
            <w:pPr>
              <w:pStyle w:val="40"/>
              <w:adjustRightInd w:val="0"/>
              <w:snapToGrid w:val="0"/>
              <w:spacing w:after="0" w:line="360" w:lineRule="auto"/>
              <w:ind w:left="0" w:leftChars="0" w:firstLine="480"/>
              <w:rPr>
                <w:color w:val="auto"/>
                <w:kern w:val="2"/>
                <w:sz w:val="24"/>
                <w:szCs w:val="22"/>
              </w:rPr>
            </w:pPr>
            <w:r>
              <w:rPr>
                <w:color w:val="auto"/>
                <w:kern w:val="2"/>
                <w:sz w:val="24"/>
                <w:szCs w:val="22"/>
              </w:rPr>
              <w:t>根据建设单位资料，水稳层配比见表2-2。</w:t>
            </w:r>
          </w:p>
          <w:p>
            <w:pPr>
              <w:pStyle w:val="40"/>
              <w:adjustRightInd w:val="0"/>
              <w:snapToGrid w:val="0"/>
              <w:spacing w:after="0" w:line="360" w:lineRule="auto"/>
              <w:ind w:left="0" w:leftChars="0" w:firstLine="0" w:firstLineChars="0"/>
              <w:jc w:val="center"/>
              <w:rPr>
                <w:b/>
                <w:color w:val="auto"/>
                <w:kern w:val="2"/>
                <w:szCs w:val="21"/>
              </w:rPr>
            </w:pPr>
            <w:r>
              <w:rPr>
                <w:b/>
                <w:color w:val="auto"/>
                <w:kern w:val="2"/>
                <w:szCs w:val="21"/>
              </w:rPr>
              <w:t>表2-2  3%水稳层配合比（重量比）</w:t>
            </w:r>
          </w:p>
          <w:tbl>
            <w:tblPr>
              <w:tblStyle w:val="4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2"/>
              <w:gridCol w:w="1290"/>
              <w:gridCol w:w="2218"/>
              <w:gridCol w:w="1330"/>
              <w:gridCol w:w="1453"/>
              <w:gridCol w:w="14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7" w:type="pct"/>
                  <w:tcBorders>
                    <w:tl2br w:val="nil"/>
                    <w:tr2bl w:val="nil"/>
                  </w:tcBorders>
                </w:tcPr>
                <w:p>
                  <w:pPr>
                    <w:adjustRightInd w:val="0"/>
                    <w:snapToGrid w:val="0"/>
                    <w:jc w:val="center"/>
                    <w:rPr>
                      <w:b/>
                      <w:bCs/>
                      <w:color w:val="auto"/>
                      <w:szCs w:val="21"/>
                    </w:rPr>
                  </w:pPr>
                  <w:r>
                    <w:rPr>
                      <w:b/>
                      <w:bCs/>
                      <w:color w:val="auto"/>
                      <w:szCs w:val="21"/>
                    </w:rPr>
                    <w:t>规格</w:t>
                  </w:r>
                </w:p>
              </w:tc>
              <w:tc>
                <w:tcPr>
                  <w:tcW w:w="690" w:type="pct"/>
                  <w:tcBorders>
                    <w:tl2br w:val="nil"/>
                    <w:tr2bl w:val="nil"/>
                  </w:tcBorders>
                </w:tcPr>
                <w:p>
                  <w:pPr>
                    <w:adjustRightInd w:val="0"/>
                    <w:snapToGrid w:val="0"/>
                    <w:jc w:val="center"/>
                    <w:rPr>
                      <w:b/>
                      <w:bCs/>
                      <w:color w:val="auto"/>
                      <w:szCs w:val="21"/>
                    </w:rPr>
                  </w:pPr>
                  <w:r>
                    <w:rPr>
                      <w:b/>
                      <w:bCs/>
                      <w:color w:val="auto"/>
                      <w:szCs w:val="21"/>
                    </w:rPr>
                    <w:t>水</w:t>
                  </w:r>
                </w:p>
              </w:tc>
              <w:tc>
                <w:tcPr>
                  <w:tcW w:w="1186" w:type="pct"/>
                  <w:tcBorders>
                    <w:tl2br w:val="nil"/>
                    <w:tr2bl w:val="nil"/>
                  </w:tcBorders>
                </w:tcPr>
                <w:p>
                  <w:pPr>
                    <w:adjustRightInd w:val="0"/>
                    <w:snapToGrid w:val="0"/>
                    <w:jc w:val="center"/>
                    <w:rPr>
                      <w:b/>
                      <w:bCs/>
                      <w:color w:val="auto"/>
                      <w:szCs w:val="21"/>
                    </w:rPr>
                  </w:pPr>
                  <w:r>
                    <w:rPr>
                      <w:b/>
                      <w:bCs/>
                      <w:color w:val="auto"/>
                      <w:szCs w:val="21"/>
                    </w:rPr>
                    <w:t>水泥</w:t>
                  </w:r>
                </w:p>
              </w:tc>
              <w:tc>
                <w:tcPr>
                  <w:tcW w:w="711" w:type="pct"/>
                  <w:tcBorders>
                    <w:tl2br w:val="nil"/>
                    <w:tr2bl w:val="nil"/>
                  </w:tcBorders>
                </w:tcPr>
                <w:p>
                  <w:pPr>
                    <w:adjustRightInd w:val="0"/>
                    <w:snapToGrid w:val="0"/>
                    <w:jc w:val="center"/>
                    <w:rPr>
                      <w:b/>
                      <w:bCs/>
                      <w:color w:val="auto"/>
                      <w:szCs w:val="21"/>
                    </w:rPr>
                  </w:pPr>
                  <w:r>
                    <w:rPr>
                      <w:b/>
                      <w:bCs/>
                      <w:color w:val="auto"/>
                      <w:szCs w:val="21"/>
                    </w:rPr>
                    <w:t>砂</w:t>
                  </w:r>
                </w:p>
              </w:tc>
              <w:tc>
                <w:tcPr>
                  <w:tcW w:w="777" w:type="pct"/>
                  <w:tcBorders>
                    <w:tl2br w:val="nil"/>
                    <w:tr2bl w:val="nil"/>
                  </w:tcBorders>
                </w:tcPr>
                <w:p>
                  <w:pPr>
                    <w:adjustRightInd w:val="0"/>
                    <w:snapToGrid w:val="0"/>
                    <w:jc w:val="center"/>
                    <w:rPr>
                      <w:b/>
                      <w:bCs/>
                      <w:color w:val="auto"/>
                      <w:szCs w:val="21"/>
                    </w:rPr>
                  </w:pPr>
                  <w:r>
                    <w:rPr>
                      <w:b/>
                      <w:bCs/>
                      <w:color w:val="auto"/>
                      <w:szCs w:val="21"/>
                    </w:rPr>
                    <w:t>碎石</w:t>
                  </w:r>
                </w:p>
              </w:tc>
              <w:tc>
                <w:tcPr>
                  <w:tcW w:w="777" w:type="pct"/>
                  <w:tcBorders>
                    <w:tl2br w:val="nil"/>
                    <w:tr2bl w:val="nil"/>
                  </w:tcBorders>
                </w:tcPr>
                <w:p>
                  <w:pPr>
                    <w:adjustRightInd w:val="0"/>
                    <w:snapToGrid w:val="0"/>
                    <w:jc w:val="center"/>
                    <w:rPr>
                      <w:b/>
                      <w:bCs/>
                      <w:color w:val="auto"/>
                      <w:szCs w:val="21"/>
                    </w:rPr>
                  </w:pPr>
                  <w:r>
                    <w:rPr>
                      <w:b/>
                      <w:bCs/>
                      <w:color w:val="auto"/>
                      <w:szCs w:val="21"/>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57" w:type="pct"/>
                  <w:tcBorders>
                    <w:tl2br w:val="nil"/>
                    <w:tr2bl w:val="nil"/>
                  </w:tcBorders>
                  <w:vAlign w:val="center"/>
                </w:tcPr>
                <w:p>
                  <w:pPr>
                    <w:adjustRightInd w:val="0"/>
                    <w:snapToGrid w:val="0"/>
                    <w:jc w:val="center"/>
                    <w:rPr>
                      <w:color w:val="auto"/>
                      <w:szCs w:val="21"/>
                    </w:rPr>
                  </w:pPr>
                  <w:r>
                    <w:rPr>
                      <w:color w:val="auto"/>
                      <w:szCs w:val="21"/>
                    </w:rPr>
                    <w:t>3%水稳层</w:t>
                  </w:r>
                </w:p>
              </w:tc>
              <w:tc>
                <w:tcPr>
                  <w:tcW w:w="690" w:type="pct"/>
                  <w:tcBorders>
                    <w:tl2br w:val="nil"/>
                    <w:tr2bl w:val="nil"/>
                  </w:tcBorders>
                  <w:vAlign w:val="center"/>
                </w:tcPr>
                <w:p>
                  <w:pPr>
                    <w:adjustRightInd w:val="0"/>
                    <w:snapToGrid w:val="0"/>
                    <w:jc w:val="center"/>
                    <w:rPr>
                      <w:color w:val="auto"/>
                      <w:szCs w:val="21"/>
                    </w:rPr>
                  </w:pPr>
                  <w:r>
                    <w:rPr>
                      <w:color w:val="auto"/>
                      <w:szCs w:val="21"/>
                    </w:rPr>
                    <w:t>3%</w:t>
                  </w:r>
                </w:p>
              </w:tc>
              <w:tc>
                <w:tcPr>
                  <w:tcW w:w="1186" w:type="pct"/>
                  <w:tcBorders>
                    <w:tl2br w:val="nil"/>
                    <w:tr2bl w:val="nil"/>
                  </w:tcBorders>
                  <w:vAlign w:val="center"/>
                </w:tcPr>
                <w:p>
                  <w:pPr>
                    <w:adjustRightInd w:val="0"/>
                    <w:snapToGrid w:val="0"/>
                    <w:jc w:val="center"/>
                    <w:rPr>
                      <w:color w:val="auto"/>
                      <w:szCs w:val="21"/>
                    </w:rPr>
                  </w:pPr>
                  <w:r>
                    <w:rPr>
                      <w:color w:val="auto"/>
                      <w:szCs w:val="21"/>
                    </w:rPr>
                    <w:t>4%</w:t>
                  </w:r>
                </w:p>
              </w:tc>
              <w:tc>
                <w:tcPr>
                  <w:tcW w:w="711" w:type="pct"/>
                  <w:tcBorders>
                    <w:tl2br w:val="nil"/>
                    <w:tr2bl w:val="nil"/>
                  </w:tcBorders>
                  <w:vAlign w:val="center"/>
                </w:tcPr>
                <w:p>
                  <w:pPr>
                    <w:adjustRightInd w:val="0"/>
                    <w:snapToGrid w:val="0"/>
                    <w:jc w:val="center"/>
                    <w:rPr>
                      <w:color w:val="auto"/>
                      <w:szCs w:val="21"/>
                    </w:rPr>
                  </w:pPr>
                  <w:r>
                    <w:rPr>
                      <w:color w:val="auto"/>
                      <w:szCs w:val="21"/>
                    </w:rPr>
                    <w:t>41%</w:t>
                  </w:r>
                </w:p>
              </w:tc>
              <w:tc>
                <w:tcPr>
                  <w:tcW w:w="777" w:type="pct"/>
                  <w:tcBorders>
                    <w:tl2br w:val="nil"/>
                    <w:tr2bl w:val="nil"/>
                  </w:tcBorders>
                  <w:vAlign w:val="center"/>
                </w:tcPr>
                <w:p>
                  <w:pPr>
                    <w:adjustRightInd w:val="0"/>
                    <w:snapToGrid w:val="0"/>
                    <w:jc w:val="center"/>
                    <w:rPr>
                      <w:color w:val="auto"/>
                      <w:szCs w:val="21"/>
                    </w:rPr>
                  </w:pPr>
                  <w:r>
                    <w:rPr>
                      <w:color w:val="auto"/>
                      <w:szCs w:val="21"/>
                    </w:rPr>
                    <w:t>52%</w:t>
                  </w:r>
                </w:p>
              </w:tc>
              <w:tc>
                <w:tcPr>
                  <w:tcW w:w="777" w:type="pct"/>
                  <w:tcBorders>
                    <w:tl2br w:val="nil"/>
                    <w:tr2bl w:val="nil"/>
                  </w:tcBorders>
                  <w:vAlign w:val="center"/>
                </w:tcPr>
                <w:p>
                  <w:pPr>
                    <w:adjustRightInd w:val="0"/>
                    <w:snapToGrid w:val="0"/>
                    <w:jc w:val="center"/>
                    <w:rPr>
                      <w:color w:val="auto"/>
                      <w:szCs w:val="21"/>
                    </w:rPr>
                  </w:pPr>
                  <w:r>
                    <w:rPr>
                      <w:color w:val="auto"/>
                      <w:szCs w:val="21"/>
                    </w:rPr>
                    <w:t>100%</w:t>
                  </w:r>
                </w:p>
              </w:tc>
            </w:tr>
          </w:tbl>
          <w:p>
            <w:pPr>
              <w:spacing w:line="360" w:lineRule="auto"/>
              <w:ind w:firstLine="480"/>
              <w:rPr>
                <w:bCs/>
                <w:color w:val="auto"/>
                <w:sz w:val="24"/>
              </w:rPr>
            </w:pPr>
            <w:r>
              <w:rPr>
                <w:bCs/>
                <w:color w:val="auto"/>
                <w:sz w:val="24"/>
              </w:rPr>
              <w:t>（2）项目组成表</w:t>
            </w:r>
          </w:p>
          <w:p>
            <w:pPr>
              <w:adjustRightInd w:val="0"/>
              <w:snapToGrid w:val="0"/>
              <w:spacing w:line="360" w:lineRule="auto"/>
              <w:ind w:firstLine="480"/>
              <w:jc w:val="center"/>
              <w:rPr>
                <w:b/>
                <w:color w:val="auto"/>
                <w:szCs w:val="21"/>
              </w:rPr>
            </w:pPr>
            <w:r>
              <w:rPr>
                <w:b/>
                <w:color w:val="auto"/>
                <w:szCs w:val="21"/>
              </w:rPr>
              <w:t>表2-3  项目组成及主要环境问题表</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6"/>
              <w:gridCol w:w="656"/>
              <w:gridCol w:w="5049"/>
              <w:gridCol w:w="1295"/>
              <w:gridCol w:w="1055"/>
              <w:gridCol w:w="5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Merge w:val="restart"/>
                  <w:vAlign w:val="center"/>
                </w:tcPr>
                <w:p>
                  <w:pPr>
                    <w:adjustRightInd w:val="0"/>
                    <w:snapToGrid w:val="0"/>
                    <w:jc w:val="center"/>
                    <w:rPr>
                      <w:b/>
                      <w:color w:val="auto"/>
                      <w:szCs w:val="21"/>
                    </w:rPr>
                  </w:pPr>
                  <w:r>
                    <w:rPr>
                      <w:b/>
                      <w:color w:val="auto"/>
                      <w:szCs w:val="21"/>
                    </w:rPr>
                    <w:t>项目名称</w:t>
                  </w:r>
                </w:p>
              </w:tc>
              <w:tc>
                <w:tcPr>
                  <w:tcW w:w="0" w:type="auto"/>
                  <w:vMerge w:val="restart"/>
                  <w:vAlign w:val="center"/>
                </w:tcPr>
                <w:p>
                  <w:pPr>
                    <w:adjustRightInd w:val="0"/>
                    <w:snapToGrid w:val="0"/>
                    <w:jc w:val="center"/>
                    <w:rPr>
                      <w:b/>
                      <w:color w:val="auto"/>
                      <w:szCs w:val="21"/>
                    </w:rPr>
                  </w:pPr>
                  <w:r>
                    <w:rPr>
                      <w:b/>
                      <w:color w:val="auto"/>
                      <w:szCs w:val="21"/>
                    </w:rPr>
                    <w:t>建设内容及规模</w:t>
                  </w:r>
                </w:p>
              </w:tc>
              <w:tc>
                <w:tcPr>
                  <w:tcW w:w="0" w:type="auto"/>
                  <w:gridSpan w:val="2"/>
                  <w:vAlign w:val="center"/>
                </w:tcPr>
                <w:p>
                  <w:pPr>
                    <w:adjustRightInd w:val="0"/>
                    <w:snapToGrid w:val="0"/>
                    <w:jc w:val="center"/>
                    <w:rPr>
                      <w:b/>
                      <w:color w:val="auto"/>
                      <w:szCs w:val="21"/>
                    </w:rPr>
                  </w:pPr>
                  <w:r>
                    <w:rPr>
                      <w:b/>
                      <w:color w:val="auto"/>
                      <w:szCs w:val="21"/>
                    </w:rPr>
                    <w:t>可能产生的环境问题</w:t>
                  </w:r>
                </w:p>
              </w:tc>
              <w:tc>
                <w:tcPr>
                  <w:tcW w:w="0" w:type="auto"/>
                  <w:vMerge w:val="restart"/>
                  <w:vAlign w:val="center"/>
                </w:tcPr>
                <w:p>
                  <w:pPr>
                    <w:adjustRightInd w:val="0"/>
                    <w:snapToGrid w:val="0"/>
                    <w:jc w:val="center"/>
                    <w:rPr>
                      <w:rFonts w:hint="eastAsia" w:eastAsia="宋体"/>
                      <w:b/>
                      <w:color w:val="auto"/>
                      <w:szCs w:val="21"/>
                      <w:lang w:eastAsia="zh-CN"/>
                    </w:rPr>
                  </w:pPr>
                  <w:r>
                    <w:rPr>
                      <w:rFonts w:hint="eastAsia"/>
                      <w:b/>
                      <w:color w:val="auto"/>
                      <w:szCs w:val="21"/>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Merge w:val="continue"/>
                  <w:vAlign w:val="center"/>
                </w:tcPr>
                <w:p>
                  <w:pPr>
                    <w:adjustRightInd w:val="0"/>
                    <w:snapToGrid w:val="0"/>
                    <w:jc w:val="center"/>
                    <w:rPr>
                      <w:b/>
                      <w:color w:val="auto"/>
                      <w:szCs w:val="21"/>
                    </w:rPr>
                  </w:pPr>
                </w:p>
              </w:tc>
              <w:tc>
                <w:tcPr>
                  <w:tcW w:w="0" w:type="auto"/>
                  <w:vMerge w:val="continue"/>
                  <w:vAlign w:val="center"/>
                </w:tcPr>
                <w:p>
                  <w:pPr>
                    <w:adjustRightInd w:val="0"/>
                    <w:snapToGrid w:val="0"/>
                    <w:jc w:val="center"/>
                    <w:rPr>
                      <w:b/>
                      <w:color w:val="auto"/>
                      <w:szCs w:val="21"/>
                    </w:rPr>
                  </w:pPr>
                </w:p>
              </w:tc>
              <w:tc>
                <w:tcPr>
                  <w:tcW w:w="0" w:type="auto"/>
                  <w:vAlign w:val="center"/>
                </w:tcPr>
                <w:p>
                  <w:pPr>
                    <w:adjustRightInd w:val="0"/>
                    <w:snapToGrid w:val="0"/>
                    <w:jc w:val="center"/>
                    <w:rPr>
                      <w:b/>
                      <w:color w:val="auto"/>
                      <w:szCs w:val="21"/>
                    </w:rPr>
                  </w:pPr>
                  <w:r>
                    <w:rPr>
                      <w:b/>
                      <w:color w:val="auto"/>
                      <w:szCs w:val="21"/>
                    </w:rPr>
                    <w:t>施工期</w:t>
                  </w:r>
                </w:p>
              </w:tc>
              <w:tc>
                <w:tcPr>
                  <w:tcW w:w="0" w:type="auto"/>
                  <w:vAlign w:val="center"/>
                </w:tcPr>
                <w:p>
                  <w:pPr>
                    <w:adjustRightInd w:val="0"/>
                    <w:snapToGrid w:val="0"/>
                    <w:jc w:val="center"/>
                    <w:rPr>
                      <w:b/>
                      <w:color w:val="auto"/>
                      <w:szCs w:val="21"/>
                    </w:rPr>
                  </w:pPr>
                  <w:r>
                    <w:rPr>
                      <w:b/>
                      <w:color w:val="auto"/>
                      <w:szCs w:val="21"/>
                    </w:rPr>
                    <w:t>营运期</w:t>
                  </w:r>
                </w:p>
              </w:tc>
              <w:tc>
                <w:tcPr>
                  <w:tcW w:w="0" w:type="auto"/>
                  <w:vMerge w:val="continue"/>
                  <w:vAlign w:val="center"/>
                </w:tcPr>
                <w:p>
                  <w:pPr>
                    <w:adjustRightInd w:val="0"/>
                    <w:snapToGrid w:val="0"/>
                    <w:jc w:val="center"/>
                    <w:rPr>
                      <w:b/>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adjustRightInd w:val="0"/>
                    <w:snapToGrid w:val="0"/>
                    <w:jc w:val="center"/>
                    <w:rPr>
                      <w:color w:val="auto"/>
                      <w:szCs w:val="21"/>
                    </w:rPr>
                  </w:pPr>
                  <w:r>
                    <w:rPr>
                      <w:color w:val="auto"/>
                      <w:szCs w:val="21"/>
                    </w:rPr>
                    <w:t>主体工程</w:t>
                  </w:r>
                </w:p>
              </w:tc>
              <w:tc>
                <w:tcPr>
                  <w:tcW w:w="0" w:type="auto"/>
                  <w:vAlign w:val="center"/>
                </w:tcPr>
                <w:p>
                  <w:pPr>
                    <w:autoSpaceDE w:val="0"/>
                    <w:autoSpaceDN w:val="0"/>
                    <w:adjustRightInd w:val="0"/>
                    <w:snapToGrid w:val="0"/>
                    <w:jc w:val="center"/>
                    <w:rPr>
                      <w:color w:val="auto"/>
                      <w:szCs w:val="21"/>
                    </w:rPr>
                  </w:pPr>
                  <w:r>
                    <w:rPr>
                      <w:color w:val="auto"/>
                      <w:szCs w:val="21"/>
                    </w:rPr>
                    <w:t>水稳层拌和区</w:t>
                  </w:r>
                </w:p>
              </w:tc>
              <w:tc>
                <w:tcPr>
                  <w:tcW w:w="0" w:type="auto"/>
                  <w:vAlign w:val="center"/>
                </w:tcPr>
                <w:p>
                  <w:pPr>
                    <w:adjustRightInd w:val="0"/>
                    <w:snapToGrid w:val="0"/>
                    <w:jc w:val="left"/>
                    <w:rPr>
                      <w:rFonts w:eastAsiaTheme="minorEastAsia"/>
                      <w:color w:val="auto"/>
                      <w:szCs w:val="21"/>
                    </w:rPr>
                  </w:pPr>
                  <w:r>
                    <w:rPr>
                      <w:color w:val="auto"/>
                      <w:szCs w:val="21"/>
                    </w:rPr>
                    <w:t>水稳层搅拌场地，1F，H=10m，占地面积约800m</w:t>
                  </w:r>
                  <w:r>
                    <w:rPr>
                      <w:color w:val="auto"/>
                      <w:szCs w:val="21"/>
                      <w:vertAlign w:val="superscript"/>
                    </w:rPr>
                    <w:t>2</w:t>
                  </w:r>
                  <w:r>
                    <w:rPr>
                      <w:color w:val="auto"/>
                      <w:szCs w:val="21"/>
                    </w:rPr>
                    <w:t>，位于拟建场地西侧，设置HZS90型搅拌机1套（筒仓、搅拌机、操作室、皮带输送机、配料仓）</w:t>
                  </w:r>
                </w:p>
              </w:tc>
              <w:tc>
                <w:tcPr>
                  <w:tcW w:w="0" w:type="auto"/>
                  <w:vMerge w:val="restart"/>
                  <w:vAlign w:val="center"/>
                </w:tcPr>
                <w:p>
                  <w:pPr>
                    <w:adjustRightInd w:val="0"/>
                    <w:snapToGrid w:val="0"/>
                    <w:jc w:val="center"/>
                    <w:rPr>
                      <w:color w:val="auto"/>
                      <w:szCs w:val="21"/>
                    </w:rPr>
                  </w:pPr>
                  <w:r>
                    <w:rPr>
                      <w:color w:val="auto"/>
                      <w:szCs w:val="21"/>
                    </w:rPr>
                    <w:t>噪声、固废、废水、扬尘、弃渣、废气</w:t>
                  </w:r>
                </w:p>
              </w:tc>
              <w:tc>
                <w:tcPr>
                  <w:tcW w:w="0" w:type="auto"/>
                  <w:vAlign w:val="center"/>
                </w:tcPr>
                <w:p>
                  <w:pPr>
                    <w:adjustRightInd w:val="0"/>
                    <w:snapToGrid w:val="0"/>
                    <w:jc w:val="left"/>
                    <w:rPr>
                      <w:color w:val="auto"/>
                      <w:szCs w:val="21"/>
                    </w:rPr>
                  </w:pPr>
                  <w:r>
                    <w:rPr>
                      <w:color w:val="auto"/>
                      <w:szCs w:val="21"/>
                    </w:rPr>
                    <w:t>噪声、废水、固废、废气</w:t>
                  </w:r>
                </w:p>
              </w:tc>
              <w:tc>
                <w:tcPr>
                  <w:tcW w:w="0" w:type="auto"/>
                  <w:vAlign w:val="center"/>
                </w:tcPr>
                <w:p>
                  <w:pPr>
                    <w:adjustRightInd w:val="0"/>
                    <w:snapToGrid w:val="0"/>
                    <w:jc w:val="left"/>
                    <w:rPr>
                      <w:rFonts w:hint="eastAsia" w:eastAsia="宋体"/>
                      <w:color w:val="auto"/>
                      <w:szCs w:val="21"/>
                      <w:lang w:eastAsia="zh-CN"/>
                    </w:rPr>
                  </w:pPr>
                  <w:r>
                    <w:rPr>
                      <w:rFonts w:hint="eastAsia"/>
                      <w:color w:val="auto"/>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adjustRightInd w:val="0"/>
                    <w:snapToGrid w:val="0"/>
                    <w:jc w:val="center"/>
                    <w:rPr>
                      <w:color w:val="auto"/>
                      <w:szCs w:val="21"/>
                    </w:rPr>
                  </w:pPr>
                  <w:r>
                    <w:rPr>
                      <w:color w:val="auto"/>
                      <w:szCs w:val="21"/>
                    </w:rPr>
                    <w:t>储运工程</w:t>
                  </w:r>
                </w:p>
              </w:tc>
              <w:tc>
                <w:tcPr>
                  <w:tcW w:w="0" w:type="auto"/>
                  <w:vAlign w:val="center"/>
                </w:tcPr>
                <w:p>
                  <w:pPr>
                    <w:autoSpaceDE w:val="0"/>
                    <w:autoSpaceDN w:val="0"/>
                    <w:adjustRightInd w:val="0"/>
                    <w:snapToGrid w:val="0"/>
                    <w:jc w:val="center"/>
                    <w:rPr>
                      <w:color w:val="auto"/>
                      <w:szCs w:val="21"/>
                    </w:rPr>
                  </w:pPr>
                  <w:r>
                    <w:rPr>
                      <w:color w:val="auto"/>
                      <w:szCs w:val="21"/>
                    </w:rPr>
                    <w:t>原料堆场</w:t>
                  </w:r>
                </w:p>
              </w:tc>
              <w:tc>
                <w:tcPr>
                  <w:tcW w:w="0" w:type="auto"/>
                  <w:vAlign w:val="center"/>
                </w:tcPr>
                <w:p>
                  <w:pPr>
                    <w:adjustRightInd w:val="0"/>
                    <w:snapToGrid w:val="0"/>
                    <w:jc w:val="left"/>
                    <w:rPr>
                      <w:color w:val="auto"/>
                      <w:szCs w:val="21"/>
                    </w:rPr>
                  </w:pPr>
                  <w:r>
                    <w:rPr>
                      <w:color w:val="auto"/>
                      <w:szCs w:val="21"/>
                    </w:rPr>
                    <w:t>位于拟建场地东侧，1F，H=10m，包括原料堆场2个，四面围挡，顶部设置彩钢棚，占地面积约500m</w:t>
                  </w:r>
                  <w:r>
                    <w:rPr>
                      <w:color w:val="auto"/>
                      <w:szCs w:val="21"/>
                      <w:vertAlign w:val="superscript"/>
                    </w:rPr>
                    <w:t>2</w:t>
                  </w:r>
                </w:p>
              </w:tc>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color w:val="auto"/>
                      <w:szCs w:val="21"/>
                    </w:rPr>
                  </w:pPr>
                  <w:r>
                    <w:rPr>
                      <w:color w:val="auto"/>
                      <w:szCs w:val="21"/>
                    </w:rPr>
                    <w:t>扬尘</w:t>
                  </w:r>
                </w:p>
              </w:tc>
              <w:tc>
                <w:tcPr>
                  <w:tcW w:w="0" w:type="auto"/>
                  <w:vAlign w:val="center"/>
                </w:tcPr>
                <w:p>
                  <w:pPr>
                    <w:adjustRightInd w:val="0"/>
                    <w:snapToGrid w:val="0"/>
                    <w:jc w:val="center"/>
                    <w:rPr>
                      <w:color w:val="auto"/>
                      <w:szCs w:val="21"/>
                    </w:rPr>
                  </w:pPr>
                  <w:r>
                    <w:rPr>
                      <w:rFonts w:hint="eastAsia"/>
                      <w:color w:val="auto"/>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adjustRightInd w:val="0"/>
                    <w:snapToGrid w:val="0"/>
                    <w:jc w:val="center"/>
                    <w:rPr>
                      <w:color w:val="auto"/>
                      <w:szCs w:val="21"/>
                    </w:rPr>
                  </w:pPr>
                </w:p>
              </w:tc>
              <w:tc>
                <w:tcPr>
                  <w:tcW w:w="0" w:type="auto"/>
                  <w:vAlign w:val="center"/>
                </w:tcPr>
                <w:p>
                  <w:pPr>
                    <w:autoSpaceDE w:val="0"/>
                    <w:autoSpaceDN w:val="0"/>
                    <w:adjustRightInd w:val="0"/>
                    <w:snapToGrid w:val="0"/>
                    <w:jc w:val="center"/>
                    <w:rPr>
                      <w:color w:val="auto"/>
                      <w:szCs w:val="21"/>
                    </w:rPr>
                  </w:pPr>
                  <w:r>
                    <w:rPr>
                      <w:color w:val="auto"/>
                      <w:szCs w:val="21"/>
                    </w:rPr>
                    <w:t>成品堆场</w:t>
                  </w:r>
                </w:p>
              </w:tc>
              <w:tc>
                <w:tcPr>
                  <w:tcW w:w="0" w:type="auto"/>
                  <w:vAlign w:val="center"/>
                </w:tcPr>
                <w:p>
                  <w:pPr>
                    <w:adjustRightInd w:val="0"/>
                    <w:snapToGrid w:val="0"/>
                    <w:jc w:val="left"/>
                    <w:rPr>
                      <w:rFonts w:eastAsiaTheme="minorEastAsia"/>
                      <w:b/>
                      <w:bCs/>
                      <w:color w:val="auto"/>
                      <w:szCs w:val="21"/>
                    </w:rPr>
                  </w:pPr>
                  <w:r>
                    <w:rPr>
                      <w:color w:val="auto"/>
                      <w:szCs w:val="21"/>
                    </w:rPr>
                    <w:t>不建成品堆场，由罐车直接运走</w:t>
                  </w:r>
                </w:p>
              </w:tc>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color w:val="auto"/>
                      <w:szCs w:val="21"/>
                    </w:rPr>
                  </w:pPr>
                  <w:r>
                    <w:rPr>
                      <w:color w:val="auto"/>
                      <w:szCs w:val="21"/>
                    </w:rPr>
                    <w:t>/</w:t>
                  </w:r>
                </w:p>
              </w:tc>
              <w:tc>
                <w:tcPr>
                  <w:tcW w:w="0" w:type="auto"/>
                  <w:vAlign w:val="center"/>
                </w:tcPr>
                <w:p>
                  <w:pPr>
                    <w:adjustRightInd w:val="0"/>
                    <w:snapToGrid w:val="0"/>
                    <w:jc w:val="center"/>
                    <w:rPr>
                      <w:color w:val="auto"/>
                      <w:szCs w:val="21"/>
                    </w:rPr>
                  </w:pPr>
                  <w:r>
                    <w:rPr>
                      <w:rFonts w:hint="eastAsia"/>
                      <w:color w:val="auto"/>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adjustRightInd w:val="0"/>
                    <w:snapToGrid w:val="0"/>
                    <w:jc w:val="center"/>
                    <w:rPr>
                      <w:color w:val="auto"/>
                      <w:szCs w:val="21"/>
                    </w:rPr>
                  </w:pPr>
                </w:p>
              </w:tc>
              <w:tc>
                <w:tcPr>
                  <w:tcW w:w="0" w:type="auto"/>
                  <w:vAlign w:val="center"/>
                </w:tcPr>
                <w:p>
                  <w:pPr>
                    <w:autoSpaceDE w:val="0"/>
                    <w:autoSpaceDN w:val="0"/>
                    <w:adjustRightInd w:val="0"/>
                    <w:snapToGrid w:val="0"/>
                    <w:jc w:val="center"/>
                    <w:rPr>
                      <w:color w:val="auto"/>
                      <w:szCs w:val="21"/>
                    </w:rPr>
                  </w:pPr>
                  <w:r>
                    <w:rPr>
                      <w:color w:val="auto"/>
                      <w:szCs w:val="21"/>
                    </w:rPr>
                    <w:t>筒仓</w:t>
                  </w:r>
                </w:p>
              </w:tc>
              <w:tc>
                <w:tcPr>
                  <w:tcW w:w="0" w:type="auto"/>
                  <w:vAlign w:val="center"/>
                </w:tcPr>
                <w:p>
                  <w:pPr>
                    <w:adjustRightInd w:val="0"/>
                    <w:snapToGrid w:val="0"/>
                    <w:jc w:val="left"/>
                    <w:rPr>
                      <w:rFonts w:hint="eastAsia" w:eastAsia="宋体"/>
                      <w:b/>
                      <w:bCs/>
                      <w:color w:val="auto"/>
                      <w:szCs w:val="21"/>
                      <w:lang w:eastAsia="zh-CN"/>
                    </w:rPr>
                  </w:pPr>
                  <w:r>
                    <w:rPr>
                      <w:color w:val="auto"/>
                      <w:szCs w:val="21"/>
                    </w:rPr>
                    <w:t>配置3个水泥罐筒仓</w:t>
                  </w:r>
                  <w:r>
                    <w:rPr>
                      <w:color w:val="auto"/>
                    </w:rPr>
                    <w:t>（300t/个）</w:t>
                  </w:r>
                  <w:r>
                    <w:rPr>
                      <w:rFonts w:hint="eastAsia"/>
                      <w:color w:val="auto"/>
                      <w:lang w:eastAsia="zh-CN"/>
                    </w:rPr>
                    <w:t>，位于搅拌楼旁</w:t>
                  </w:r>
                </w:p>
              </w:tc>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color w:val="auto"/>
                      <w:szCs w:val="21"/>
                    </w:rPr>
                  </w:pPr>
                  <w:r>
                    <w:rPr>
                      <w:color w:val="auto"/>
                      <w:szCs w:val="21"/>
                    </w:rPr>
                    <w:t>噪声、扬尘</w:t>
                  </w:r>
                </w:p>
              </w:tc>
              <w:tc>
                <w:tcPr>
                  <w:tcW w:w="0" w:type="auto"/>
                  <w:vAlign w:val="center"/>
                </w:tcPr>
                <w:p>
                  <w:pPr>
                    <w:adjustRightInd w:val="0"/>
                    <w:snapToGrid w:val="0"/>
                    <w:jc w:val="center"/>
                    <w:rPr>
                      <w:color w:val="auto"/>
                      <w:szCs w:val="21"/>
                    </w:rPr>
                  </w:pPr>
                  <w:r>
                    <w:rPr>
                      <w:rFonts w:hint="eastAsia"/>
                      <w:color w:val="auto"/>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restart"/>
                  <w:vAlign w:val="center"/>
                </w:tcPr>
                <w:p>
                  <w:pPr>
                    <w:adjustRightInd w:val="0"/>
                    <w:snapToGrid w:val="0"/>
                    <w:jc w:val="center"/>
                    <w:rPr>
                      <w:color w:val="auto"/>
                      <w:szCs w:val="21"/>
                    </w:rPr>
                  </w:pPr>
                  <w:r>
                    <w:rPr>
                      <w:color w:val="auto"/>
                      <w:szCs w:val="21"/>
                    </w:rPr>
                    <w:t>办公及辅助工程</w:t>
                  </w:r>
                </w:p>
              </w:tc>
              <w:tc>
                <w:tcPr>
                  <w:tcW w:w="0" w:type="auto"/>
                  <w:vAlign w:val="center"/>
                </w:tcPr>
                <w:p>
                  <w:pPr>
                    <w:adjustRightInd w:val="0"/>
                    <w:snapToGrid w:val="0"/>
                    <w:jc w:val="center"/>
                    <w:rPr>
                      <w:color w:val="auto"/>
                      <w:szCs w:val="21"/>
                    </w:rPr>
                  </w:pPr>
                  <w:r>
                    <w:rPr>
                      <w:color w:val="auto"/>
                      <w:szCs w:val="21"/>
                    </w:rPr>
                    <w:t>办公区</w:t>
                  </w:r>
                </w:p>
              </w:tc>
              <w:tc>
                <w:tcPr>
                  <w:tcW w:w="0" w:type="auto"/>
                  <w:vAlign w:val="center"/>
                </w:tcPr>
                <w:p>
                  <w:pPr>
                    <w:adjustRightInd w:val="0"/>
                    <w:snapToGrid w:val="0"/>
                    <w:rPr>
                      <w:color w:val="auto"/>
                      <w:szCs w:val="21"/>
                    </w:rPr>
                  </w:pPr>
                  <w:r>
                    <w:rPr>
                      <w:color w:val="auto"/>
                      <w:szCs w:val="21"/>
                    </w:rPr>
                    <w:t>厂内不设置办公区，租用乐山铁匠世家手工刀具有限公司办公区</w:t>
                  </w:r>
                </w:p>
              </w:tc>
              <w:tc>
                <w:tcPr>
                  <w:tcW w:w="0" w:type="auto"/>
                  <w:vMerge w:val="continue"/>
                  <w:vAlign w:val="center"/>
                </w:tcPr>
                <w:p>
                  <w:pPr>
                    <w:adjustRightInd w:val="0"/>
                    <w:snapToGrid w:val="0"/>
                    <w:jc w:val="center"/>
                    <w:rPr>
                      <w:color w:val="auto"/>
                      <w:szCs w:val="21"/>
                    </w:rPr>
                  </w:pPr>
                </w:p>
              </w:tc>
              <w:tc>
                <w:tcPr>
                  <w:tcW w:w="0" w:type="auto"/>
                  <w:vMerge w:val="restart"/>
                  <w:vAlign w:val="center"/>
                </w:tcPr>
                <w:p>
                  <w:pPr>
                    <w:adjustRightInd w:val="0"/>
                    <w:snapToGrid w:val="0"/>
                    <w:jc w:val="center"/>
                    <w:rPr>
                      <w:color w:val="auto"/>
                      <w:szCs w:val="21"/>
                    </w:rPr>
                  </w:pPr>
                  <w:r>
                    <w:rPr>
                      <w:color w:val="auto"/>
                      <w:szCs w:val="21"/>
                    </w:rPr>
                    <w:t>废水、固废</w:t>
                  </w:r>
                </w:p>
              </w:tc>
              <w:tc>
                <w:tcPr>
                  <w:tcW w:w="0" w:type="auto"/>
                  <w:vAlign w:val="center"/>
                </w:tcPr>
                <w:p>
                  <w:pPr>
                    <w:adjustRightInd w:val="0"/>
                    <w:snapToGrid w:val="0"/>
                    <w:jc w:val="center"/>
                    <w:rPr>
                      <w:rFonts w:hint="eastAsia" w:eastAsia="宋体"/>
                      <w:color w:val="auto"/>
                      <w:szCs w:val="21"/>
                      <w:lang w:eastAsia="zh-CN"/>
                    </w:rPr>
                  </w:pPr>
                  <w:r>
                    <w:rPr>
                      <w:rFonts w:hint="eastAsia"/>
                      <w:color w:val="auto"/>
                      <w:szCs w:val="21"/>
                      <w:lang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color w:val="auto"/>
                      <w:szCs w:val="21"/>
                    </w:rPr>
                  </w:pPr>
                  <w:r>
                    <w:rPr>
                      <w:color w:val="auto"/>
                      <w:szCs w:val="21"/>
                    </w:rPr>
                    <w:t>宿舍</w:t>
                  </w:r>
                </w:p>
              </w:tc>
              <w:tc>
                <w:tcPr>
                  <w:tcW w:w="0" w:type="auto"/>
                  <w:vAlign w:val="center"/>
                </w:tcPr>
                <w:p>
                  <w:pPr>
                    <w:adjustRightInd w:val="0"/>
                    <w:snapToGrid w:val="0"/>
                    <w:rPr>
                      <w:color w:val="auto"/>
                      <w:szCs w:val="21"/>
                    </w:rPr>
                  </w:pPr>
                  <w:r>
                    <w:rPr>
                      <w:color w:val="auto"/>
                      <w:szCs w:val="21"/>
                    </w:rPr>
                    <w:t>厂区不设置宿舍</w:t>
                  </w:r>
                </w:p>
              </w:tc>
              <w:tc>
                <w:tcPr>
                  <w:tcW w:w="0" w:type="auto"/>
                  <w:vMerge w:val="continue"/>
                  <w:vAlign w:val="center"/>
                </w:tcPr>
                <w:p>
                  <w:pPr>
                    <w:adjustRightInd w:val="0"/>
                    <w:snapToGrid w:val="0"/>
                    <w:jc w:val="center"/>
                    <w:rPr>
                      <w:color w:val="auto"/>
                      <w:szCs w:val="21"/>
                    </w:rPr>
                  </w:pPr>
                </w:p>
              </w:tc>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rFonts w:hint="eastAsia" w:eastAsia="宋体"/>
                      <w:color w:val="auto"/>
                      <w:szCs w:val="21"/>
                      <w:lang w:val="en-US" w:eastAsia="zh-CN"/>
                    </w:rPr>
                  </w:pPr>
                  <w:r>
                    <w:rPr>
                      <w:rFonts w:hint="eastAsia"/>
                      <w:color w:val="auto"/>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color w:val="auto"/>
                      <w:szCs w:val="21"/>
                    </w:rPr>
                  </w:pPr>
                  <w:r>
                    <w:rPr>
                      <w:color w:val="auto"/>
                      <w:szCs w:val="21"/>
                    </w:rPr>
                    <w:t>地磅</w:t>
                  </w:r>
                </w:p>
              </w:tc>
              <w:tc>
                <w:tcPr>
                  <w:tcW w:w="0" w:type="auto"/>
                  <w:vAlign w:val="center"/>
                </w:tcPr>
                <w:p>
                  <w:pPr>
                    <w:adjustRightInd w:val="0"/>
                    <w:snapToGrid w:val="0"/>
                    <w:rPr>
                      <w:bCs/>
                      <w:snapToGrid w:val="0"/>
                      <w:color w:val="auto"/>
                      <w:kern w:val="0"/>
                      <w:szCs w:val="21"/>
                    </w:rPr>
                  </w:pPr>
                  <w:r>
                    <w:rPr>
                      <w:color w:val="auto"/>
                      <w:szCs w:val="21"/>
                    </w:rPr>
                    <w:t>厂区</w:t>
                  </w:r>
                  <w:r>
                    <w:rPr>
                      <w:bCs/>
                      <w:snapToGrid w:val="0"/>
                      <w:color w:val="auto"/>
                      <w:kern w:val="0"/>
                      <w:szCs w:val="21"/>
                    </w:rPr>
                    <w:t>出口新建1个地磅</w:t>
                  </w:r>
                </w:p>
              </w:tc>
              <w:tc>
                <w:tcPr>
                  <w:tcW w:w="0" w:type="auto"/>
                  <w:vMerge w:val="continue"/>
                  <w:vAlign w:val="center"/>
                </w:tcPr>
                <w:p>
                  <w:pPr>
                    <w:adjustRightInd w:val="0"/>
                    <w:snapToGrid w:val="0"/>
                    <w:jc w:val="center"/>
                    <w:rPr>
                      <w:color w:val="auto"/>
                      <w:szCs w:val="21"/>
                    </w:rPr>
                  </w:pPr>
                </w:p>
              </w:tc>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color w:val="auto"/>
                      <w:szCs w:val="21"/>
                    </w:rPr>
                  </w:pPr>
                  <w:r>
                    <w:rPr>
                      <w:rFonts w:hint="eastAsia"/>
                      <w:color w:val="auto"/>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color w:val="auto"/>
                      <w:szCs w:val="21"/>
                    </w:rPr>
                  </w:pPr>
                  <w:r>
                    <w:rPr>
                      <w:color w:val="auto"/>
                      <w:szCs w:val="21"/>
                    </w:rPr>
                    <w:t>洗车池</w:t>
                  </w:r>
                </w:p>
              </w:tc>
              <w:tc>
                <w:tcPr>
                  <w:tcW w:w="0" w:type="auto"/>
                  <w:vAlign w:val="center"/>
                </w:tcPr>
                <w:p>
                  <w:pPr>
                    <w:adjustRightInd w:val="0"/>
                    <w:snapToGrid w:val="0"/>
                    <w:rPr>
                      <w:bCs/>
                      <w:snapToGrid w:val="0"/>
                      <w:color w:val="auto"/>
                      <w:kern w:val="0"/>
                      <w:szCs w:val="21"/>
                    </w:rPr>
                  </w:pPr>
                  <w:r>
                    <w:rPr>
                      <w:bCs/>
                      <w:snapToGrid w:val="0"/>
                      <w:color w:val="auto"/>
                      <w:kern w:val="0"/>
                      <w:szCs w:val="21"/>
                    </w:rPr>
                    <w:t>位于厂区出口处，用于清洗进出厂区运输车辆轮胎</w:t>
                  </w:r>
                </w:p>
              </w:tc>
              <w:tc>
                <w:tcPr>
                  <w:tcW w:w="0" w:type="auto"/>
                  <w:vMerge w:val="continue"/>
                  <w:vAlign w:val="center"/>
                </w:tcPr>
                <w:p>
                  <w:pPr>
                    <w:adjustRightInd w:val="0"/>
                    <w:snapToGrid w:val="0"/>
                    <w:jc w:val="center"/>
                    <w:rPr>
                      <w:color w:val="auto"/>
                      <w:szCs w:val="21"/>
                    </w:rPr>
                  </w:pPr>
                </w:p>
              </w:tc>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color w:val="auto"/>
                      <w:szCs w:val="21"/>
                    </w:rPr>
                  </w:pPr>
                  <w:r>
                    <w:rPr>
                      <w:rFonts w:hint="eastAsia"/>
                      <w:color w:val="auto"/>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adjustRightInd w:val="0"/>
                    <w:snapToGrid w:val="0"/>
                    <w:jc w:val="center"/>
                    <w:rPr>
                      <w:color w:val="auto"/>
                      <w:szCs w:val="21"/>
                    </w:rPr>
                  </w:pPr>
                  <w:r>
                    <w:rPr>
                      <w:color w:val="auto"/>
                      <w:szCs w:val="21"/>
                    </w:rPr>
                    <w:t>公</w:t>
                  </w:r>
                </w:p>
                <w:p>
                  <w:pPr>
                    <w:adjustRightInd w:val="0"/>
                    <w:snapToGrid w:val="0"/>
                    <w:jc w:val="center"/>
                    <w:rPr>
                      <w:color w:val="auto"/>
                      <w:szCs w:val="21"/>
                    </w:rPr>
                  </w:pPr>
                  <w:r>
                    <w:rPr>
                      <w:color w:val="auto"/>
                      <w:szCs w:val="21"/>
                    </w:rPr>
                    <w:t>用</w:t>
                  </w:r>
                </w:p>
                <w:p>
                  <w:pPr>
                    <w:adjustRightInd w:val="0"/>
                    <w:snapToGrid w:val="0"/>
                    <w:jc w:val="center"/>
                    <w:rPr>
                      <w:color w:val="auto"/>
                      <w:szCs w:val="21"/>
                    </w:rPr>
                  </w:pPr>
                  <w:r>
                    <w:rPr>
                      <w:color w:val="auto"/>
                      <w:szCs w:val="21"/>
                    </w:rPr>
                    <w:t>工</w:t>
                  </w:r>
                </w:p>
                <w:p>
                  <w:pPr>
                    <w:adjustRightInd w:val="0"/>
                    <w:snapToGrid w:val="0"/>
                    <w:jc w:val="center"/>
                    <w:rPr>
                      <w:color w:val="auto"/>
                      <w:szCs w:val="21"/>
                    </w:rPr>
                  </w:pPr>
                  <w:r>
                    <w:rPr>
                      <w:color w:val="auto"/>
                      <w:szCs w:val="21"/>
                    </w:rPr>
                    <w:t>程</w:t>
                  </w:r>
                </w:p>
              </w:tc>
              <w:tc>
                <w:tcPr>
                  <w:tcW w:w="0" w:type="auto"/>
                  <w:vAlign w:val="center"/>
                </w:tcPr>
                <w:p>
                  <w:pPr>
                    <w:adjustRightInd w:val="0"/>
                    <w:snapToGrid w:val="0"/>
                    <w:jc w:val="center"/>
                    <w:rPr>
                      <w:color w:val="auto"/>
                      <w:szCs w:val="21"/>
                    </w:rPr>
                  </w:pPr>
                  <w:r>
                    <w:rPr>
                      <w:color w:val="auto"/>
                      <w:szCs w:val="21"/>
                    </w:rPr>
                    <w:t>供电</w:t>
                  </w:r>
                </w:p>
              </w:tc>
              <w:tc>
                <w:tcPr>
                  <w:tcW w:w="0" w:type="auto"/>
                  <w:vAlign w:val="center"/>
                </w:tcPr>
                <w:p>
                  <w:pPr>
                    <w:adjustRightInd w:val="0"/>
                    <w:snapToGrid w:val="0"/>
                    <w:jc w:val="center"/>
                    <w:rPr>
                      <w:b/>
                      <w:bCs/>
                      <w:color w:val="auto"/>
                      <w:szCs w:val="21"/>
                    </w:rPr>
                  </w:pPr>
                  <w:r>
                    <w:rPr>
                      <w:color w:val="auto"/>
                      <w:szCs w:val="21"/>
                    </w:rPr>
                    <w:t>市政供电，自建变压器</w:t>
                  </w:r>
                </w:p>
              </w:tc>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color w:val="auto"/>
                      <w:szCs w:val="21"/>
                    </w:rPr>
                  </w:pPr>
                  <w:r>
                    <w:rPr>
                      <w:color w:val="auto"/>
                      <w:szCs w:val="21"/>
                    </w:rPr>
                    <w:t>/</w:t>
                  </w:r>
                </w:p>
              </w:tc>
              <w:tc>
                <w:tcPr>
                  <w:tcW w:w="0" w:type="auto"/>
                  <w:vAlign w:val="center"/>
                </w:tcPr>
                <w:p>
                  <w:pPr>
                    <w:adjustRightInd w:val="0"/>
                    <w:snapToGrid w:val="0"/>
                    <w:jc w:val="center"/>
                    <w:rPr>
                      <w:color w:val="auto"/>
                      <w:szCs w:val="21"/>
                    </w:rPr>
                  </w:pPr>
                  <w:r>
                    <w:rPr>
                      <w:rFonts w:hint="eastAsia"/>
                      <w:color w:val="auto"/>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color w:val="auto"/>
                      <w:szCs w:val="21"/>
                    </w:rPr>
                  </w:pPr>
                  <w:r>
                    <w:rPr>
                      <w:color w:val="auto"/>
                      <w:szCs w:val="21"/>
                    </w:rPr>
                    <w:t>供水</w:t>
                  </w:r>
                </w:p>
              </w:tc>
              <w:tc>
                <w:tcPr>
                  <w:tcW w:w="0" w:type="auto"/>
                  <w:vAlign w:val="center"/>
                </w:tcPr>
                <w:p>
                  <w:pPr>
                    <w:adjustRightInd w:val="0"/>
                    <w:snapToGrid w:val="0"/>
                    <w:jc w:val="center"/>
                    <w:rPr>
                      <w:color w:val="auto"/>
                      <w:szCs w:val="21"/>
                    </w:rPr>
                  </w:pPr>
                  <w:r>
                    <w:rPr>
                      <w:color w:val="auto"/>
                      <w:szCs w:val="21"/>
                    </w:rPr>
                    <w:t>生产用水、生活用水均来自自来水</w:t>
                  </w:r>
                </w:p>
              </w:tc>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color w:val="auto"/>
                      <w:szCs w:val="21"/>
                    </w:rPr>
                  </w:pPr>
                  <w:r>
                    <w:rPr>
                      <w:color w:val="auto"/>
                      <w:szCs w:val="21"/>
                    </w:rPr>
                    <w:t>/</w:t>
                  </w:r>
                </w:p>
              </w:tc>
              <w:tc>
                <w:tcPr>
                  <w:tcW w:w="0" w:type="auto"/>
                  <w:vAlign w:val="center"/>
                </w:tcPr>
                <w:p>
                  <w:pPr>
                    <w:adjustRightInd w:val="0"/>
                    <w:snapToGrid w:val="0"/>
                    <w:jc w:val="center"/>
                    <w:rPr>
                      <w:color w:val="auto"/>
                      <w:szCs w:val="21"/>
                    </w:rPr>
                  </w:pPr>
                  <w:r>
                    <w:rPr>
                      <w:rFonts w:hint="eastAsia"/>
                      <w:color w:val="auto"/>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color w:val="auto"/>
                      <w:szCs w:val="21"/>
                    </w:rPr>
                  </w:pPr>
                  <w:r>
                    <w:rPr>
                      <w:color w:val="auto"/>
                      <w:szCs w:val="21"/>
                    </w:rPr>
                    <w:t>排水</w:t>
                  </w:r>
                </w:p>
              </w:tc>
              <w:tc>
                <w:tcPr>
                  <w:tcW w:w="0" w:type="auto"/>
                  <w:vAlign w:val="center"/>
                </w:tcPr>
                <w:p>
                  <w:pPr>
                    <w:adjustRightInd w:val="0"/>
                    <w:snapToGrid w:val="0"/>
                    <w:rPr>
                      <w:color w:val="auto"/>
                      <w:szCs w:val="21"/>
                    </w:rPr>
                  </w:pPr>
                  <w:r>
                    <w:rPr>
                      <w:color w:val="auto"/>
                      <w:szCs w:val="21"/>
                    </w:rPr>
                    <w:t>厂区排水按雨污分流制</w:t>
                  </w:r>
                </w:p>
                <w:p>
                  <w:pPr>
                    <w:adjustRightInd w:val="0"/>
                    <w:snapToGrid w:val="0"/>
                    <w:rPr>
                      <w:color w:val="auto"/>
                      <w:szCs w:val="21"/>
                    </w:rPr>
                  </w:pPr>
                  <w:r>
                    <w:rPr>
                      <w:b/>
                      <w:bCs/>
                      <w:color w:val="auto"/>
                      <w:szCs w:val="21"/>
                    </w:rPr>
                    <w:t>生活污水：</w:t>
                  </w:r>
                  <w:r>
                    <w:rPr>
                      <w:color w:val="auto"/>
                      <w:szCs w:val="21"/>
                    </w:rPr>
                    <w:t>依托乐山铁匠世家手工刀具有限公司化粪池（10m</w:t>
                  </w:r>
                  <w:r>
                    <w:rPr>
                      <w:color w:val="auto"/>
                      <w:szCs w:val="21"/>
                      <w:vertAlign w:val="superscript"/>
                    </w:rPr>
                    <w:t>3</w:t>
                  </w:r>
                  <w:r>
                    <w:rPr>
                      <w:color w:val="auto"/>
                      <w:szCs w:val="21"/>
                    </w:rPr>
                    <w:t>）处理后用于农田施肥，不外排</w:t>
                  </w:r>
                </w:p>
                <w:p>
                  <w:pPr>
                    <w:adjustRightInd w:val="0"/>
                    <w:snapToGrid w:val="0"/>
                    <w:rPr>
                      <w:color w:val="auto"/>
                      <w:szCs w:val="21"/>
                    </w:rPr>
                  </w:pPr>
                  <w:r>
                    <w:rPr>
                      <w:b/>
                      <w:bCs/>
                      <w:color w:val="auto"/>
                      <w:szCs w:val="21"/>
                    </w:rPr>
                    <w:t>搅拌设备、罐车、地面清洗废水、初期雨水：</w:t>
                  </w:r>
                  <w:r>
                    <w:rPr>
                      <w:color w:val="auto"/>
                      <w:szCs w:val="21"/>
                    </w:rPr>
                    <w:t>通过雨水沟排入三级沉淀池处理系统（200m</w:t>
                  </w:r>
                  <w:r>
                    <w:rPr>
                      <w:color w:val="auto"/>
                      <w:szCs w:val="21"/>
                      <w:vertAlign w:val="superscript"/>
                    </w:rPr>
                    <w:t>3</w:t>
                  </w:r>
                  <w:r>
                    <w:rPr>
                      <w:color w:val="auto"/>
                      <w:szCs w:val="21"/>
                    </w:rPr>
                    <w:t>）处理后回用不外排</w:t>
                  </w:r>
                </w:p>
              </w:tc>
              <w:tc>
                <w:tcPr>
                  <w:tcW w:w="0" w:type="auto"/>
                  <w:vMerge w:val="continue"/>
                  <w:vAlign w:val="center"/>
                </w:tcPr>
                <w:p>
                  <w:pPr>
                    <w:adjustRightInd w:val="0"/>
                    <w:snapToGrid w:val="0"/>
                    <w:jc w:val="center"/>
                    <w:rPr>
                      <w:color w:val="auto"/>
                      <w:szCs w:val="21"/>
                    </w:rPr>
                  </w:pPr>
                </w:p>
              </w:tc>
              <w:tc>
                <w:tcPr>
                  <w:tcW w:w="0" w:type="auto"/>
                  <w:vMerge w:val="restart"/>
                  <w:vAlign w:val="center"/>
                </w:tcPr>
                <w:p>
                  <w:pPr>
                    <w:adjustRightInd w:val="0"/>
                    <w:snapToGrid w:val="0"/>
                    <w:jc w:val="center"/>
                    <w:rPr>
                      <w:color w:val="auto"/>
                      <w:szCs w:val="21"/>
                    </w:rPr>
                  </w:pPr>
                  <w:r>
                    <w:rPr>
                      <w:color w:val="auto"/>
                      <w:szCs w:val="21"/>
                    </w:rPr>
                    <w:t>废水</w:t>
                  </w:r>
                </w:p>
              </w:tc>
              <w:tc>
                <w:tcPr>
                  <w:tcW w:w="0" w:type="auto"/>
                  <w:vAlign w:val="center"/>
                </w:tcPr>
                <w:p>
                  <w:pPr>
                    <w:adjustRightInd w:val="0"/>
                    <w:snapToGrid w:val="0"/>
                    <w:jc w:val="center"/>
                    <w:rPr>
                      <w:rFonts w:hint="default"/>
                      <w:color w:val="auto"/>
                      <w:szCs w:val="21"/>
                      <w:lang w:val="en-US"/>
                    </w:rPr>
                  </w:pPr>
                  <w:r>
                    <w:rPr>
                      <w:rFonts w:hint="eastAsia"/>
                      <w:color w:val="auto"/>
                      <w:szCs w:val="21"/>
                      <w:lang w:eastAsia="zh-CN"/>
                    </w:rPr>
                    <w:t>新建</w:t>
                  </w:r>
                  <w:r>
                    <w:rPr>
                      <w:rFonts w:hint="eastAsia"/>
                      <w:color w:val="auto"/>
                      <w:szCs w:val="21"/>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color w:val="auto"/>
                      <w:szCs w:val="21"/>
                    </w:rPr>
                  </w:pPr>
                  <w:r>
                    <w:rPr>
                      <w:color w:val="auto"/>
                      <w:szCs w:val="21"/>
                    </w:rPr>
                    <w:t>消防系统</w:t>
                  </w:r>
                </w:p>
              </w:tc>
              <w:tc>
                <w:tcPr>
                  <w:tcW w:w="0" w:type="auto"/>
                </w:tcPr>
                <w:p>
                  <w:pPr>
                    <w:pStyle w:val="12"/>
                    <w:adjustRightInd w:val="0"/>
                    <w:snapToGrid w:val="0"/>
                    <w:jc w:val="both"/>
                    <w:rPr>
                      <w:b/>
                      <w:bCs/>
                      <w:color w:val="auto"/>
                      <w:sz w:val="21"/>
                      <w:szCs w:val="21"/>
                    </w:rPr>
                  </w:pPr>
                  <w:r>
                    <w:rPr>
                      <w:color w:val="auto"/>
                      <w:kern w:val="2"/>
                      <w:sz w:val="21"/>
                      <w:szCs w:val="21"/>
                    </w:rPr>
                    <w:t>厂区内布置灭火器，三级沉淀池中的水可作应急消防用水</w:t>
                  </w:r>
                </w:p>
              </w:tc>
              <w:tc>
                <w:tcPr>
                  <w:tcW w:w="0" w:type="auto"/>
                  <w:vMerge w:val="continue"/>
                  <w:vAlign w:val="center"/>
                </w:tcPr>
                <w:p>
                  <w:pPr>
                    <w:adjustRightInd w:val="0"/>
                    <w:snapToGrid w:val="0"/>
                    <w:jc w:val="center"/>
                    <w:rPr>
                      <w:color w:val="auto"/>
                      <w:szCs w:val="21"/>
                    </w:rPr>
                  </w:pPr>
                </w:p>
              </w:tc>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color w:val="auto"/>
                      <w:szCs w:val="21"/>
                    </w:rPr>
                  </w:pPr>
                  <w:r>
                    <w:rPr>
                      <w:rFonts w:hint="eastAsia"/>
                      <w:color w:val="auto"/>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3" w:hRule="atLeast"/>
                <w:jc w:val="center"/>
              </w:trPr>
              <w:tc>
                <w:tcPr>
                  <w:tcW w:w="0" w:type="auto"/>
                  <w:vMerge w:val="restart"/>
                  <w:vAlign w:val="center"/>
                </w:tcPr>
                <w:p>
                  <w:pPr>
                    <w:adjustRightInd w:val="0"/>
                    <w:snapToGrid w:val="0"/>
                    <w:jc w:val="center"/>
                    <w:rPr>
                      <w:color w:val="auto"/>
                      <w:szCs w:val="21"/>
                    </w:rPr>
                  </w:pPr>
                  <w:r>
                    <w:rPr>
                      <w:color w:val="auto"/>
                      <w:szCs w:val="21"/>
                    </w:rPr>
                    <w:t>环</w:t>
                  </w:r>
                </w:p>
                <w:p>
                  <w:pPr>
                    <w:adjustRightInd w:val="0"/>
                    <w:snapToGrid w:val="0"/>
                    <w:jc w:val="center"/>
                    <w:rPr>
                      <w:color w:val="auto"/>
                      <w:szCs w:val="21"/>
                    </w:rPr>
                  </w:pPr>
                  <w:r>
                    <w:rPr>
                      <w:color w:val="auto"/>
                      <w:szCs w:val="21"/>
                    </w:rPr>
                    <w:t>保</w:t>
                  </w:r>
                </w:p>
                <w:p>
                  <w:pPr>
                    <w:adjustRightInd w:val="0"/>
                    <w:snapToGrid w:val="0"/>
                    <w:jc w:val="center"/>
                    <w:rPr>
                      <w:color w:val="auto"/>
                      <w:szCs w:val="21"/>
                    </w:rPr>
                  </w:pPr>
                  <w:r>
                    <w:rPr>
                      <w:color w:val="auto"/>
                      <w:szCs w:val="21"/>
                    </w:rPr>
                    <w:t>工</w:t>
                  </w:r>
                </w:p>
                <w:p>
                  <w:pPr>
                    <w:adjustRightInd w:val="0"/>
                    <w:snapToGrid w:val="0"/>
                    <w:jc w:val="center"/>
                    <w:rPr>
                      <w:color w:val="auto"/>
                      <w:szCs w:val="21"/>
                    </w:rPr>
                  </w:pPr>
                  <w:r>
                    <w:rPr>
                      <w:color w:val="auto"/>
                      <w:szCs w:val="21"/>
                    </w:rPr>
                    <w:t>程</w:t>
                  </w:r>
                </w:p>
              </w:tc>
              <w:tc>
                <w:tcPr>
                  <w:tcW w:w="0" w:type="auto"/>
                  <w:vAlign w:val="center"/>
                </w:tcPr>
                <w:p>
                  <w:pPr>
                    <w:adjustRightInd w:val="0"/>
                    <w:snapToGrid w:val="0"/>
                    <w:jc w:val="center"/>
                    <w:rPr>
                      <w:color w:val="auto"/>
                      <w:szCs w:val="21"/>
                    </w:rPr>
                  </w:pPr>
                  <w:r>
                    <w:rPr>
                      <w:color w:val="auto"/>
                      <w:szCs w:val="21"/>
                    </w:rPr>
                    <w:t>废水处理</w:t>
                  </w:r>
                </w:p>
              </w:tc>
              <w:tc>
                <w:tcPr>
                  <w:tcW w:w="0" w:type="auto"/>
                  <w:vAlign w:val="center"/>
                </w:tcPr>
                <w:p>
                  <w:pPr>
                    <w:adjustRightInd w:val="0"/>
                    <w:snapToGrid w:val="0"/>
                    <w:rPr>
                      <w:color w:val="auto"/>
                      <w:szCs w:val="21"/>
                    </w:rPr>
                  </w:pPr>
                  <w:r>
                    <w:rPr>
                      <w:b/>
                      <w:bCs/>
                      <w:color w:val="auto"/>
                      <w:szCs w:val="21"/>
                    </w:rPr>
                    <w:t>搅拌设备、罐车、地面清洗废水、初期雨水：</w:t>
                  </w:r>
                  <w:r>
                    <w:rPr>
                      <w:color w:val="auto"/>
                      <w:szCs w:val="21"/>
                    </w:rPr>
                    <w:t>项目设置三级沉淀池1座，容积约200m</w:t>
                  </w:r>
                  <w:r>
                    <w:rPr>
                      <w:color w:val="auto"/>
                      <w:szCs w:val="21"/>
                      <w:vertAlign w:val="superscript"/>
                    </w:rPr>
                    <w:t>3</w:t>
                  </w:r>
                  <w:r>
                    <w:rPr>
                      <w:color w:val="auto"/>
                      <w:szCs w:val="21"/>
                    </w:rPr>
                    <w:t>，厂区冲洗废水和径流雨水经排水沟汇集至沉淀池，废水经沉淀处理后通过水泵抽出上层清水回用于生产、冲洗、洒水降尘等，不外排；</w:t>
                  </w:r>
                </w:p>
                <w:p>
                  <w:pPr>
                    <w:adjustRightInd w:val="0"/>
                    <w:snapToGrid w:val="0"/>
                    <w:rPr>
                      <w:b/>
                      <w:color w:val="auto"/>
                      <w:szCs w:val="21"/>
                    </w:rPr>
                  </w:pPr>
                  <w:r>
                    <w:rPr>
                      <w:b/>
                      <w:bCs/>
                      <w:color w:val="auto"/>
                      <w:szCs w:val="21"/>
                    </w:rPr>
                    <w:t>生活污水：</w:t>
                  </w:r>
                  <w:r>
                    <w:rPr>
                      <w:color w:val="auto"/>
                      <w:szCs w:val="21"/>
                    </w:rPr>
                    <w:t>依托乐山铁匠世家手工刀具有限公司化粪池（10m</w:t>
                  </w:r>
                  <w:r>
                    <w:rPr>
                      <w:color w:val="auto"/>
                      <w:szCs w:val="21"/>
                      <w:vertAlign w:val="superscript"/>
                    </w:rPr>
                    <w:t>3</w:t>
                  </w:r>
                  <w:r>
                    <w:rPr>
                      <w:color w:val="auto"/>
                      <w:szCs w:val="21"/>
                    </w:rPr>
                    <w:t>）处理后用于农田施肥，不外排</w:t>
                  </w:r>
                </w:p>
              </w:tc>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color w:val="auto"/>
                      <w:szCs w:val="21"/>
                    </w:rPr>
                  </w:pPr>
                  <w:r>
                    <w:rPr>
                      <w:color w:val="auto"/>
                      <w:szCs w:val="21"/>
                    </w:rPr>
                    <w:t>废水</w:t>
                  </w:r>
                </w:p>
              </w:tc>
              <w:tc>
                <w:tcPr>
                  <w:tcW w:w="0" w:type="auto"/>
                  <w:vAlign w:val="center"/>
                </w:tcPr>
                <w:p>
                  <w:pPr>
                    <w:adjustRightInd w:val="0"/>
                    <w:snapToGrid w:val="0"/>
                    <w:jc w:val="center"/>
                    <w:rPr>
                      <w:rFonts w:hint="default"/>
                      <w:color w:val="auto"/>
                      <w:szCs w:val="21"/>
                      <w:lang w:val="en-US"/>
                    </w:rPr>
                  </w:pPr>
                  <w:r>
                    <w:rPr>
                      <w:rFonts w:hint="eastAsia"/>
                      <w:color w:val="auto"/>
                      <w:szCs w:val="21"/>
                      <w:lang w:eastAsia="zh-CN"/>
                    </w:rPr>
                    <w:t>新建</w:t>
                  </w:r>
                  <w:r>
                    <w:rPr>
                      <w:rFonts w:hint="eastAsia"/>
                      <w:color w:val="auto"/>
                      <w:szCs w:val="21"/>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snapToGrid w:val="0"/>
                      <w:color w:val="auto"/>
                      <w:kern w:val="0"/>
                      <w:szCs w:val="21"/>
                    </w:rPr>
                  </w:pPr>
                  <w:r>
                    <w:rPr>
                      <w:snapToGrid w:val="0"/>
                      <w:color w:val="auto"/>
                      <w:kern w:val="0"/>
                      <w:szCs w:val="21"/>
                    </w:rPr>
                    <w:t>废气治理</w:t>
                  </w:r>
                </w:p>
              </w:tc>
              <w:tc>
                <w:tcPr>
                  <w:tcW w:w="0" w:type="auto"/>
                  <w:vAlign w:val="center"/>
                </w:tcPr>
                <w:p>
                  <w:pPr>
                    <w:adjustRightInd w:val="0"/>
                    <w:snapToGrid w:val="0"/>
                    <w:jc w:val="left"/>
                    <w:rPr>
                      <w:color w:val="auto"/>
                      <w:szCs w:val="21"/>
                    </w:rPr>
                  </w:pPr>
                  <w:r>
                    <w:rPr>
                      <w:b/>
                      <w:bCs/>
                      <w:color w:val="auto"/>
                      <w:szCs w:val="21"/>
                    </w:rPr>
                    <w:t>运输车辆动力起尘：</w:t>
                  </w:r>
                  <w:r>
                    <w:rPr>
                      <w:color w:val="auto"/>
                      <w:szCs w:val="21"/>
                    </w:rPr>
                    <w:t>厂区地面硬化处理，定期洒水，</w:t>
                  </w:r>
                  <w:r>
                    <w:rPr>
                      <w:bCs/>
                      <w:snapToGrid w:val="0"/>
                      <w:color w:val="auto"/>
                      <w:kern w:val="0"/>
                      <w:szCs w:val="21"/>
                    </w:rPr>
                    <w:t>对砂石运输车辆采取加盖篷布的措施，厂内设置</w:t>
                  </w:r>
                  <w:r>
                    <w:rPr>
                      <w:rFonts w:hint="eastAsia"/>
                      <w:bCs/>
                      <w:snapToGrid w:val="0"/>
                      <w:color w:val="auto"/>
                      <w:kern w:val="0"/>
                      <w:szCs w:val="21"/>
                      <w:lang w:eastAsia="zh-CN"/>
                    </w:rPr>
                    <w:t>洗车池</w:t>
                  </w:r>
                  <w:r>
                    <w:rPr>
                      <w:bCs/>
                      <w:snapToGrid w:val="0"/>
                      <w:color w:val="auto"/>
                      <w:kern w:val="0"/>
                      <w:szCs w:val="21"/>
                    </w:rPr>
                    <w:t>对车辆进行冲洗</w:t>
                  </w:r>
                </w:p>
                <w:p>
                  <w:pPr>
                    <w:adjustRightInd w:val="0"/>
                    <w:snapToGrid w:val="0"/>
                    <w:jc w:val="left"/>
                    <w:rPr>
                      <w:color w:val="auto"/>
                      <w:szCs w:val="21"/>
                    </w:rPr>
                  </w:pPr>
                  <w:r>
                    <w:rPr>
                      <w:b/>
                      <w:bCs/>
                      <w:color w:val="auto"/>
                      <w:szCs w:val="21"/>
                    </w:rPr>
                    <w:t>堆场粉尘</w:t>
                  </w:r>
                  <w:r>
                    <w:rPr>
                      <w:color w:val="auto"/>
                      <w:szCs w:val="21"/>
                    </w:rPr>
                    <w:t>：设置于密闭的厂房内，四面围挡，顶部设置彩钢棚及喷雾降尘设施</w:t>
                  </w:r>
                </w:p>
                <w:p>
                  <w:pPr>
                    <w:adjustRightInd w:val="0"/>
                    <w:snapToGrid w:val="0"/>
                    <w:rPr>
                      <w:b/>
                      <w:bCs/>
                      <w:color w:val="auto"/>
                      <w:szCs w:val="21"/>
                    </w:rPr>
                  </w:pPr>
                  <w:r>
                    <w:rPr>
                      <w:b/>
                      <w:bCs/>
                      <w:color w:val="auto"/>
                      <w:szCs w:val="21"/>
                    </w:rPr>
                    <w:t>铲车投料粉尘：</w:t>
                  </w:r>
                  <w:r>
                    <w:rPr>
                      <w:bCs/>
                      <w:color w:val="auto"/>
                      <w:szCs w:val="21"/>
                    </w:rPr>
                    <w:t>进料口上方设置</w:t>
                  </w:r>
                  <w:r>
                    <w:rPr>
                      <w:color w:val="auto"/>
                    </w:rPr>
                    <w:t>喷雾降尘设施</w:t>
                  </w:r>
                </w:p>
                <w:p>
                  <w:pPr>
                    <w:adjustRightInd w:val="0"/>
                    <w:snapToGrid w:val="0"/>
                    <w:rPr>
                      <w:color w:val="auto"/>
                      <w:szCs w:val="21"/>
                    </w:rPr>
                  </w:pPr>
                  <w:r>
                    <w:rPr>
                      <w:b/>
                      <w:bCs/>
                      <w:color w:val="auto"/>
                      <w:szCs w:val="21"/>
                    </w:rPr>
                    <w:t>物料输送粉尘：</w:t>
                  </w:r>
                  <w:r>
                    <w:rPr>
                      <w:rFonts w:hint="eastAsia"/>
                      <w:color w:val="auto"/>
                      <w:szCs w:val="21"/>
                      <w:lang w:eastAsia="zh-CN"/>
                    </w:rPr>
                    <w:t>皮带运输设置于封闭厂房内</w:t>
                  </w:r>
                  <w:r>
                    <w:rPr>
                      <w:color w:val="auto"/>
                      <w:szCs w:val="21"/>
                    </w:rPr>
                    <w:t>，同时设置喷雾降尘装置</w:t>
                  </w:r>
                </w:p>
                <w:p>
                  <w:pPr>
                    <w:adjustRightInd w:val="0"/>
                    <w:snapToGrid w:val="0"/>
                    <w:rPr>
                      <w:b/>
                      <w:snapToGrid w:val="0"/>
                      <w:color w:val="auto"/>
                      <w:kern w:val="0"/>
                      <w:szCs w:val="21"/>
                    </w:rPr>
                  </w:pPr>
                  <w:r>
                    <w:rPr>
                      <w:b/>
                      <w:bCs/>
                      <w:color w:val="auto"/>
                      <w:szCs w:val="21"/>
                    </w:rPr>
                    <w:t>筒仓呼吸粉尘：</w:t>
                  </w:r>
                  <w:r>
                    <w:rPr>
                      <w:color w:val="auto"/>
                      <w:szCs w:val="21"/>
                    </w:rPr>
                    <w:t>本项目所有筒仓均为密闭筒仓（保持负压），筒仓顶部安装除尘器，除尘后经筒仓顶排出</w:t>
                  </w:r>
                  <w:r>
                    <w:rPr>
                      <w:rFonts w:hint="eastAsia"/>
                      <w:color w:val="auto"/>
                      <w:szCs w:val="21"/>
                      <w:lang w:eastAsia="zh-CN"/>
                    </w:rPr>
                    <w:t>，筒仓均封闭在密闭厂房内，粉尘在厂房内部无组织排放</w:t>
                  </w:r>
                  <w:r>
                    <w:rPr>
                      <w:color w:val="auto"/>
                      <w:szCs w:val="21"/>
                    </w:rPr>
                    <w:t>。</w:t>
                  </w:r>
                </w:p>
                <w:p>
                  <w:pPr>
                    <w:pStyle w:val="54"/>
                    <w:adjustRightInd w:val="0"/>
                    <w:snapToGrid w:val="0"/>
                    <w:jc w:val="both"/>
                    <w:rPr>
                      <w:rFonts w:ascii="Times New Roman" w:hAnsi="Times New Roman"/>
                      <w:color w:val="auto"/>
                      <w:sz w:val="21"/>
                      <w:szCs w:val="21"/>
                    </w:rPr>
                  </w:pPr>
                  <w:r>
                    <w:rPr>
                      <w:rFonts w:ascii="Times New Roman" w:hAnsi="Times New Roman" w:eastAsia="宋体"/>
                      <w:b/>
                      <w:bCs/>
                      <w:color w:val="auto"/>
                      <w:sz w:val="21"/>
                      <w:szCs w:val="21"/>
                    </w:rPr>
                    <w:t>搅拌机拌料粉尘：</w:t>
                  </w:r>
                  <w:r>
                    <w:rPr>
                      <w:rFonts w:ascii="Times New Roman" w:hAnsi="Times New Roman" w:eastAsia="宋体"/>
                      <w:color w:val="auto"/>
                      <w:sz w:val="21"/>
                      <w:szCs w:val="21"/>
                    </w:rPr>
                    <w:t>湿法搅拌，搅拌楼全封闭</w:t>
                  </w:r>
                </w:p>
              </w:tc>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snapToGrid w:val="0"/>
                      <w:color w:val="auto"/>
                      <w:kern w:val="0"/>
                      <w:szCs w:val="21"/>
                    </w:rPr>
                  </w:pPr>
                  <w:r>
                    <w:rPr>
                      <w:color w:val="auto"/>
                      <w:szCs w:val="21"/>
                    </w:rPr>
                    <w:t>废气</w:t>
                  </w:r>
                </w:p>
              </w:tc>
              <w:tc>
                <w:tcPr>
                  <w:tcW w:w="0" w:type="auto"/>
                  <w:vAlign w:val="center"/>
                </w:tcPr>
                <w:p>
                  <w:pPr>
                    <w:adjustRightInd w:val="0"/>
                    <w:snapToGrid w:val="0"/>
                    <w:jc w:val="center"/>
                    <w:rPr>
                      <w:color w:val="auto"/>
                      <w:szCs w:val="21"/>
                    </w:rPr>
                  </w:pPr>
                  <w:r>
                    <w:rPr>
                      <w:rFonts w:hint="eastAsia"/>
                      <w:color w:val="auto"/>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color w:val="auto"/>
                      <w:szCs w:val="21"/>
                    </w:rPr>
                  </w:pPr>
                  <w:r>
                    <w:rPr>
                      <w:snapToGrid w:val="0"/>
                      <w:color w:val="auto"/>
                      <w:kern w:val="0"/>
                      <w:szCs w:val="21"/>
                    </w:rPr>
                    <w:t>噪声处理</w:t>
                  </w:r>
                </w:p>
              </w:tc>
              <w:tc>
                <w:tcPr>
                  <w:tcW w:w="0" w:type="auto"/>
                  <w:vAlign w:val="center"/>
                </w:tcPr>
                <w:p>
                  <w:pPr>
                    <w:adjustRightInd w:val="0"/>
                    <w:snapToGrid w:val="0"/>
                    <w:rPr>
                      <w:rFonts w:eastAsiaTheme="minorEastAsia"/>
                      <w:color w:val="auto"/>
                      <w:szCs w:val="21"/>
                    </w:rPr>
                  </w:pPr>
                  <w:r>
                    <w:rPr>
                      <w:snapToGrid w:val="0"/>
                      <w:color w:val="auto"/>
                      <w:kern w:val="0"/>
                      <w:szCs w:val="21"/>
                    </w:rPr>
                    <w:t>选用低噪声环保型设备；加强设备维护、管理，避免因设备故障造成噪声污染加重；运输车辆路过敏感点时应减速、禁止鸣笛；合理安排生产时间和装卸时间，避免运行高噪声设备影响项目周围</w:t>
                  </w:r>
                  <w:r>
                    <w:rPr>
                      <w:rFonts w:hint="eastAsia"/>
                      <w:snapToGrid w:val="0"/>
                      <w:color w:val="auto"/>
                      <w:kern w:val="0"/>
                      <w:szCs w:val="21"/>
                      <w:lang w:eastAsia="zh-CN"/>
                    </w:rPr>
                    <w:t>居民</w:t>
                  </w:r>
                  <w:r>
                    <w:rPr>
                      <w:snapToGrid w:val="0"/>
                      <w:color w:val="auto"/>
                      <w:kern w:val="0"/>
                      <w:szCs w:val="21"/>
                    </w:rPr>
                    <w:t>正常生活</w:t>
                  </w:r>
                </w:p>
              </w:tc>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color w:val="auto"/>
                      <w:szCs w:val="21"/>
                    </w:rPr>
                  </w:pPr>
                  <w:r>
                    <w:rPr>
                      <w:color w:val="auto"/>
                      <w:szCs w:val="21"/>
                    </w:rPr>
                    <w:t>噪声</w:t>
                  </w:r>
                </w:p>
              </w:tc>
              <w:tc>
                <w:tcPr>
                  <w:tcW w:w="0" w:type="auto"/>
                  <w:vAlign w:val="center"/>
                </w:tcPr>
                <w:p>
                  <w:pPr>
                    <w:adjustRightInd w:val="0"/>
                    <w:snapToGrid w:val="0"/>
                    <w:jc w:val="center"/>
                    <w:rPr>
                      <w:color w:val="auto"/>
                      <w:szCs w:val="21"/>
                    </w:rPr>
                  </w:pPr>
                  <w:r>
                    <w:rPr>
                      <w:rFonts w:hint="eastAsia"/>
                      <w:color w:val="auto"/>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color w:val="auto"/>
                      <w:szCs w:val="21"/>
                    </w:rPr>
                  </w:pPr>
                  <w:r>
                    <w:rPr>
                      <w:snapToGrid w:val="0"/>
                      <w:color w:val="auto"/>
                      <w:kern w:val="0"/>
                      <w:szCs w:val="21"/>
                    </w:rPr>
                    <w:t>固体废物</w:t>
                  </w:r>
                </w:p>
              </w:tc>
              <w:tc>
                <w:tcPr>
                  <w:tcW w:w="0" w:type="auto"/>
                  <w:vAlign w:val="center"/>
                </w:tcPr>
                <w:p>
                  <w:pPr>
                    <w:adjustRightInd w:val="0"/>
                    <w:snapToGrid w:val="0"/>
                    <w:rPr>
                      <w:rFonts w:hint="eastAsia" w:eastAsia="宋体"/>
                      <w:b/>
                      <w:color w:val="auto"/>
                      <w:szCs w:val="21"/>
                      <w:lang w:eastAsia="zh-CN"/>
                    </w:rPr>
                  </w:pPr>
                  <w:r>
                    <w:rPr>
                      <w:rFonts w:hint="eastAsia"/>
                      <w:b w:val="0"/>
                      <w:bCs/>
                      <w:color w:val="auto"/>
                      <w:szCs w:val="21"/>
                      <w:lang w:eastAsia="zh-CN"/>
                    </w:rPr>
                    <w:t>本项目不在厂内维修机械设备，无废机油产生。</w:t>
                  </w:r>
                </w:p>
                <w:p>
                  <w:pPr>
                    <w:adjustRightInd w:val="0"/>
                    <w:snapToGrid w:val="0"/>
                    <w:rPr>
                      <w:b/>
                      <w:color w:val="auto"/>
                      <w:szCs w:val="21"/>
                    </w:rPr>
                  </w:pPr>
                  <w:r>
                    <w:rPr>
                      <w:b/>
                      <w:color w:val="auto"/>
                      <w:szCs w:val="21"/>
                    </w:rPr>
                    <w:t>生活垃圾：</w:t>
                  </w:r>
                  <w:r>
                    <w:rPr>
                      <w:color w:val="auto"/>
                      <w:szCs w:val="21"/>
                    </w:rPr>
                    <w:t>由厂区内收集后定期由环卫部门清运</w:t>
                  </w:r>
                </w:p>
                <w:p>
                  <w:pPr>
                    <w:adjustRightInd w:val="0"/>
                    <w:snapToGrid w:val="0"/>
                    <w:rPr>
                      <w:color w:val="auto"/>
                      <w:szCs w:val="21"/>
                    </w:rPr>
                  </w:pPr>
                  <w:r>
                    <w:rPr>
                      <w:b/>
                      <w:bCs/>
                      <w:color w:val="auto"/>
                      <w:szCs w:val="21"/>
                    </w:rPr>
                    <w:t>沉淀池污泥：</w:t>
                  </w:r>
                  <w:r>
                    <w:rPr>
                      <w:color w:val="auto"/>
                      <w:szCs w:val="21"/>
                    </w:rPr>
                    <w:t>回用于生产</w:t>
                  </w:r>
                </w:p>
                <w:p>
                  <w:pPr>
                    <w:adjustRightInd w:val="0"/>
                    <w:snapToGrid w:val="0"/>
                    <w:rPr>
                      <w:color w:val="auto"/>
                    </w:rPr>
                  </w:pPr>
                  <w:r>
                    <w:rPr>
                      <w:b/>
                      <w:bCs/>
                      <w:color w:val="auto"/>
                    </w:rPr>
                    <w:t>化粪池污泥：</w:t>
                  </w:r>
                  <w:r>
                    <w:rPr>
                      <w:color w:val="auto"/>
                    </w:rPr>
                    <w:t>定期清掏用于周边农田施肥</w:t>
                  </w:r>
                </w:p>
                <w:p>
                  <w:pPr>
                    <w:adjustRightInd w:val="0"/>
                    <w:snapToGrid w:val="0"/>
                    <w:rPr>
                      <w:b/>
                      <w:bCs/>
                      <w:color w:val="auto"/>
                      <w:szCs w:val="21"/>
                    </w:rPr>
                  </w:pPr>
                  <w:r>
                    <w:rPr>
                      <w:b/>
                      <w:bCs/>
                      <w:color w:val="auto"/>
                    </w:rPr>
                    <w:t>袋式除尘器下灰：</w:t>
                  </w:r>
                  <w:r>
                    <w:rPr>
                      <w:color w:val="auto"/>
                    </w:rPr>
                    <w:t>回用于生产</w:t>
                  </w:r>
                </w:p>
              </w:tc>
              <w:tc>
                <w:tcPr>
                  <w:tcW w:w="0" w:type="auto"/>
                  <w:vMerge w:val="continue"/>
                  <w:vAlign w:val="center"/>
                </w:tcPr>
                <w:p>
                  <w:pPr>
                    <w:adjustRightInd w:val="0"/>
                    <w:snapToGrid w:val="0"/>
                    <w:jc w:val="center"/>
                    <w:rPr>
                      <w:color w:val="auto"/>
                      <w:szCs w:val="21"/>
                    </w:rPr>
                  </w:pPr>
                </w:p>
              </w:tc>
              <w:tc>
                <w:tcPr>
                  <w:tcW w:w="0" w:type="auto"/>
                  <w:vAlign w:val="center"/>
                </w:tcPr>
                <w:p>
                  <w:pPr>
                    <w:adjustRightInd w:val="0"/>
                    <w:snapToGrid w:val="0"/>
                    <w:jc w:val="center"/>
                    <w:rPr>
                      <w:color w:val="auto"/>
                      <w:szCs w:val="21"/>
                    </w:rPr>
                  </w:pPr>
                  <w:r>
                    <w:rPr>
                      <w:color w:val="auto"/>
                      <w:szCs w:val="21"/>
                    </w:rPr>
                    <w:t>固废</w:t>
                  </w:r>
                </w:p>
              </w:tc>
              <w:tc>
                <w:tcPr>
                  <w:tcW w:w="0" w:type="auto"/>
                  <w:vAlign w:val="center"/>
                </w:tcPr>
                <w:p>
                  <w:pPr>
                    <w:adjustRightInd w:val="0"/>
                    <w:snapToGrid w:val="0"/>
                    <w:jc w:val="center"/>
                    <w:rPr>
                      <w:color w:val="auto"/>
                      <w:szCs w:val="21"/>
                    </w:rPr>
                  </w:pPr>
                  <w:r>
                    <w:rPr>
                      <w:rFonts w:hint="eastAsia"/>
                      <w:color w:val="auto"/>
                      <w:szCs w:val="21"/>
                      <w:lang w:eastAsia="zh-CN"/>
                    </w:rPr>
                    <w:t>新建</w:t>
                  </w:r>
                </w:p>
              </w:tc>
            </w:tr>
          </w:tbl>
          <w:p>
            <w:pPr>
              <w:spacing w:line="360" w:lineRule="auto"/>
              <w:ind w:firstLine="482" w:firstLineChars="200"/>
              <w:rPr>
                <w:b/>
                <w:color w:val="auto"/>
                <w:kern w:val="0"/>
                <w:szCs w:val="21"/>
              </w:rPr>
            </w:pPr>
            <w:r>
              <w:rPr>
                <w:b/>
                <w:bCs/>
                <w:color w:val="auto"/>
                <w:kern w:val="0"/>
                <w:sz w:val="24"/>
              </w:rPr>
              <w:t>4、主要生产设施及设施参数</w:t>
            </w:r>
          </w:p>
          <w:p>
            <w:pPr>
              <w:adjustRightInd w:val="0"/>
              <w:snapToGrid w:val="0"/>
              <w:spacing w:line="360" w:lineRule="auto"/>
              <w:ind w:firstLine="480"/>
              <w:jc w:val="center"/>
              <w:rPr>
                <w:b/>
                <w:color w:val="auto"/>
                <w:kern w:val="0"/>
                <w:szCs w:val="21"/>
              </w:rPr>
            </w:pPr>
            <w:r>
              <w:rPr>
                <w:b/>
                <w:color w:val="auto"/>
                <w:kern w:val="0"/>
                <w:szCs w:val="21"/>
              </w:rPr>
              <w:t>表2-4  主要生产设施及参数</w:t>
            </w:r>
          </w:p>
          <w:tbl>
            <w:tblPr>
              <w:tblStyle w:val="4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6"/>
              <w:gridCol w:w="2413"/>
              <w:gridCol w:w="1257"/>
              <w:gridCol w:w="1010"/>
              <w:gridCol w:w="982"/>
              <w:gridCol w:w="30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 w:type="pct"/>
                  <w:vAlign w:val="center"/>
                </w:tcPr>
                <w:p>
                  <w:pPr>
                    <w:pStyle w:val="15"/>
                    <w:widowControl w:val="0"/>
                    <w:adjustRightInd w:val="0"/>
                    <w:spacing w:before="0" w:after="0" w:line="240" w:lineRule="auto"/>
                    <w:ind w:right="0"/>
                    <w:jc w:val="center"/>
                    <w:rPr>
                      <w:b/>
                      <w:bCs/>
                      <w:color w:val="auto"/>
                      <w:sz w:val="21"/>
                      <w:szCs w:val="21"/>
                    </w:rPr>
                  </w:pPr>
                  <w:r>
                    <w:rPr>
                      <w:b/>
                      <w:bCs/>
                      <w:color w:val="auto"/>
                      <w:sz w:val="21"/>
                      <w:szCs w:val="21"/>
                    </w:rPr>
                    <w:t>序号</w:t>
                  </w:r>
                </w:p>
              </w:tc>
              <w:tc>
                <w:tcPr>
                  <w:tcW w:w="1290" w:type="pct"/>
                  <w:vAlign w:val="center"/>
                </w:tcPr>
                <w:p>
                  <w:pPr>
                    <w:pStyle w:val="15"/>
                    <w:widowControl w:val="0"/>
                    <w:adjustRightInd w:val="0"/>
                    <w:spacing w:before="0" w:after="0" w:line="240" w:lineRule="auto"/>
                    <w:ind w:right="0"/>
                    <w:jc w:val="center"/>
                    <w:rPr>
                      <w:b/>
                      <w:bCs/>
                      <w:color w:val="auto"/>
                      <w:sz w:val="21"/>
                      <w:szCs w:val="21"/>
                    </w:rPr>
                  </w:pPr>
                  <w:r>
                    <w:rPr>
                      <w:b/>
                      <w:bCs/>
                      <w:color w:val="auto"/>
                      <w:sz w:val="21"/>
                      <w:szCs w:val="21"/>
                    </w:rPr>
                    <w:t>名称</w:t>
                  </w:r>
                </w:p>
              </w:tc>
              <w:tc>
                <w:tcPr>
                  <w:tcW w:w="672" w:type="pct"/>
                  <w:vAlign w:val="center"/>
                </w:tcPr>
                <w:p>
                  <w:pPr>
                    <w:pStyle w:val="15"/>
                    <w:widowControl w:val="0"/>
                    <w:adjustRightInd w:val="0"/>
                    <w:spacing w:before="0" w:after="0" w:line="240" w:lineRule="auto"/>
                    <w:ind w:right="0"/>
                    <w:jc w:val="center"/>
                    <w:rPr>
                      <w:b/>
                      <w:bCs/>
                      <w:color w:val="auto"/>
                      <w:sz w:val="21"/>
                      <w:szCs w:val="21"/>
                    </w:rPr>
                  </w:pPr>
                  <w:r>
                    <w:rPr>
                      <w:b/>
                      <w:bCs/>
                      <w:color w:val="auto"/>
                      <w:sz w:val="21"/>
                      <w:szCs w:val="21"/>
                    </w:rPr>
                    <w:t>规格</w:t>
                  </w:r>
                </w:p>
              </w:tc>
              <w:tc>
                <w:tcPr>
                  <w:tcW w:w="540" w:type="pct"/>
                  <w:vAlign w:val="center"/>
                </w:tcPr>
                <w:p>
                  <w:pPr>
                    <w:widowControl/>
                    <w:adjustRightInd w:val="0"/>
                    <w:snapToGrid w:val="0"/>
                    <w:jc w:val="center"/>
                    <w:textAlignment w:val="center"/>
                    <w:rPr>
                      <w:b/>
                      <w:bCs/>
                      <w:color w:val="auto"/>
                      <w:szCs w:val="21"/>
                    </w:rPr>
                  </w:pPr>
                  <w:r>
                    <w:rPr>
                      <w:b/>
                      <w:bCs/>
                      <w:color w:val="auto"/>
                      <w:szCs w:val="21"/>
                    </w:rPr>
                    <w:t>数量</w:t>
                  </w:r>
                </w:p>
              </w:tc>
              <w:tc>
                <w:tcPr>
                  <w:tcW w:w="525" w:type="pct"/>
                  <w:vAlign w:val="center"/>
                </w:tcPr>
                <w:p>
                  <w:pPr>
                    <w:widowControl/>
                    <w:adjustRightInd w:val="0"/>
                    <w:snapToGrid w:val="0"/>
                    <w:jc w:val="center"/>
                    <w:textAlignment w:val="center"/>
                    <w:rPr>
                      <w:b/>
                      <w:bCs/>
                      <w:color w:val="auto"/>
                      <w:szCs w:val="21"/>
                    </w:rPr>
                  </w:pPr>
                  <w:r>
                    <w:rPr>
                      <w:b/>
                      <w:bCs/>
                      <w:color w:val="auto"/>
                      <w:szCs w:val="21"/>
                    </w:rPr>
                    <w:t>单位</w:t>
                  </w:r>
                </w:p>
              </w:tc>
              <w:tc>
                <w:tcPr>
                  <w:tcW w:w="1645" w:type="pct"/>
                  <w:vAlign w:val="center"/>
                </w:tcPr>
                <w:p>
                  <w:pPr>
                    <w:widowControl/>
                    <w:adjustRightInd w:val="0"/>
                    <w:snapToGrid w:val="0"/>
                    <w:jc w:val="center"/>
                    <w:textAlignment w:val="center"/>
                    <w:rPr>
                      <w:b/>
                      <w:bCs/>
                      <w:color w:val="auto"/>
                      <w:szCs w:val="21"/>
                    </w:rPr>
                  </w:pPr>
                  <w:r>
                    <w:rPr>
                      <w:b/>
                      <w:bCs/>
                      <w:color w:val="auto"/>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 w:type="pct"/>
                  <w:vAlign w:val="center"/>
                </w:tcPr>
                <w:p>
                  <w:pPr>
                    <w:pStyle w:val="15"/>
                    <w:widowControl w:val="0"/>
                    <w:adjustRightInd w:val="0"/>
                    <w:spacing w:before="0" w:after="0" w:line="240" w:lineRule="auto"/>
                    <w:ind w:right="0"/>
                    <w:jc w:val="center"/>
                    <w:rPr>
                      <w:color w:val="auto"/>
                      <w:sz w:val="21"/>
                      <w:szCs w:val="21"/>
                    </w:rPr>
                  </w:pPr>
                  <w:r>
                    <w:rPr>
                      <w:color w:val="auto"/>
                      <w:sz w:val="21"/>
                      <w:szCs w:val="21"/>
                    </w:rPr>
                    <w:t>1</w:t>
                  </w:r>
                </w:p>
              </w:tc>
              <w:tc>
                <w:tcPr>
                  <w:tcW w:w="1290" w:type="pct"/>
                  <w:vAlign w:val="center"/>
                </w:tcPr>
                <w:p>
                  <w:pPr>
                    <w:widowControl/>
                    <w:adjustRightInd w:val="0"/>
                    <w:snapToGrid w:val="0"/>
                    <w:jc w:val="center"/>
                    <w:textAlignment w:val="center"/>
                    <w:rPr>
                      <w:color w:val="auto"/>
                      <w:szCs w:val="21"/>
                    </w:rPr>
                  </w:pPr>
                  <w:r>
                    <w:rPr>
                      <w:color w:val="auto"/>
                      <w:kern w:val="0"/>
                      <w:szCs w:val="21"/>
                    </w:rPr>
                    <w:t>搅拌机</w:t>
                  </w:r>
                </w:p>
              </w:tc>
              <w:tc>
                <w:tcPr>
                  <w:tcW w:w="672" w:type="pct"/>
                  <w:vAlign w:val="center"/>
                </w:tcPr>
                <w:p>
                  <w:pPr>
                    <w:widowControl/>
                    <w:adjustRightInd w:val="0"/>
                    <w:snapToGrid w:val="0"/>
                    <w:jc w:val="center"/>
                    <w:textAlignment w:val="center"/>
                    <w:rPr>
                      <w:color w:val="auto"/>
                      <w:szCs w:val="21"/>
                    </w:rPr>
                  </w:pPr>
                  <w:r>
                    <w:rPr>
                      <w:color w:val="auto"/>
                      <w:kern w:val="0"/>
                      <w:szCs w:val="21"/>
                    </w:rPr>
                    <w:t>HZS90</w:t>
                  </w:r>
                </w:p>
              </w:tc>
              <w:tc>
                <w:tcPr>
                  <w:tcW w:w="540" w:type="pct"/>
                  <w:vAlign w:val="center"/>
                </w:tcPr>
                <w:p>
                  <w:pPr>
                    <w:widowControl/>
                    <w:adjustRightInd w:val="0"/>
                    <w:snapToGrid w:val="0"/>
                    <w:jc w:val="center"/>
                    <w:textAlignment w:val="center"/>
                    <w:rPr>
                      <w:color w:val="auto"/>
                      <w:szCs w:val="21"/>
                    </w:rPr>
                  </w:pPr>
                  <w:r>
                    <w:rPr>
                      <w:color w:val="auto"/>
                      <w:kern w:val="0"/>
                      <w:szCs w:val="21"/>
                    </w:rPr>
                    <w:t>1</w:t>
                  </w:r>
                </w:p>
              </w:tc>
              <w:tc>
                <w:tcPr>
                  <w:tcW w:w="525" w:type="pct"/>
                  <w:vAlign w:val="center"/>
                </w:tcPr>
                <w:p>
                  <w:pPr>
                    <w:widowControl/>
                    <w:adjustRightInd w:val="0"/>
                    <w:snapToGrid w:val="0"/>
                    <w:jc w:val="center"/>
                    <w:textAlignment w:val="center"/>
                    <w:rPr>
                      <w:color w:val="auto"/>
                      <w:szCs w:val="21"/>
                    </w:rPr>
                  </w:pPr>
                  <w:r>
                    <w:rPr>
                      <w:color w:val="auto"/>
                      <w:szCs w:val="21"/>
                    </w:rPr>
                    <w:t>套</w:t>
                  </w:r>
                </w:p>
              </w:tc>
              <w:tc>
                <w:tcPr>
                  <w:tcW w:w="1645" w:type="pct"/>
                  <w:vAlign w:val="center"/>
                </w:tcPr>
                <w:p>
                  <w:pPr>
                    <w:widowControl/>
                    <w:adjustRightInd w:val="0"/>
                    <w:snapToGrid w:val="0"/>
                    <w:jc w:val="center"/>
                    <w:textAlignment w:val="center"/>
                    <w:rPr>
                      <w:color w:val="auto"/>
                      <w:szCs w:val="21"/>
                    </w:rPr>
                  </w:pPr>
                  <w:r>
                    <w:rPr>
                      <w:color w:val="auto"/>
                      <w:szCs w:val="21"/>
                    </w:rPr>
                    <w:t>筒仓（3个，100t/个）、搅拌机、操作室、皮带输送机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 w:type="pct"/>
                  <w:vAlign w:val="center"/>
                </w:tcPr>
                <w:p>
                  <w:pPr>
                    <w:pStyle w:val="15"/>
                    <w:widowControl w:val="0"/>
                    <w:adjustRightInd w:val="0"/>
                    <w:spacing w:before="0" w:after="0" w:line="240" w:lineRule="auto"/>
                    <w:ind w:right="0"/>
                    <w:jc w:val="center"/>
                    <w:rPr>
                      <w:color w:val="auto"/>
                      <w:kern w:val="2"/>
                      <w:sz w:val="21"/>
                      <w:szCs w:val="21"/>
                    </w:rPr>
                  </w:pPr>
                  <w:r>
                    <w:rPr>
                      <w:color w:val="auto"/>
                      <w:sz w:val="21"/>
                      <w:szCs w:val="21"/>
                    </w:rPr>
                    <w:t>2</w:t>
                  </w:r>
                </w:p>
              </w:tc>
              <w:tc>
                <w:tcPr>
                  <w:tcW w:w="1290" w:type="pct"/>
                  <w:vAlign w:val="center"/>
                </w:tcPr>
                <w:p>
                  <w:pPr>
                    <w:widowControl/>
                    <w:adjustRightInd w:val="0"/>
                    <w:snapToGrid w:val="0"/>
                    <w:jc w:val="center"/>
                    <w:textAlignment w:val="center"/>
                    <w:rPr>
                      <w:color w:val="auto"/>
                      <w:kern w:val="0"/>
                      <w:szCs w:val="21"/>
                    </w:rPr>
                  </w:pPr>
                  <w:r>
                    <w:rPr>
                      <w:color w:val="auto"/>
                      <w:szCs w:val="21"/>
                    </w:rPr>
                    <w:t>配料机</w:t>
                  </w:r>
                </w:p>
              </w:tc>
              <w:tc>
                <w:tcPr>
                  <w:tcW w:w="672" w:type="pct"/>
                  <w:vAlign w:val="center"/>
                </w:tcPr>
                <w:p>
                  <w:pPr>
                    <w:widowControl/>
                    <w:adjustRightInd w:val="0"/>
                    <w:snapToGrid w:val="0"/>
                    <w:jc w:val="center"/>
                    <w:textAlignment w:val="center"/>
                    <w:rPr>
                      <w:color w:val="auto"/>
                      <w:kern w:val="0"/>
                      <w:szCs w:val="21"/>
                    </w:rPr>
                  </w:pPr>
                  <w:r>
                    <w:rPr>
                      <w:color w:val="auto"/>
                      <w:szCs w:val="21"/>
                    </w:rPr>
                    <w:t>PLD2400</w:t>
                  </w:r>
                </w:p>
              </w:tc>
              <w:tc>
                <w:tcPr>
                  <w:tcW w:w="540" w:type="pct"/>
                  <w:vAlign w:val="center"/>
                </w:tcPr>
                <w:p>
                  <w:pPr>
                    <w:widowControl/>
                    <w:adjustRightInd w:val="0"/>
                    <w:snapToGrid w:val="0"/>
                    <w:jc w:val="center"/>
                    <w:textAlignment w:val="center"/>
                    <w:rPr>
                      <w:color w:val="auto"/>
                      <w:kern w:val="0"/>
                      <w:szCs w:val="21"/>
                    </w:rPr>
                  </w:pPr>
                  <w:r>
                    <w:rPr>
                      <w:color w:val="auto"/>
                      <w:kern w:val="0"/>
                      <w:szCs w:val="21"/>
                    </w:rPr>
                    <w:t>1</w:t>
                  </w:r>
                </w:p>
              </w:tc>
              <w:tc>
                <w:tcPr>
                  <w:tcW w:w="525" w:type="pct"/>
                  <w:vAlign w:val="center"/>
                </w:tcPr>
                <w:p>
                  <w:pPr>
                    <w:widowControl/>
                    <w:adjustRightInd w:val="0"/>
                    <w:snapToGrid w:val="0"/>
                    <w:jc w:val="center"/>
                    <w:textAlignment w:val="center"/>
                    <w:rPr>
                      <w:color w:val="auto"/>
                      <w:szCs w:val="21"/>
                    </w:rPr>
                  </w:pPr>
                  <w:r>
                    <w:rPr>
                      <w:color w:val="auto"/>
                      <w:kern w:val="0"/>
                      <w:szCs w:val="21"/>
                    </w:rPr>
                    <w:t>台</w:t>
                  </w:r>
                </w:p>
              </w:tc>
              <w:tc>
                <w:tcPr>
                  <w:tcW w:w="1645" w:type="pct"/>
                  <w:vAlign w:val="center"/>
                </w:tcPr>
                <w:p>
                  <w:pPr>
                    <w:widowControl/>
                    <w:adjustRightInd w:val="0"/>
                    <w:snapToGrid w:val="0"/>
                    <w:jc w:val="center"/>
                    <w:textAlignment w:val="center"/>
                    <w:rPr>
                      <w:color w:val="auto"/>
                      <w:szCs w:val="21"/>
                    </w:rPr>
                  </w:pPr>
                  <w:r>
                    <w:rPr>
                      <w:color w:val="auto"/>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24" w:type="pct"/>
                  <w:vAlign w:val="center"/>
                </w:tcPr>
                <w:p>
                  <w:pPr>
                    <w:pStyle w:val="15"/>
                    <w:widowControl w:val="0"/>
                    <w:adjustRightInd w:val="0"/>
                    <w:spacing w:before="0" w:after="0" w:line="240" w:lineRule="auto"/>
                    <w:ind w:right="0"/>
                    <w:jc w:val="center"/>
                    <w:rPr>
                      <w:color w:val="auto"/>
                      <w:kern w:val="2"/>
                      <w:sz w:val="21"/>
                      <w:szCs w:val="21"/>
                    </w:rPr>
                  </w:pPr>
                  <w:r>
                    <w:rPr>
                      <w:color w:val="auto"/>
                      <w:sz w:val="21"/>
                      <w:szCs w:val="21"/>
                    </w:rPr>
                    <w:t>3</w:t>
                  </w:r>
                </w:p>
              </w:tc>
              <w:tc>
                <w:tcPr>
                  <w:tcW w:w="1290" w:type="pct"/>
                  <w:vAlign w:val="center"/>
                </w:tcPr>
                <w:p>
                  <w:pPr>
                    <w:widowControl/>
                    <w:adjustRightInd w:val="0"/>
                    <w:snapToGrid w:val="0"/>
                    <w:jc w:val="center"/>
                    <w:textAlignment w:val="center"/>
                    <w:rPr>
                      <w:color w:val="auto"/>
                      <w:szCs w:val="21"/>
                    </w:rPr>
                  </w:pPr>
                  <w:r>
                    <w:rPr>
                      <w:color w:val="auto"/>
                      <w:kern w:val="0"/>
                      <w:szCs w:val="21"/>
                    </w:rPr>
                    <w:t>装载机</w:t>
                  </w:r>
                </w:p>
              </w:tc>
              <w:tc>
                <w:tcPr>
                  <w:tcW w:w="672" w:type="pct"/>
                  <w:vAlign w:val="center"/>
                </w:tcPr>
                <w:p>
                  <w:pPr>
                    <w:widowControl/>
                    <w:adjustRightInd w:val="0"/>
                    <w:snapToGrid w:val="0"/>
                    <w:jc w:val="center"/>
                    <w:textAlignment w:val="center"/>
                    <w:rPr>
                      <w:color w:val="auto"/>
                      <w:szCs w:val="21"/>
                    </w:rPr>
                  </w:pPr>
                  <w:r>
                    <w:rPr>
                      <w:color w:val="auto"/>
                      <w:kern w:val="0"/>
                      <w:szCs w:val="21"/>
                    </w:rPr>
                    <w:t>龙工50</w:t>
                  </w:r>
                </w:p>
              </w:tc>
              <w:tc>
                <w:tcPr>
                  <w:tcW w:w="540" w:type="pct"/>
                  <w:vAlign w:val="center"/>
                </w:tcPr>
                <w:p>
                  <w:pPr>
                    <w:widowControl/>
                    <w:adjustRightInd w:val="0"/>
                    <w:snapToGrid w:val="0"/>
                    <w:jc w:val="center"/>
                    <w:textAlignment w:val="center"/>
                    <w:rPr>
                      <w:color w:val="auto"/>
                      <w:szCs w:val="21"/>
                    </w:rPr>
                  </w:pPr>
                  <w:r>
                    <w:rPr>
                      <w:color w:val="auto"/>
                      <w:kern w:val="0"/>
                      <w:szCs w:val="21"/>
                    </w:rPr>
                    <w:t>2</w:t>
                  </w:r>
                </w:p>
              </w:tc>
              <w:tc>
                <w:tcPr>
                  <w:tcW w:w="525" w:type="pct"/>
                  <w:vAlign w:val="center"/>
                </w:tcPr>
                <w:p>
                  <w:pPr>
                    <w:widowControl/>
                    <w:adjustRightInd w:val="0"/>
                    <w:snapToGrid w:val="0"/>
                    <w:jc w:val="center"/>
                    <w:textAlignment w:val="center"/>
                    <w:rPr>
                      <w:color w:val="auto"/>
                      <w:szCs w:val="21"/>
                    </w:rPr>
                  </w:pPr>
                  <w:r>
                    <w:rPr>
                      <w:color w:val="auto"/>
                      <w:kern w:val="0"/>
                      <w:szCs w:val="21"/>
                    </w:rPr>
                    <w:t>台</w:t>
                  </w:r>
                </w:p>
              </w:tc>
              <w:tc>
                <w:tcPr>
                  <w:tcW w:w="1645" w:type="pct"/>
                  <w:vAlign w:val="center"/>
                </w:tcPr>
                <w:p>
                  <w:pPr>
                    <w:widowControl/>
                    <w:adjustRightInd w:val="0"/>
                    <w:snapToGrid w:val="0"/>
                    <w:jc w:val="center"/>
                    <w:textAlignment w:val="center"/>
                    <w:rPr>
                      <w:color w:val="auto"/>
                      <w:kern w:val="0"/>
                      <w:szCs w:val="21"/>
                    </w:rPr>
                  </w:pPr>
                  <w:r>
                    <w:rPr>
                      <w:color w:val="auto"/>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 w:type="pct"/>
                  <w:vAlign w:val="center"/>
                </w:tcPr>
                <w:p>
                  <w:pPr>
                    <w:pStyle w:val="15"/>
                    <w:widowControl w:val="0"/>
                    <w:adjustRightInd w:val="0"/>
                    <w:spacing w:before="0" w:after="0" w:line="240" w:lineRule="auto"/>
                    <w:ind w:right="0"/>
                    <w:jc w:val="center"/>
                    <w:rPr>
                      <w:color w:val="auto"/>
                      <w:kern w:val="2"/>
                      <w:sz w:val="21"/>
                      <w:szCs w:val="21"/>
                    </w:rPr>
                  </w:pPr>
                  <w:r>
                    <w:rPr>
                      <w:color w:val="auto"/>
                      <w:sz w:val="21"/>
                      <w:szCs w:val="21"/>
                    </w:rPr>
                    <w:t>4</w:t>
                  </w:r>
                </w:p>
              </w:tc>
              <w:tc>
                <w:tcPr>
                  <w:tcW w:w="1290" w:type="pct"/>
                  <w:vAlign w:val="center"/>
                </w:tcPr>
                <w:p>
                  <w:pPr>
                    <w:widowControl/>
                    <w:adjustRightInd w:val="0"/>
                    <w:snapToGrid w:val="0"/>
                    <w:jc w:val="center"/>
                    <w:textAlignment w:val="center"/>
                    <w:rPr>
                      <w:color w:val="auto"/>
                      <w:szCs w:val="21"/>
                    </w:rPr>
                  </w:pPr>
                  <w:r>
                    <w:rPr>
                      <w:color w:val="auto"/>
                      <w:szCs w:val="21"/>
                    </w:rPr>
                    <w:t>混凝土罐车</w:t>
                  </w:r>
                </w:p>
              </w:tc>
              <w:tc>
                <w:tcPr>
                  <w:tcW w:w="672" w:type="pct"/>
                  <w:vAlign w:val="center"/>
                </w:tcPr>
                <w:p>
                  <w:pPr>
                    <w:widowControl/>
                    <w:adjustRightInd w:val="0"/>
                    <w:snapToGrid w:val="0"/>
                    <w:jc w:val="center"/>
                    <w:textAlignment w:val="center"/>
                    <w:rPr>
                      <w:color w:val="auto"/>
                      <w:szCs w:val="21"/>
                    </w:rPr>
                  </w:pPr>
                  <w:r>
                    <w:rPr>
                      <w:color w:val="auto"/>
                      <w:szCs w:val="21"/>
                    </w:rPr>
                    <w:t>10m</w:t>
                  </w:r>
                  <w:r>
                    <w:rPr>
                      <w:color w:val="auto"/>
                      <w:szCs w:val="21"/>
                      <w:vertAlign w:val="superscript"/>
                    </w:rPr>
                    <w:t>3</w:t>
                  </w:r>
                </w:p>
              </w:tc>
              <w:tc>
                <w:tcPr>
                  <w:tcW w:w="540" w:type="pct"/>
                  <w:vAlign w:val="center"/>
                </w:tcPr>
                <w:p>
                  <w:pPr>
                    <w:widowControl/>
                    <w:adjustRightInd w:val="0"/>
                    <w:snapToGrid w:val="0"/>
                    <w:jc w:val="center"/>
                    <w:textAlignment w:val="center"/>
                    <w:rPr>
                      <w:color w:val="auto"/>
                      <w:szCs w:val="21"/>
                    </w:rPr>
                  </w:pPr>
                  <w:r>
                    <w:rPr>
                      <w:color w:val="auto"/>
                      <w:szCs w:val="21"/>
                    </w:rPr>
                    <w:t>3</w:t>
                  </w:r>
                </w:p>
              </w:tc>
              <w:tc>
                <w:tcPr>
                  <w:tcW w:w="525" w:type="pct"/>
                  <w:vAlign w:val="center"/>
                </w:tcPr>
                <w:p>
                  <w:pPr>
                    <w:widowControl/>
                    <w:adjustRightInd w:val="0"/>
                    <w:snapToGrid w:val="0"/>
                    <w:jc w:val="center"/>
                    <w:textAlignment w:val="center"/>
                    <w:rPr>
                      <w:color w:val="auto"/>
                      <w:szCs w:val="21"/>
                    </w:rPr>
                  </w:pPr>
                  <w:r>
                    <w:rPr>
                      <w:color w:val="auto"/>
                      <w:kern w:val="0"/>
                      <w:szCs w:val="21"/>
                    </w:rPr>
                    <w:t>台</w:t>
                  </w:r>
                </w:p>
              </w:tc>
              <w:tc>
                <w:tcPr>
                  <w:tcW w:w="1645" w:type="pct"/>
                  <w:vAlign w:val="center"/>
                </w:tcPr>
                <w:p>
                  <w:pPr>
                    <w:widowControl/>
                    <w:adjustRightInd w:val="0"/>
                    <w:snapToGrid w:val="0"/>
                    <w:jc w:val="center"/>
                    <w:textAlignment w:val="center"/>
                    <w:rPr>
                      <w:color w:val="auto"/>
                      <w:kern w:val="0"/>
                      <w:szCs w:val="21"/>
                    </w:rPr>
                  </w:pPr>
                  <w:r>
                    <w:rPr>
                      <w:color w:val="auto"/>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 w:type="pct"/>
                  <w:vAlign w:val="center"/>
                </w:tcPr>
                <w:p>
                  <w:pPr>
                    <w:pStyle w:val="15"/>
                    <w:widowControl w:val="0"/>
                    <w:adjustRightInd w:val="0"/>
                    <w:spacing w:before="0" w:after="0" w:line="240" w:lineRule="auto"/>
                    <w:ind w:right="0"/>
                    <w:jc w:val="center"/>
                    <w:rPr>
                      <w:color w:val="auto"/>
                      <w:kern w:val="2"/>
                      <w:sz w:val="21"/>
                      <w:szCs w:val="21"/>
                    </w:rPr>
                  </w:pPr>
                  <w:r>
                    <w:rPr>
                      <w:color w:val="auto"/>
                      <w:sz w:val="21"/>
                      <w:szCs w:val="21"/>
                    </w:rPr>
                    <w:t>5</w:t>
                  </w:r>
                </w:p>
              </w:tc>
              <w:tc>
                <w:tcPr>
                  <w:tcW w:w="1290" w:type="pct"/>
                  <w:vAlign w:val="center"/>
                </w:tcPr>
                <w:p>
                  <w:pPr>
                    <w:widowControl/>
                    <w:adjustRightInd w:val="0"/>
                    <w:snapToGrid w:val="0"/>
                    <w:jc w:val="center"/>
                    <w:textAlignment w:val="center"/>
                    <w:rPr>
                      <w:color w:val="auto"/>
                      <w:szCs w:val="21"/>
                    </w:rPr>
                  </w:pPr>
                  <w:r>
                    <w:rPr>
                      <w:color w:val="auto"/>
                      <w:szCs w:val="21"/>
                    </w:rPr>
                    <w:t>脉冲反吹式仓顶除尘器</w:t>
                  </w:r>
                </w:p>
              </w:tc>
              <w:tc>
                <w:tcPr>
                  <w:tcW w:w="672" w:type="pct"/>
                  <w:vAlign w:val="center"/>
                </w:tcPr>
                <w:p>
                  <w:pPr>
                    <w:widowControl/>
                    <w:adjustRightInd w:val="0"/>
                    <w:snapToGrid w:val="0"/>
                    <w:jc w:val="center"/>
                    <w:textAlignment w:val="center"/>
                    <w:rPr>
                      <w:color w:val="auto"/>
                      <w:szCs w:val="21"/>
                    </w:rPr>
                  </w:pPr>
                  <w:r>
                    <w:rPr>
                      <w:color w:val="auto"/>
                      <w:szCs w:val="21"/>
                    </w:rPr>
                    <w:t>800×1600</w:t>
                  </w:r>
                </w:p>
              </w:tc>
              <w:tc>
                <w:tcPr>
                  <w:tcW w:w="540" w:type="pct"/>
                  <w:vAlign w:val="center"/>
                </w:tcPr>
                <w:p>
                  <w:pPr>
                    <w:widowControl/>
                    <w:adjustRightInd w:val="0"/>
                    <w:snapToGrid w:val="0"/>
                    <w:jc w:val="center"/>
                    <w:textAlignment w:val="center"/>
                    <w:rPr>
                      <w:color w:val="auto"/>
                      <w:szCs w:val="21"/>
                    </w:rPr>
                  </w:pPr>
                  <w:r>
                    <w:rPr>
                      <w:color w:val="auto"/>
                      <w:szCs w:val="21"/>
                    </w:rPr>
                    <w:t>3</w:t>
                  </w:r>
                </w:p>
              </w:tc>
              <w:tc>
                <w:tcPr>
                  <w:tcW w:w="525" w:type="pct"/>
                  <w:vAlign w:val="center"/>
                </w:tcPr>
                <w:p>
                  <w:pPr>
                    <w:widowControl/>
                    <w:adjustRightInd w:val="0"/>
                    <w:snapToGrid w:val="0"/>
                    <w:jc w:val="center"/>
                    <w:textAlignment w:val="center"/>
                    <w:rPr>
                      <w:color w:val="auto"/>
                      <w:szCs w:val="21"/>
                    </w:rPr>
                  </w:pPr>
                  <w:r>
                    <w:rPr>
                      <w:color w:val="auto"/>
                      <w:kern w:val="0"/>
                      <w:szCs w:val="21"/>
                    </w:rPr>
                    <w:t>台</w:t>
                  </w:r>
                </w:p>
              </w:tc>
              <w:tc>
                <w:tcPr>
                  <w:tcW w:w="1645" w:type="pct"/>
                  <w:vAlign w:val="center"/>
                </w:tcPr>
                <w:p>
                  <w:pPr>
                    <w:widowControl/>
                    <w:adjustRightInd w:val="0"/>
                    <w:snapToGrid w:val="0"/>
                    <w:jc w:val="center"/>
                    <w:textAlignment w:val="center"/>
                    <w:rPr>
                      <w:color w:val="auto"/>
                      <w:kern w:val="0"/>
                      <w:szCs w:val="21"/>
                    </w:rPr>
                  </w:pPr>
                  <w:r>
                    <w:rPr>
                      <w:color w:val="auto"/>
                      <w:kern w:val="0"/>
                      <w:szCs w:val="21"/>
                    </w:rPr>
                    <w:t>/</w:t>
                  </w:r>
                </w:p>
              </w:tc>
            </w:tr>
          </w:tbl>
          <w:p>
            <w:pPr>
              <w:adjustRightInd w:val="0"/>
              <w:snapToGrid w:val="0"/>
              <w:spacing w:line="360" w:lineRule="auto"/>
              <w:ind w:firstLine="480" w:firstLineChars="200"/>
              <w:rPr>
                <w:color w:val="auto"/>
                <w:sz w:val="24"/>
              </w:rPr>
            </w:pPr>
            <w:r>
              <w:rPr>
                <w:color w:val="auto"/>
                <w:sz w:val="24"/>
              </w:rPr>
              <w:t>HZS90型搅拌机主要技术参数见表2-5。</w:t>
            </w:r>
          </w:p>
          <w:p>
            <w:pPr>
              <w:adjustRightInd w:val="0"/>
              <w:snapToGrid w:val="0"/>
              <w:spacing w:line="360" w:lineRule="auto"/>
              <w:ind w:firstLine="480"/>
              <w:jc w:val="center"/>
              <w:rPr>
                <w:b/>
                <w:color w:val="auto"/>
                <w:kern w:val="0"/>
                <w:szCs w:val="21"/>
              </w:rPr>
            </w:pPr>
            <w:r>
              <w:rPr>
                <w:b/>
                <w:color w:val="auto"/>
                <w:kern w:val="0"/>
                <w:szCs w:val="21"/>
              </w:rPr>
              <w:t>表2-5  搅拌机主要技术参数</w:t>
            </w:r>
          </w:p>
          <w:tbl>
            <w:tblPr>
              <w:tblStyle w:val="4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1"/>
              <w:gridCol w:w="5333"/>
              <w:gridCol w:w="27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21" w:type="pct"/>
                  <w:gridSpan w:val="2"/>
                  <w:vAlign w:val="center"/>
                </w:tcPr>
                <w:p>
                  <w:pPr>
                    <w:pStyle w:val="15"/>
                    <w:widowControl w:val="0"/>
                    <w:adjustRightInd w:val="0"/>
                    <w:spacing w:before="0" w:after="0" w:line="240" w:lineRule="auto"/>
                    <w:ind w:right="0"/>
                    <w:jc w:val="center"/>
                    <w:rPr>
                      <w:b/>
                      <w:bCs/>
                      <w:color w:val="auto"/>
                      <w:sz w:val="21"/>
                      <w:szCs w:val="21"/>
                    </w:rPr>
                  </w:pPr>
                  <w:r>
                    <w:rPr>
                      <w:b/>
                      <w:bCs/>
                      <w:color w:val="auto"/>
                      <w:sz w:val="21"/>
                      <w:szCs w:val="21"/>
                    </w:rPr>
                    <w:t>型号</w:t>
                  </w:r>
                </w:p>
              </w:tc>
              <w:tc>
                <w:tcPr>
                  <w:tcW w:w="1478" w:type="pct"/>
                  <w:vAlign w:val="center"/>
                </w:tcPr>
                <w:p>
                  <w:pPr>
                    <w:pStyle w:val="15"/>
                    <w:widowControl w:val="0"/>
                    <w:adjustRightInd w:val="0"/>
                    <w:spacing w:before="0" w:after="0" w:line="240" w:lineRule="auto"/>
                    <w:ind w:right="0"/>
                    <w:jc w:val="center"/>
                    <w:rPr>
                      <w:b/>
                      <w:bCs/>
                      <w:color w:val="auto"/>
                      <w:sz w:val="21"/>
                      <w:szCs w:val="21"/>
                    </w:rPr>
                  </w:pPr>
                  <w:r>
                    <w:rPr>
                      <w:b/>
                      <w:bCs/>
                      <w:color w:val="auto"/>
                      <w:sz w:val="21"/>
                      <w:szCs w:val="21"/>
                    </w:rPr>
                    <w:t>HZS90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21" w:type="pct"/>
                  <w:gridSpan w:val="2"/>
                  <w:vAlign w:val="center"/>
                </w:tcPr>
                <w:p>
                  <w:pPr>
                    <w:widowControl/>
                    <w:adjustRightInd w:val="0"/>
                    <w:snapToGrid w:val="0"/>
                    <w:jc w:val="center"/>
                    <w:textAlignment w:val="center"/>
                    <w:rPr>
                      <w:color w:val="auto"/>
                      <w:szCs w:val="21"/>
                    </w:rPr>
                  </w:pPr>
                  <w:r>
                    <w:rPr>
                      <w:color w:val="auto"/>
                      <w:szCs w:val="21"/>
                    </w:rPr>
                    <w:t>生产率（m</w:t>
                  </w:r>
                  <w:r>
                    <w:rPr>
                      <w:color w:val="auto"/>
                      <w:szCs w:val="21"/>
                      <w:vertAlign w:val="superscript"/>
                    </w:rPr>
                    <w:t>3</w:t>
                  </w:r>
                  <w:r>
                    <w:rPr>
                      <w:color w:val="auto"/>
                      <w:szCs w:val="21"/>
                    </w:rPr>
                    <w:t>/h）</w:t>
                  </w:r>
                </w:p>
              </w:tc>
              <w:tc>
                <w:tcPr>
                  <w:tcW w:w="1478" w:type="pct"/>
                  <w:vAlign w:val="center"/>
                </w:tcPr>
                <w:p>
                  <w:pPr>
                    <w:widowControl/>
                    <w:adjustRightInd w:val="0"/>
                    <w:snapToGrid w:val="0"/>
                    <w:jc w:val="center"/>
                    <w:textAlignment w:val="center"/>
                    <w:rPr>
                      <w:color w:val="auto"/>
                      <w:szCs w:val="21"/>
                    </w:rPr>
                  </w:pPr>
                  <w:r>
                    <w:rPr>
                      <w:color w:val="auto"/>
                      <w:szCs w:val="21"/>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9" w:type="pct"/>
                  <w:vMerge w:val="restart"/>
                  <w:vAlign w:val="center"/>
                </w:tcPr>
                <w:p>
                  <w:pPr>
                    <w:pStyle w:val="15"/>
                    <w:widowControl w:val="0"/>
                    <w:adjustRightInd w:val="0"/>
                    <w:spacing w:before="0" w:after="0" w:line="240" w:lineRule="auto"/>
                    <w:ind w:right="0"/>
                    <w:jc w:val="center"/>
                    <w:rPr>
                      <w:color w:val="auto"/>
                      <w:kern w:val="2"/>
                      <w:sz w:val="21"/>
                      <w:szCs w:val="21"/>
                    </w:rPr>
                  </w:pPr>
                  <w:r>
                    <w:rPr>
                      <w:color w:val="auto"/>
                      <w:kern w:val="2"/>
                      <w:sz w:val="21"/>
                      <w:szCs w:val="21"/>
                    </w:rPr>
                    <w:t>搅拌主机</w:t>
                  </w:r>
                </w:p>
              </w:tc>
              <w:tc>
                <w:tcPr>
                  <w:tcW w:w="2852" w:type="pct"/>
                  <w:vAlign w:val="center"/>
                </w:tcPr>
                <w:p>
                  <w:pPr>
                    <w:widowControl/>
                    <w:adjustRightInd w:val="0"/>
                    <w:snapToGrid w:val="0"/>
                    <w:jc w:val="center"/>
                    <w:textAlignment w:val="center"/>
                    <w:rPr>
                      <w:color w:val="auto"/>
                      <w:kern w:val="0"/>
                      <w:szCs w:val="21"/>
                    </w:rPr>
                  </w:pPr>
                  <w:r>
                    <w:rPr>
                      <w:color w:val="auto"/>
                    </w:rPr>
                    <w:t>型号</w:t>
                  </w:r>
                </w:p>
              </w:tc>
              <w:tc>
                <w:tcPr>
                  <w:tcW w:w="1478" w:type="pct"/>
                  <w:vAlign w:val="center"/>
                </w:tcPr>
                <w:p>
                  <w:pPr>
                    <w:widowControl/>
                    <w:adjustRightInd w:val="0"/>
                    <w:snapToGrid w:val="0"/>
                    <w:jc w:val="center"/>
                    <w:textAlignment w:val="center"/>
                    <w:rPr>
                      <w:color w:val="auto"/>
                      <w:kern w:val="0"/>
                      <w:szCs w:val="21"/>
                    </w:rPr>
                  </w:pPr>
                  <w:r>
                    <w:rPr>
                      <w:color w:val="auto"/>
                      <w:kern w:val="0"/>
                      <w:szCs w:val="21"/>
                    </w:rPr>
                    <w:t>JS2000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9" w:type="pct"/>
                  <w:vMerge w:val="continue"/>
                  <w:vAlign w:val="center"/>
                </w:tcPr>
                <w:p>
                  <w:pPr>
                    <w:pStyle w:val="15"/>
                    <w:widowControl w:val="0"/>
                    <w:adjustRightInd w:val="0"/>
                    <w:spacing w:before="0" w:after="0" w:line="240" w:lineRule="auto"/>
                    <w:ind w:right="0"/>
                    <w:jc w:val="center"/>
                    <w:rPr>
                      <w:color w:val="auto"/>
                      <w:kern w:val="2"/>
                      <w:sz w:val="21"/>
                      <w:szCs w:val="21"/>
                    </w:rPr>
                  </w:pPr>
                </w:p>
              </w:tc>
              <w:tc>
                <w:tcPr>
                  <w:tcW w:w="2852" w:type="pct"/>
                  <w:vAlign w:val="center"/>
                </w:tcPr>
                <w:p>
                  <w:pPr>
                    <w:widowControl/>
                    <w:adjustRightInd w:val="0"/>
                    <w:snapToGrid w:val="0"/>
                    <w:jc w:val="center"/>
                    <w:textAlignment w:val="center"/>
                    <w:rPr>
                      <w:color w:val="auto"/>
                      <w:szCs w:val="21"/>
                    </w:rPr>
                  </w:pPr>
                  <w:r>
                    <w:rPr>
                      <w:color w:val="auto"/>
                    </w:rPr>
                    <w:t>搅拌功率（kW）</w:t>
                  </w:r>
                </w:p>
              </w:tc>
              <w:tc>
                <w:tcPr>
                  <w:tcW w:w="1478" w:type="pct"/>
                  <w:vAlign w:val="center"/>
                </w:tcPr>
                <w:p>
                  <w:pPr>
                    <w:widowControl/>
                    <w:adjustRightInd w:val="0"/>
                    <w:snapToGrid w:val="0"/>
                    <w:jc w:val="center"/>
                    <w:textAlignment w:val="center"/>
                    <w:rPr>
                      <w:color w:val="auto"/>
                      <w:szCs w:val="21"/>
                    </w:rPr>
                  </w:pPr>
                  <w:r>
                    <w:rPr>
                      <w:color w:val="auto"/>
                      <w:szCs w:val="21"/>
                    </w:rPr>
                    <w:t>2×33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9" w:type="pct"/>
                  <w:vMerge w:val="continue"/>
                  <w:vAlign w:val="center"/>
                </w:tcPr>
                <w:p>
                  <w:pPr>
                    <w:pStyle w:val="15"/>
                    <w:widowControl w:val="0"/>
                    <w:adjustRightInd w:val="0"/>
                    <w:spacing w:before="0" w:after="0" w:line="240" w:lineRule="auto"/>
                    <w:ind w:right="0"/>
                    <w:jc w:val="center"/>
                    <w:rPr>
                      <w:color w:val="auto"/>
                      <w:kern w:val="2"/>
                      <w:sz w:val="21"/>
                      <w:szCs w:val="21"/>
                    </w:rPr>
                  </w:pPr>
                </w:p>
              </w:tc>
              <w:tc>
                <w:tcPr>
                  <w:tcW w:w="2852" w:type="pct"/>
                  <w:vAlign w:val="center"/>
                </w:tcPr>
                <w:p>
                  <w:pPr>
                    <w:widowControl/>
                    <w:adjustRightInd w:val="0"/>
                    <w:snapToGrid w:val="0"/>
                    <w:jc w:val="center"/>
                    <w:textAlignment w:val="center"/>
                    <w:rPr>
                      <w:color w:val="auto"/>
                      <w:szCs w:val="21"/>
                    </w:rPr>
                  </w:pPr>
                  <w:r>
                    <w:rPr>
                      <w:color w:val="auto"/>
                    </w:rPr>
                    <w:t>出料容量（m</w:t>
                  </w:r>
                  <w:r>
                    <w:rPr>
                      <w:color w:val="auto"/>
                      <w:vertAlign w:val="superscript"/>
                    </w:rPr>
                    <w:t>3</w:t>
                  </w:r>
                  <w:r>
                    <w:rPr>
                      <w:color w:val="auto"/>
                    </w:rPr>
                    <w:t>）</w:t>
                  </w:r>
                </w:p>
              </w:tc>
              <w:tc>
                <w:tcPr>
                  <w:tcW w:w="1478" w:type="pct"/>
                  <w:vAlign w:val="center"/>
                </w:tcPr>
                <w:p>
                  <w:pPr>
                    <w:widowControl/>
                    <w:adjustRightInd w:val="0"/>
                    <w:snapToGrid w:val="0"/>
                    <w:jc w:val="center"/>
                    <w:textAlignment w:val="center"/>
                    <w:rPr>
                      <w:color w:val="auto"/>
                      <w:szCs w:val="21"/>
                    </w:rPr>
                  </w:pPr>
                  <w:r>
                    <w:rPr>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9" w:type="pct"/>
                  <w:vMerge w:val="continue"/>
                  <w:vAlign w:val="center"/>
                </w:tcPr>
                <w:p>
                  <w:pPr>
                    <w:pStyle w:val="15"/>
                    <w:widowControl w:val="0"/>
                    <w:adjustRightInd w:val="0"/>
                    <w:spacing w:before="0" w:after="0" w:line="240" w:lineRule="auto"/>
                    <w:ind w:right="0"/>
                    <w:jc w:val="center"/>
                    <w:rPr>
                      <w:color w:val="auto"/>
                      <w:kern w:val="2"/>
                      <w:sz w:val="21"/>
                      <w:szCs w:val="21"/>
                    </w:rPr>
                  </w:pPr>
                </w:p>
              </w:tc>
              <w:tc>
                <w:tcPr>
                  <w:tcW w:w="2852" w:type="pct"/>
                  <w:vAlign w:val="center"/>
                </w:tcPr>
                <w:p>
                  <w:pPr>
                    <w:widowControl/>
                    <w:adjustRightInd w:val="0"/>
                    <w:snapToGrid w:val="0"/>
                    <w:jc w:val="center"/>
                    <w:textAlignment w:val="center"/>
                    <w:rPr>
                      <w:color w:val="auto"/>
                      <w:szCs w:val="21"/>
                    </w:rPr>
                  </w:pPr>
                  <w:r>
                    <w:rPr>
                      <w:color w:val="auto"/>
                    </w:rPr>
                    <w:t>骨料粒径（mm）</w:t>
                  </w:r>
                </w:p>
              </w:tc>
              <w:tc>
                <w:tcPr>
                  <w:tcW w:w="1478" w:type="pct"/>
                  <w:vAlign w:val="center"/>
                </w:tcPr>
                <w:p>
                  <w:pPr>
                    <w:widowControl/>
                    <w:adjustRightInd w:val="0"/>
                    <w:snapToGrid w:val="0"/>
                    <w:jc w:val="center"/>
                    <w:textAlignment w:val="center"/>
                    <w:rPr>
                      <w:color w:val="auto"/>
                      <w:szCs w:val="21"/>
                    </w:rPr>
                  </w:pPr>
                  <w:r>
                    <w:rPr>
                      <w:color w:val="auto"/>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9" w:type="pct"/>
                  <w:vMerge w:val="restart"/>
                  <w:vAlign w:val="center"/>
                </w:tcPr>
                <w:p>
                  <w:pPr>
                    <w:pStyle w:val="15"/>
                    <w:widowControl w:val="0"/>
                    <w:adjustRightInd w:val="0"/>
                    <w:spacing w:before="0" w:after="0" w:line="240" w:lineRule="auto"/>
                    <w:ind w:right="0"/>
                    <w:jc w:val="center"/>
                    <w:rPr>
                      <w:color w:val="auto"/>
                      <w:sz w:val="21"/>
                      <w:szCs w:val="21"/>
                    </w:rPr>
                  </w:pPr>
                  <w:r>
                    <w:rPr>
                      <w:color w:val="auto"/>
                      <w:sz w:val="21"/>
                      <w:szCs w:val="21"/>
                    </w:rPr>
                    <w:t>配料仓</w:t>
                  </w:r>
                </w:p>
              </w:tc>
              <w:tc>
                <w:tcPr>
                  <w:tcW w:w="2852" w:type="pct"/>
                  <w:vAlign w:val="center"/>
                </w:tcPr>
                <w:p>
                  <w:pPr>
                    <w:widowControl/>
                    <w:adjustRightInd w:val="0"/>
                    <w:snapToGrid w:val="0"/>
                    <w:jc w:val="center"/>
                    <w:textAlignment w:val="center"/>
                    <w:rPr>
                      <w:color w:val="auto"/>
                      <w:szCs w:val="21"/>
                    </w:rPr>
                  </w:pPr>
                  <w:r>
                    <w:rPr>
                      <w:color w:val="auto"/>
                    </w:rPr>
                    <w:t>仓容积（m</w:t>
                  </w:r>
                  <w:r>
                    <w:rPr>
                      <w:color w:val="auto"/>
                      <w:vertAlign w:val="superscript"/>
                    </w:rPr>
                    <w:t>3</w:t>
                  </w:r>
                  <w:r>
                    <w:rPr>
                      <w:color w:val="auto"/>
                    </w:rPr>
                    <w:t>）</w:t>
                  </w:r>
                </w:p>
              </w:tc>
              <w:tc>
                <w:tcPr>
                  <w:tcW w:w="1478" w:type="pct"/>
                  <w:vAlign w:val="center"/>
                </w:tcPr>
                <w:p>
                  <w:pPr>
                    <w:widowControl/>
                    <w:adjustRightInd w:val="0"/>
                    <w:snapToGrid w:val="0"/>
                    <w:jc w:val="center"/>
                    <w:textAlignment w:val="center"/>
                    <w:rPr>
                      <w:color w:val="auto"/>
                      <w:szCs w:val="21"/>
                    </w:rPr>
                  </w:pPr>
                  <w:r>
                    <w:rPr>
                      <w:color w:val="auto"/>
                      <w:szCs w:val="21"/>
                    </w:rPr>
                    <w:t>3×13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9" w:type="pct"/>
                  <w:vMerge w:val="continue"/>
                  <w:vAlign w:val="center"/>
                </w:tcPr>
                <w:p>
                  <w:pPr>
                    <w:pStyle w:val="15"/>
                    <w:widowControl w:val="0"/>
                    <w:adjustRightInd w:val="0"/>
                    <w:spacing w:before="0" w:after="0" w:line="240" w:lineRule="auto"/>
                    <w:ind w:right="0"/>
                    <w:jc w:val="center"/>
                    <w:rPr>
                      <w:color w:val="auto"/>
                      <w:sz w:val="21"/>
                      <w:szCs w:val="21"/>
                    </w:rPr>
                  </w:pPr>
                </w:p>
              </w:tc>
              <w:tc>
                <w:tcPr>
                  <w:tcW w:w="2852" w:type="pct"/>
                  <w:vAlign w:val="center"/>
                </w:tcPr>
                <w:p>
                  <w:pPr>
                    <w:widowControl/>
                    <w:adjustRightInd w:val="0"/>
                    <w:snapToGrid w:val="0"/>
                    <w:jc w:val="center"/>
                    <w:textAlignment w:val="center"/>
                    <w:rPr>
                      <w:color w:val="auto"/>
                      <w:szCs w:val="21"/>
                    </w:rPr>
                  </w:pPr>
                  <w:r>
                    <w:rPr>
                      <w:color w:val="auto"/>
                    </w:rPr>
                    <w:t>仓格数</w:t>
                  </w:r>
                </w:p>
              </w:tc>
              <w:tc>
                <w:tcPr>
                  <w:tcW w:w="1478" w:type="pct"/>
                  <w:vAlign w:val="center"/>
                </w:tcPr>
                <w:p>
                  <w:pPr>
                    <w:widowControl/>
                    <w:adjustRightInd w:val="0"/>
                    <w:snapToGrid w:val="0"/>
                    <w:jc w:val="center"/>
                    <w:textAlignment w:val="center"/>
                    <w:rPr>
                      <w:color w:val="auto"/>
                      <w:szCs w:val="21"/>
                    </w:rPr>
                  </w:pPr>
                  <w:r>
                    <w:rPr>
                      <w:color w:val="auto"/>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21" w:type="pct"/>
                  <w:gridSpan w:val="2"/>
                  <w:vAlign w:val="center"/>
                </w:tcPr>
                <w:p>
                  <w:pPr>
                    <w:widowControl/>
                    <w:adjustRightInd w:val="0"/>
                    <w:snapToGrid w:val="0"/>
                    <w:jc w:val="center"/>
                    <w:textAlignment w:val="center"/>
                    <w:rPr>
                      <w:rFonts w:eastAsiaTheme="minorEastAsia"/>
                      <w:color w:val="auto"/>
                    </w:rPr>
                  </w:pPr>
                  <w:r>
                    <w:rPr>
                      <w:color w:val="auto"/>
                    </w:rPr>
                    <w:t>皮带输送能力</w:t>
                  </w:r>
                </w:p>
              </w:tc>
              <w:tc>
                <w:tcPr>
                  <w:tcW w:w="1478" w:type="pct"/>
                  <w:vAlign w:val="center"/>
                </w:tcPr>
                <w:p>
                  <w:pPr>
                    <w:widowControl/>
                    <w:adjustRightInd w:val="0"/>
                    <w:snapToGrid w:val="0"/>
                    <w:jc w:val="center"/>
                    <w:textAlignment w:val="center"/>
                    <w:rPr>
                      <w:color w:val="auto"/>
                      <w:szCs w:val="21"/>
                    </w:rPr>
                  </w:pPr>
                  <w:r>
                    <w:rPr>
                      <w:color w:val="auto"/>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69" w:type="pct"/>
                  <w:vMerge w:val="restart"/>
                  <w:vAlign w:val="center"/>
                </w:tcPr>
                <w:p>
                  <w:pPr>
                    <w:pStyle w:val="15"/>
                    <w:widowControl w:val="0"/>
                    <w:adjustRightInd w:val="0"/>
                    <w:spacing w:before="0" w:after="0" w:line="240" w:lineRule="auto"/>
                    <w:ind w:right="0"/>
                    <w:jc w:val="center"/>
                    <w:rPr>
                      <w:color w:val="auto"/>
                      <w:sz w:val="21"/>
                      <w:szCs w:val="21"/>
                    </w:rPr>
                  </w:pPr>
                  <w:r>
                    <w:rPr>
                      <w:color w:val="auto"/>
                      <w:sz w:val="21"/>
                      <w:szCs w:val="21"/>
                    </w:rPr>
                    <w:t>称量范围及精度</w:t>
                  </w:r>
                </w:p>
              </w:tc>
              <w:tc>
                <w:tcPr>
                  <w:tcW w:w="2852" w:type="pct"/>
                  <w:vAlign w:val="center"/>
                </w:tcPr>
                <w:p>
                  <w:pPr>
                    <w:widowControl/>
                    <w:adjustRightInd w:val="0"/>
                    <w:snapToGrid w:val="0"/>
                    <w:jc w:val="center"/>
                    <w:textAlignment w:val="center"/>
                    <w:rPr>
                      <w:rFonts w:hint="eastAsia" w:eastAsia="宋体"/>
                      <w:color w:val="auto"/>
                      <w:szCs w:val="21"/>
                      <w:lang w:eastAsia="zh-CN"/>
                    </w:rPr>
                  </w:pPr>
                  <w:r>
                    <w:rPr>
                      <w:color w:val="auto"/>
                    </w:rPr>
                    <w:t>骨料（kg</w:t>
                  </w:r>
                  <w:r>
                    <w:rPr>
                      <w:rFonts w:hint="eastAsia"/>
                      <w:color w:val="auto"/>
                      <w:lang w:val="en-US" w:eastAsia="zh-CN"/>
                    </w:rPr>
                    <w:t>）</w:t>
                  </w:r>
                </w:p>
              </w:tc>
              <w:tc>
                <w:tcPr>
                  <w:tcW w:w="1478" w:type="pct"/>
                  <w:vAlign w:val="center"/>
                </w:tcPr>
                <w:p>
                  <w:pPr>
                    <w:widowControl/>
                    <w:adjustRightInd w:val="0"/>
                    <w:snapToGrid w:val="0"/>
                    <w:jc w:val="center"/>
                    <w:textAlignment w:val="center"/>
                    <w:rPr>
                      <w:color w:val="auto"/>
                      <w:szCs w:val="21"/>
                    </w:rPr>
                  </w:pPr>
                  <w:r>
                    <w:rPr>
                      <w:color w:val="auto"/>
                    </w:rPr>
                    <w:t>2500士2%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9" w:type="pct"/>
                  <w:vMerge w:val="continue"/>
                  <w:vAlign w:val="center"/>
                </w:tcPr>
                <w:p>
                  <w:pPr>
                    <w:pStyle w:val="15"/>
                    <w:widowControl w:val="0"/>
                    <w:adjustRightInd w:val="0"/>
                    <w:spacing w:before="0" w:after="0" w:line="240" w:lineRule="auto"/>
                    <w:ind w:right="0"/>
                    <w:jc w:val="center"/>
                    <w:rPr>
                      <w:color w:val="auto"/>
                      <w:sz w:val="21"/>
                      <w:szCs w:val="21"/>
                    </w:rPr>
                  </w:pPr>
                </w:p>
              </w:tc>
              <w:tc>
                <w:tcPr>
                  <w:tcW w:w="2852" w:type="pct"/>
                  <w:vAlign w:val="center"/>
                </w:tcPr>
                <w:p>
                  <w:pPr>
                    <w:widowControl/>
                    <w:adjustRightInd w:val="0"/>
                    <w:snapToGrid w:val="0"/>
                    <w:jc w:val="center"/>
                    <w:textAlignment w:val="center"/>
                    <w:rPr>
                      <w:color w:val="auto"/>
                      <w:szCs w:val="21"/>
                    </w:rPr>
                  </w:pPr>
                  <w:r>
                    <w:rPr>
                      <w:color w:val="auto"/>
                    </w:rPr>
                    <w:t>水泥（kg</w:t>
                  </w:r>
                  <w:r>
                    <w:rPr>
                      <w:rFonts w:hint="eastAsia"/>
                      <w:color w:val="auto"/>
                      <w:lang w:val="en-US" w:eastAsia="zh-CN"/>
                    </w:rPr>
                    <w:t>）</w:t>
                  </w:r>
                </w:p>
              </w:tc>
              <w:tc>
                <w:tcPr>
                  <w:tcW w:w="1478" w:type="pct"/>
                  <w:vAlign w:val="center"/>
                </w:tcPr>
                <w:p>
                  <w:pPr>
                    <w:widowControl/>
                    <w:adjustRightInd w:val="0"/>
                    <w:snapToGrid w:val="0"/>
                    <w:jc w:val="center"/>
                    <w:textAlignment w:val="center"/>
                    <w:rPr>
                      <w:color w:val="auto"/>
                      <w:szCs w:val="21"/>
                    </w:rPr>
                  </w:pPr>
                  <w:r>
                    <w:rPr>
                      <w:color w:val="auto"/>
                    </w:rPr>
                    <w:t>600+1%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9" w:type="pct"/>
                  <w:vMerge w:val="continue"/>
                  <w:vAlign w:val="center"/>
                </w:tcPr>
                <w:p>
                  <w:pPr>
                    <w:pStyle w:val="15"/>
                    <w:widowControl w:val="0"/>
                    <w:adjustRightInd w:val="0"/>
                    <w:spacing w:before="0" w:after="0" w:line="240" w:lineRule="auto"/>
                    <w:ind w:right="0"/>
                    <w:jc w:val="center"/>
                    <w:rPr>
                      <w:color w:val="auto"/>
                      <w:sz w:val="21"/>
                      <w:szCs w:val="21"/>
                    </w:rPr>
                  </w:pPr>
                </w:p>
              </w:tc>
              <w:tc>
                <w:tcPr>
                  <w:tcW w:w="2852" w:type="pct"/>
                  <w:vAlign w:val="center"/>
                </w:tcPr>
                <w:p>
                  <w:pPr>
                    <w:widowControl/>
                    <w:adjustRightInd w:val="0"/>
                    <w:snapToGrid w:val="0"/>
                    <w:jc w:val="center"/>
                    <w:textAlignment w:val="center"/>
                    <w:rPr>
                      <w:color w:val="auto"/>
                      <w:szCs w:val="21"/>
                    </w:rPr>
                  </w:pPr>
                  <w:r>
                    <w:rPr>
                      <w:color w:val="auto"/>
                    </w:rPr>
                    <w:t>水（kg</w:t>
                  </w:r>
                  <w:r>
                    <w:rPr>
                      <w:rFonts w:hint="eastAsia"/>
                      <w:color w:val="auto"/>
                      <w:lang w:val="en-US" w:eastAsia="zh-CN"/>
                    </w:rPr>
                    <w:t>）</w:t>
                  </w:r>
                </w:p>
              </w:tc>
              <w:tc>
                <w:tcPr>
                  <w:tcW w:w="1478" w:type="pct"/>
                  <w:vAlign w:val="center"/>
                </w:tcPr>
                <w:p>
                  <w:pPr>
                    <w:widowControl/>
                    <w:adjustRightInd w:val="0"/>
                    <w:snapToGrid w:val="0"/>
                    <w:jc w:val="center"/>
                    <w:textAlignment w:val="center"/>
                    <w:rPr>
                      <w:color w:val="auto"/>
                      <w:szCs w:val="21"/>
                    </w:rPr>
                  </w:pPr>
                  <w:r>
                    <w:rPr>
                      <w:color w:val="auto"/>
                    </w:rPr>
                    <w:t>300+1%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69" w:type="pct"/>
                  <w:vMerge w:val="continue"/>
                  <w:vAlign w:val="center"/>
                </w:tcPr>
                <w:p>
                  <w:pPr>
                    <w:pStyle w:val="15"/>
                    <w:widowControl w:val="0"/>
                    <w:adjustRightInd w:val="0"/>
                    <w:spacing w:before="0" w:after="0" w:line="240" w:lineRule="auto"/>
                    <w:ind w:right="0"/>
                    <w:jc w:val="center"/>
                    <w:rPr>
                      <w:color w:val="auto"/>
                      <w:sz w:val="21"/>
                      <w:szCs w:val="21"/>
                    </w:rPr>
                  </w:pPr>
                </w:p>
              </w:tc>
              <w:tc>
                <w:tcPr>
                  <w:tcW w:w="2852" w:type="pct"/>
                  <w:vAlign w:val="center"/>
                </w:tcPr>
                <w:p>
                  <w:pPr>
                    <w:widowControl/>
                    <w:adjustRightInd w:val="0"/>
                    <w:snapToGrid w:val="0"/>
                    <w:jc w:val="center"/>
                    <w:textAlignment w:val="center"/>
                    <w:rPr>
                      <w:color w:val="auto"/>
                    </w:rPr>
                  </w:pPr>
                  <w:r>
                    <w:rPr>
                      <w:color w:val="auto"/>
                    </w:rPr>
                    <w:t>总功率（kW</w:t>
                  </w:r>
                  <w:r>
                    <w:rPr>
                      <w:rFonts w:hint="eastAsia"/>
                      <w:color w:val="auto"/>
                      <w:lang w:val="en-US" w:eastAsia="zh-CN"/>
                    </w:rPr>
                    <w:t>）</w:t>
                  </w:r>
                </w:p>
              </w:tc>
              <w:tc>
                <w:tcPr>
                  <w:tcW w:w="1478" w:type="pct"/>
                  <w:vAlign w:val="center"/>
                </w:tcPr>
                <w:p>
                  <w:pPr>
                    <w:widowControl/>
                    <w:adjustRightInd w:val="0"/>
                    <w:snapToGrid w:val="0"/>
                    <w:jc w:val="center"/>
                    <w:textAlignment w:val="center"/>
                    <w:rPr>
                      <w:color w:val="auto"/>
                      <w:szCs w:val="21"/>
                    </w:rPr>
                  </w:pPr>
                  <w:r>
                    <w:rPr>
                      <w:color w:val="auto"/>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9" w:type="pct"/>
                  <w:vMerge w:val="continue"/>
                  <w:vAlign w:val="center"/>
                </w:tcPr>
                <w:p>
                  <w:pPr>
                    <w:pStyle w:val="15"/>
                    <w:widowControl w:val="0"/>
                    <w:adjustRightInd w:val="0"/>
                    <w:spacing w:before="0" w:after="0" w:line="240" w:lineRule="auto"/>
                    <w:ind w:right="0"/>
                    <w:jc w:val="center"/>
                    <w:rPr>
                      <w:color w:val="auto"/>
                      <w:sz w:val="21"/>
                      <w:szCs w:val="21"/>
                    </w:rPr>
                  </w:pPr>
                </w:p>
              </w:tc>
              <w:tc>
                <w:tcPr>
                  <w:tcW w:w="2852" w:type="pct"/>
                  <w:vAlign w:val="center"/>
                </w:tcPr>
                <w:p>
                  <w:pPr>
                    <w:widowControl/>
                    <w:adjustRightInd w:val="0"/>
                    <w:snapToGrid w:val="0"/>
                    <w:jc w:val="center"/>
                    <w:textAlignment w:val="center"/>
                    <w:rPr>
                      <w:rFonts w:eastAsiaTheme="minorEastAsia"/>
                      <w:color w:val="auto"/>
                    </w:rPr>
                  </w:pPr>
                  <w:r>
                    <w:rPr>
                      <w:color w:val="auto"/>
                    </w:rPr>
                    <w:t>卸料高度（m）</w:t>
                  </w:r>
                </w:p>
              </w:tc>
              <w:tc>
                <w:tcPr>
                  <w:tcW w:w="1478" w:type="pct"/>
                  <w:vAlign w:val="center"/>
                </w:tcPr>
                <w:p>
                  <w:pPr>
                    <w:widowControl/>
                    <w:adjustRightInd w:val="0"/>
                    <w:snapToGrid w:val="0"/>
                    <w:jc w:val="center"/>
                    <w:textAlignment w:val="center"/>
                    <w:rPr>
                      <w:color w:val="auto"/>
                      <w:szCs w:val="21"/>
                    </w:rPr>
                  </w:pPr>
                  <w:r>
                    <w:rPr>
                      <w:color w:val="auto"/>
                    </w:rPr>
                    <w:t>3.8</w:t>
                  </w:r>
                </w:p>
              </w:tc>
            </w:tr>
          </w:tbl>
          <w:p>
            <w:pPr>
              <w:widowControl/>
              <w:adjustRightInd w:val="0"/>
              <w:snapToGrid w:val="0"/>
              <w:spacing w:line="360" w:lineRule="auto"/>
              <w:ind w:firstLine="482" w:firstLineChars="200"/>
              <w:jc w:val="left"/>
              <w:rPr>
                <w:b/>
                <w:color w:val="auto"/>
                <w:kern w:val="0"/>
                <w:szCs w:val="21"/>
              </w:rPr>
            </w:pPr>
            <w:r>
              <w:rPr>
                <w:b/>
                <w:bCs/>
                <w:color w:val="auto"/>
                <w:kern w:val="0"/>
                <w:sz w:val="24"/>
              </w:rPr>
              <w:t>5、主要原辅材料及燃料的种类及用量：</w:t>
            </w:r>
          </w:p>
          <w:p>
            <w:pPr>
              <w:spacing w:after="120"/>
              <w:ind w:firstLine="480" w:firstLineChars="200"/>
              <w:rPr>
                <w:b/>
                <w:color w:val="auto"/>
                <w:kern w:val="0"/>
                <w:szCs w:val="21"/>
              </w:rPr>
            </w:pPr>
            <w:r>
              <w:rPr>
                <w:color w:val="auto"/>
                <w:sz w:val="24"/>
              </w:rPr>
              <w:t>项目动力消耗主要为电能，主要原辅材料及能耗情况详见下表</w:t>
            </w:r>
          </w:p>
          <w:p>
            <w:pPr>
              <w:spacing w:after="120"/>
              <w:jc w:val="center"/>
              <w:rPr>
                <w:b/>
                <w:color w:val="auto"/>
                <w:kern w:val="0"/>
                <w:szCs w:val="21"/>
              </w:rPr>
            </w:pPr>
            <w:r>
              <w:rPr>
                <w:b/>
                <w:color w:val="auto"/>
                <w:kern w:val="0"/>
                <w:szCs w:val="21"/>
              </w:rPr>
              <w:t>表2-6  主要原辅材料消耗表</w:t>
            </w:r>
          </w:p>
          <w:tbl>
            <w:tblPr>
              <w:tblStyle w:val="4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9"/>
              <w:gridCol w:w="1335"/>
              <w:gridCol w:w="1563"/>
              <w:gridCol w:w="1664"/>
              <w:gridCol w:w="1713"/>
              <w:gridCol w:w="1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25" w:type="pct"/>
                  <w:tcBorders>
                    <w:tl2br w:val="nil"/>
                    <w:tr2bl w:val="nil"/>
                  </w:tcBorders>
                  <w:vAlign w:val="center"/>
                </w:tcPr>
                <w:p>
                  <w:pPr>
                    <w:adjustRightInd w:val="0"/>
                    <w:snapToGrid w:val="0"/>
                    <w:jc w:val="center"/>
                    <w:rPr>
                      <w:b/>
                      <w:bCs/>
                      <w:color w:val="auto"/>
                      <w:szCs w:val="21"/>
                    </w:rPr>
                  </w:pPr>
                  <w:r>
                    <w:rPr>
                      <w:b/>
                      <w:bCs/>
                      <w:color w:val="auto"/>
                      <w:szCs w:val="21"/>
                    </w:rPr>
                    <w:t>项目</w:t>
                  </w:r>
                </w:p>
              </w:tc>
              <w:tc>
                <w:tcPr>
                  <w:tcW w:w="714" w:type="pct"/>
                  <w:tcBorders>
                    <w:tl2br w:val="nil"/>
                    <w:tr2bl w:val="nil"/>
                  </w:tcBorders>
                  <w:vAlign w:val="center"/>
                </w:tcPr>
                <w:p>
                  <w:pPr>
                    <w:adjustRightInd w:val="0"/>
                    <w:snapToGrid w:val="0"/>
                    <w:jc w:val="center"/>
                    <w:rPr>
                      <w:b/>
                      <w:bCs/>
                      <w:color w:val="auto"/>
                      <w:szCs w:val="21"/>
                    </w:rPr>
                  </w:pPr>
                  <w:r>
                    <w:rPr>
                      <w:b/>
                      <w:bCs/>
                      <w:color w:val="auto"/>
                      <w:szCs w:val="21"/>
                    </w:rPr>
                    <w:t>名称</w:t>
                  </w:r>
                </w:p>
              </w:tc>
              <w:tc>
                <w:tcPr>
                  <w:tcW w:w="836" w:type="pct"/>
                  <w:tcBorders>
                    <w:tl2br w:val="nil"/>
                    <w:tr2bl w:val="nil"/>
                  </w:tcBorders>
                  <w:vAlign w:val="center"/>
                </w:tcPr>
                <w:p>
                  <w:pPr>
                    <w:adjustRightInd w:val="0"/>
                    <w:snapToGrid w:val="0"/>
                    <w:jc w:val="center"/>
                    <w:rPr>
                      <w:b/>
                      <w:bCs/>
                      <w:color w:val="auto"/>
                      <w:szCs w:val="21"/>
                    </w:rPr>
                  </w:pPr>
                  <w:r>
                    <w:rPr>
                      <w:b/>
                      <w:bCs/>
                      <w:color w:val="auto"/>
                      <w:szCs w:val="21"/>
                    </w:rPr>
                    <w:t>单位</w:t>
                  </w:r>
                </w:p>
              </w:tc>
              <w:tc>
                <w:tcPr>
                  <w:tcW w:w="890" w:type="pct"/>
                  <w:tcBorders>
                    <w:tl2br w:val="nil"/>
                    <w:tr2bl w:val="nil"/>
                  </w:tcBorders>
                  <w:vAlign w:val="center"/>
                </w:tcPr>
                <w:p>
                  <w:pPr>
                    <w:adjustRightInd w:val="0"/>
                    <w:snapToGrid w:val="0"/>
                    <w:jc w:val="center"/>
                    <w:rPr>
                      <w:b/>
                      <w:bCs/>
                      <w:color w:val="auto"/>
                      <w:szCs w:val="21"/>
                    </w:rPr>
                  </w:pPr>
                  <w:r>
                    <w:rPr>
                      <w:b/>
                      <w:bCs/>
                      <w:color w:val="auto"/>
                      <w:szCs w:val="21"/>
                    </w:rPr>
                    <w:t>数量</w:t>
                  </w:r>
                </w:p>
              </w:tc>
              <w:tc>
                <w:tcPr>
                  <w:tcW w:w="916" w:type="pct"/>
                  <w:tcBorders>
                    <w:tl2br w:val="nil"/>
                    <w:tr2bl w:val="nil"/>
                  </w:tcBorders>
                  <w:vAlign w:val="center"/>
                </w:tcPr>
                <w:p>
                  <w:pPr>
                    <w:adjustRightInd w:val="0"/>
                    <w:snapToGrid w:val="0"/>
                    <w:jc w:val="center"/>
                    <w:rPr>
                      <w:b/>
                      <w:bCs/>
                      <w:color w:val="auto"/>
                      <w:szCs w:val="21"/>
                    </w:rPr>
                  </w:pPr>
                  <w:r>
                    <w:rPr>
                      <w:b/>
                      <w:bCs/>
                      <w:color w:val="auto"/>
                      <w:szCs w:val="21"/>
                    </w:rPr>
                    <w:t>规格及来源</w:t>
                  </w:r>
                </w:p>
              </w:tc>
              <w:tc>
                <w:tcPr>
                  <w:tcW w:w="1016" w:type="pct"/>
                  <w:tcBorders>
                    <w:tl2br w:val="nil"/>
                    <w:tr2bl w:val="nil"/>
                  </w:tcBorders>
                  <w:vAlign w:val="center"/>
                </w:tcPr>
                <w:p>
                  <w:pPr>
                    <w:adjustRightInd w:val="0"/>
                    <w:snapToGrid w:val="0"/>
                    <w:jc w:val="center"/>
                    <w:rPr>
                      <w:b/>
                      <w:bCs/>
                      <w:color w:val="auto"/>
                      <w:szCs w:val="21"/>
                    </w:rPr>
                  </w:pPr>
                  <w:r>
                    <w:rPr>
                      <w:b/>
                      <w:bCs/>
                      <w:color w:val="auto"/>
                      <w:szCs w:val="21"/>
                    </w:rPr>
                    <w:t>运输及储存情况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25" w:type="pct"/>
                  <w:vMerge w:val="restart"/>
                  <w:tcBorders>
                    <w:tl2br w:val="nil"/>
                    <w:tr2bl w:val="nil"/>
                  </w:tcBorders>
                  <w:vAlign w:val="center"/>
                </w:tcPr>
                <w:p>
                  <w:pPr>
                    <w:adjustRightInd w:val="0"/>
                    <w:snapToGrid w:val="0"/>
                    <w:jc w:val="center"/>
                    <w:rPr>
                      <w:color w:val="auto"/>
                      <w:szCs w:val="21"/>
                    </w:rPr>
                  </w:pPr>
                  <w:r>
                    <w:rPr>
                      <w:color w:val="auto"/>
                      <w:szCs w:val="21"/>
                    </w:rPr>
                    <w:t>原辅材料</w:t>
                  </w:r>
                </w:p>
              </w:tc>
              <w:tc>
                <w:tcPr>
                  <w:tcW w:w="714" w:type="pct"/>
                  <w:tcBorders>
                    <w:tl2br w:val="nil"/>
                    <w:tr2bl w:val="nil"/>
                  </w:tcBorders>
                  <w:vAlign w:val="center"/>
                </w:tcPr>
                <w:p>
                  <w:pPr>
                    <w:adjustRightInd w:val="0"/>
                    <w:snapToGrid w:val="0"/>
                    <w:jc w:val="center"/>
                    <w:rPr>
                      <w:color w:val="auto"/>
                      <w:szCs w:val="21"/>
                    </w:rPr>
                  </w:pPr>
                  <w:r>
                    <w:rPr>
                      <w:color w:val="auto"/>
                      <w:szCs w:val="21"/>
                    </w:rPr>
                    <w:t>水泥</w:t>
                  </w:r>
                </w:p>
              </w:tc>
              <w:tc>
                <w:tcPr>
                  <w:tcW w:w="836" w:type="pct"/>
                  <w:tcBorders>
                    <w:tl2br w:val="nil"/>
                    <w:tr2bl w:val="nil"/>
                  </w:tcBorders>
                  <w:vAlign w:val="center"/>
                </w:tcPr>
                <w:p>
                  <w:pPr>
                    <w:adjustRightInd w:val="0"/>
                    <w:snapToGrid w:val="0"/>
                    <w:jc w:val="center"/>
                    <w:rPr>
                      <w:color w:val="auto"/>
                      <w:szCs w:val="21"/>
                    </w:rPr>
                  </w:pPr>
                  <w:r>
                    <w:rPr>
                      <w:rFonts w:eastAsia="TimesNewRomanPSMT"/>
                      <w:color w:val="auto"/>
                      <w:szCs w:val="21"/>
                    </w:rPr>
                    <w:t>t/a</w:t>
                  </w:r>
                </w:p>
              </w:tc>
              <w:tc>
                <w:tcPr>
                  <w:tcW w:w="890" w:type="pct"/>
                  <w:tcBorders>
                    <w:tl2br w:val="nil"/>
                    <w:tr2bl w:val="nil"/>
                  </w:tcBorders>
                  <w:vAlign w:val="center"/>
                </w:tcPr>
                <w:p>
                  <w:pPr>
                    <w:widowControl/>
                    <w:adjustRightInd w:val="0"/>
                    <w:snapToGrid w:val="0"/>
                    <w:jc w:val="center"/>
                    <w:textAlignment w:val="center"/>
                    <w:rPr>
                      <w:color w:val="auto"/>
                      <w:szCs w:val="21"/>
                    </w:rPr>
                  </w:pPr>
                  <w:r>
                    <w:rPr>
                      <w:color w:val="auto"/>
                      <w:szCs w:val="21"/>
                    </w:rPr>
                    <w:t>3200</w:t>
                  </w:r>
                </w:p>
              </w:tc>
              <w:tc>
                <w:tcPr>
                  <w:tcW w:w="916" w:type="pct"/>
                  <w:tcBorders>
                    <w:tl2br w:val="nil"/>
                    <w:tr2bl w:val="nil"/>
                  </w:tcBorders>
                  <w:vAlign w:val="center"/>
                </w:tcPr>
                <w:p>
                  <w:pPr>
                    <w:adjustRightInd w:val="0"/>
                    <w:snapToGrid w:val="0"/>
                    <w:jc w:val="center"/>
                    <w:rPr>
                      <w:color w:val="auto"/>
                      <w:szCs w:val="21"/>
                    </w:rPr>
                  </w:pPr>
                  <w:r>
                    <w:rPr>
                      <w:color w:val="auto"/>
                      <w:szCs w:val="21"/>
                    </w:rPr>
                    <w:t>粉料，外购</w:t>
                  </w:r>
                </w:p>
              </w:tc>
              <w:tc>
                <w:tcPr>
                  <w:tcW w:w="1016" w:type="pct"/>
                  <w:tcBorders>
                    <w:tl2br w:val="nil"/>
                    <w:tr2bl w:val="nil"/>
                  </w:tcBorders>
                  <w:vAlign w:val="center"/>
                </w:tcPr>
                <w:p>
                  <w:pPr>
                    <w:adjustRightInd w:val="0"/>
                    <w:snapToGrid w:val="0"/>
                    <w:jc w:val="center"/>
                    <w:rPr>
                      <w:color w:val="auto"/>
                      <w:szCs w:val="21"/>
                    </w:rPr>
                  </w:pPr>
                  <w:r>
                    <w:rPr>
                      <w:color w:val="auto"/>
                      <w:szCs w:val="21"/>
                    </w:rPr>
                    <w:t>封闭罐车运输，筒仓储存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25" w:type="pct"/>
                  <w:vMerge w:val="continue"/>
                  <w:tcBorders>
                    <w:tl2br w:val="nil"/>
                    <w:tr2bl w:val="nil"/>
                  </w:tcBorders>
                  <w:vAlign w:val="center"/>
                </w:tcPr>
                <w:p>
                  <w:pPr>
                    <w:adjustRightInd w:val="0"/>
                    <w:snapToGrid w:val="0"/>
                    <w:jc w:val="center"/>
                    <w:rPr>
                      <w:color w:val="auto"/>
                      <w:szCs w:val="21"/>
                    </w:rPr>
                  </w:pPr>
                </w:p>
              </w:tc>
              <w:tc>
                <w:tcPr>
                  <w:tcW w:w="714" w:type="pct"/>
                  <w:tcBorders>
                    <w:tl2br w:val="nil"/>
                    <w:tr2bl w:val="nil"/>
                  </w:tcBorders>
                  <w:vAlign w:val="center"/>
                </w:tcPr>
                <w:p>
                  <w:pPr>
                    <w:adjustRightInd w:val="0"/>
                    <w:snapToGrid w:val="0"/>
                    <w:jc w:val="center"/>
                    <w:rPr>
                      <w:color w:val="auto"/>
                      <w:szCs w:val="21"/>
                    </w:rPr>
                  </w:pPr>
                  <w:r>
                    <w:rPr>
                      <w:color w:val="auto"/>
                      <w:szCs w:val="21"/>
                    </w:rPr>
                    <w:t>砂</w:t>
                  </w:r>
                </w:p>
              </w:tc>
              <w:tc>
                <w:tcPr>
                  <w:tcW w:w="836" w:type="pct"/>
                  <w:tcBorders>
                    <w:tl2br w:val="nil"/>
                    <w:tr2bl w:val="nil"/>
                  </w:tcBorders>
                  <w:vAlign w:val="center"/>
                </w:tcPr>
                <w:p>
                  <w:pPr>
                    <w:adjustRightInd w:val="0"/>
                    <w:snapToGrid w:val="0"/>
                    <w:jc w:val="center"/>
                    <w:rPr>
                      <w:rFonts w:eastAsia="TimesNewRomanPSMT"/>
                      <w:color w:val="auto"/>
                      <w:szCs w:val="21"/>
                    </w:rPr>
                  </w:pPr>
                  <w:r>
                    <w:rPr>
                      <w:rFonts w:eastAsia="TimesNewRomanPSMT"/>
                      <w:color w:val="auto"/>
                      <w:szCs w:val="21"/>
                    </w:rPr>
                    <w:t>t/a</w:t>
                  </w:r>
                </w:p>
              </w:tc>
              <w:tc>
                <w:tcPr>
                  <w:tcW w:w="890" w:type="pct"/>
                  <w:tcBorders>
                    <w:tl2br w:val="nil"/>
                    <w:tr2bl w:val="nil"/>
                  </w:tcBorders>
                  <w:vAlign w:val="center"/>
                </w:tcPr>
                <w:p>
                  <w:pPr>
                    <w:widowControl/>
                    <w:adjustRightInd w:val="0"/>
                    <w:snapToGrid w:val="0"/>
                    <w:jc w:val="center"/>
                    <w:textAlignment w:val="center"/>
                    <w:rPr>
                      <w:color w:val="auto"/>
                      <w:szCs w:val="21"/>
                    </w:rPr>
                  </w:pPr>
                  <w:r>
                    <w:rPr>
                      <w:color w:val="auto"/>
                      <w:szCs w:val="21"/>
                    </w:rPr>
                    <w:t>32800</w:t>
                  </w:r>
                </w:p>
              </w:tc>
              <w:tc>
                <w:tcPr>
                  <w:tcW w:w="916" w:type="pct"/>
                  <w:tcBorders>
                    <w:tl2br w:val="nil"/>
                    <w:tr2bl w:val="nil"/>
                  </w:tcBorders>
                  <w:vAlign w:val="center"/>
                </w:tcPr>
                <w:p>
                  <w:pPr>
                    <w:adjustRightInd w:val="0"/>
                    <w:snapToGrid w:val="0"/>
                    <w:jc w:val="center"/>
                    <w:rPr>
                      <w:color w:val="auto"/>
                      <w:szCs w:val="21"/>
                    </w:rPr>
                  </w:pPr>
                  <w:r>
                    <w:rPr>
                      <w:color w:val="auto"/>
                      <w:szCs w:val="21"/>
                    </w:rPr>
                    <w:t>外购</w:t>
                  </w:r>
                </w:p>
              </w:tc>
              <w:tc>
                <w:tcPr>
                  <w:tcW w:w="1016" w:type="pct"/>
                  <w:tcBorders>
                    <w:tl2br w:val="nil"/>
                    <w:tr2bl w:val="nil"/>
                  </w:tcBorders>
                  <w:vAlign w:val="center"/>
                </w:tcPr>
                <w:p>
                  <w:pPr>
                    <w:adjustRightInd w:val="0"/>
                    <w:snapToGrid w:val="0"/>
                    <w:jc w:val="center"/>
                    <w:rPr>
                      <w:color w:val="auto"/>
                      <w:szCs w:val="21"/>
                    </w:rPr>
                  </w:pPr>
                  <w:r>
                    <w:rPr>
                      <w:color w:val="auto"/>
                      <w:szCs w:val="21"/>
                    </w:rPr>
                    <w:t>汽车运输，原料堆场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25" w:type="pct"/>
                  <w:vMerge w:val="continue"/>
                  <w:tcBorders>
                    <w:tl2br w:val="nil"/>
                    <w:tr2bl w:val="nil"/>
                  </w:tcBorders>
                  <w:vAlign w:val="center"/>
                </w:tcPr>
                <w:p>
                  <w:pPr>
                    <w:adjustRightInd w:val="0"/>
                    <w:snapToGrid w:val="0"/>
                    <w:jc w:val="center"/>
                    <w:rPr>
                      <w:color w:val="auto"/>
                      <w:szCs w:val="21"/>
                    </w:rPr>
                  </w:pPr>
                </w:p>
              </w:tc>
              <w:tc>
                <w:tcPr>
                  <w:tcW w:w="714" w:type="pct"/>
                  <w:tcBorders>
                    <w:tl2br w:val="nil"/>
                    <w:tr2bl w:val="nil"/>
                  </w:tcBorders>
                  <w:vAlign w:val="center"/>
                </w:tcPr>
                <w:p>
                  <w:pPr>
                    <w:adjustRightInd w:val="0"/>
                    <w:snapToGrid w:val="0"/>
                    <w:jc w:val="center"/>
                    <w:rPr>
                      <w:color w:val="auto"/>
                      <w:szCs w:val="21"/>
                    </w:rPr>
                  </w:pPr>
                  <w:r>
                    <w:rPr>
                      <w:color w:val="auto"/>
                      <w:szCs w:val="21"/>
                    </w:rPr>
                    <w:t>碎石</w:t>
                  </w:r>
                </w:p>
              </w:tc>
              <w:tc>
                <w:tcPr>
                  <w:tcW w:w="836" w:type="pct"/>
                  <w:tcBorders>
                    <w:tl2br w:val="nil"/>
                    <w:tr2bl w:val="nil"/>
                  </w:tcBorders>
                  <w:vAlign w:val="center"/>
                </w:tcPr>
                <w:p>
                  <w:pPr>
                    <w:adjustRightInd w:val="0"/>
                    <w:snapToGrid w:val="0"/>
                    <w:jc w:val="center"/>
                    <w:rPr>
                      <w:color w:val="auto"/>
                      <w:szCs w:val="21"/>
                    </w:rPr>
                  </w:pPr>
                  <w:r>
                    <w:rPr>
                      <w:rFonts w:eastAsia="TimesNewRomanPSMT"/>
                      <w:color w:val="auto"/>
                      <w:szCs w:val="21"/>
                    </w:rPr>
                    <w:t>t/a</w:t>
                  </w:r>
                </w:p>
              </w:tc>
              <w:tc>
                <w:tcPr>
                  <w:tcW w:w="890" w:type="pct"/>
                  <w:tcBorders>
                    <w:tl2br w:val="nil"/>
                    <w:tr2bl w:val="nil"/>
                  </w:tcBorders>
                  <w:vAlign w:val="center"/>
                </w:tcPr>
                <w:p>
                  <w:pPr>
                    <w:widowControl/>
                    <w:adjustRightInd w:val="0"/>
                    <w:snapToGrid w:val="0"/>
                    <w:jc w:val="center"/>
                    <w:textAlignment w:val="center"/>
                    <w:rPr>
                      <w:color w:val="auto"/>
                      <w:szCs w:val="21"/>
                    </w:rPr>
                  </w:pPr>
                  <w:r>
                    <w:rPr>
                      <w:color w:val="auto"/>
                      <w:szCs w:val="21"/>
                    </w:rPr>
                    <w:t>41600</w:t>
                  </w:r>
                </w:p>
              </w:tc>
              <w:tc>
                <w:tcPr>
                  <w:tcW w:w="916" w:type="pct"/>
                  <w:tcBorders>
                    <w:tl2br w:val="nil"/>
                    <w:tr2bl w:val="nil"/>
                  </w:tcBorders>
                  <w:vAlign w:val="center"/>
                </w:tcPr>
                <w:p>
                  <w:pPr>
                    <w:adjustRightInd w:val="0"/>
                    <w:snapToGrid w:val="0"/>
                    <w:jc w:val="center"/>
                    <w:rPr>
                      <w:color w:val="auto"/>
                      <w:szCs w:val="21"/>
                    </w:rPr>
                  </w:pPr>
                  <w:r>
                    <w:rPr>
                      <w:color w:val="auto"/>
                      <w:szCs w:val="21"/>
                    </w:rPr>
                    <w:t>外购</w:t>
                  </w:r>
                </w:p>
              </w:tc>
              <w:tc>
                <w:tcPr>
                  <w:tcW w:w="1016" w:type="pct"/>
                  <w:tcBorders>
                    <w:tl2br w:val="nil"/>
                    <w:tr2bl w:val="nil"/>
                  </w:tcBorders>
                  <w:vAlign w:val="center"/>
                </w:tcPr>
                <w:p>
                  <w:pPr>
                    <w:adjustRightInd w:val="0"/>
                    <w:snapToGrid w:val="0"/>
                    <w:jc w:val="center"/>
                    <w:rPr>
                      <w:color w:val="auto"/>
                      <w:szCs w:val="21"/>
                    </w:rPr>
                  </w:pPr>
                  <w:r>
                    <w:rPr>
                      <w:color w:val="auto"/>
                      <w:szCs w:val="21"/>
                    </w:rPr>
                    <w:t>汽车运输，原料堆场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25" w:type="pct"/>
                  <w:vMerge w:val="restart"/>
                  <w:tcBorders>
                    <w:tl2br w:val="nil"/>
                    <w:tr2bl w:val="nil"/>
                  </w:tcBorders>
                  <w:vAlign w:val="center"/>
                </w:tcPr>
                <w:p>
                  <w:pPr>
                    <w:adjustRightInd w:val="0"/>
                    <w:snapToGrid w:val="0"/>
                    <w:jc w:val="center"/>
                    <w:rPr>
                      <w:color w:val="auto"/>
                      <w:szCs w:val="21"/>
                    </w:rPr>
                  </w:pPr>
                  <w:r>
                    <w:rPr>
                      <w:color w:val="auto"/>
                      <w:szCs w:val="21"/>
                    </w:rPr>
                    <w:t>能源</w:t>
                  </w:r>
                </w:p>
              </w:tc>
              <w:tc>
                <w:tcPr>
                  <w:tcW w:w="714" w:type="pct"/>
                  <w:tcBorders>
                    <w:tl2br w:val="nil"/>
                    <w:tr2bl w:val="nil"/>
                  </w:tcBorders>
                  <w:vAlign w:val="center"/>
                </w:tcPr>
                <w:p>
                  <w:pPr>
                    <w:adjustRightInd w:val="0"/>
                    <w:snapToGrid w:val="0"/>
                    <w:jc w:val="center"/>
                    <w:rPr>
                      <w:color w:val="auto"/>
                      <w:szCs w:val="21"/>
                    </w:rPr>
                  </w:pPr>
                  <w:r>
                    <w:rPr>
                      <w:color w:val="auto"/>
                      <w:szCs w:val="21"/>
                    </w:rPr>
                    <w:t>电力</w:t>
                  </w:r>
                </w:p>
              </w:tc>
              <w:tc>
                <w:tcPr>
                  <w:tcW w:w="836" w:type="pct"/>
                  <w:tcBorders>
                    <w:tl2br w:val="nil"/>
                    <w:tr2bl w:val="nil"/>
                  </w:tcBorders>
                  <w:vAlign w:val="center"/>
                </w:tcPr>
                <w:p>
                  <w:pPr>
                    <w:adjustRightInd w:val="0"/>
                    <w:snapToGrid w:val="0"/>
                    <w:jc w:val="center"/>
                    <w:rPr>
                      <w:color w:val="auto"/>
                      <w:szCs w:val="21"/>
                    </w:rPr>
                  </w:pPr>
                  <w:r>
                    <w:rPr>
                      <w:color w:val="auto"/>
                      <w:szCs w:val="21"/>
                    </w:rPr>
                    <w:t>万</w:t>
                  </w:r>
                  <w:r>
                    <w:rPr>
                      <w:rFonts w:eastAsia="TimesNewRomanPSMT"/>
                      <w:color w:val="auto"/>
                      <w:szCs w:val="21"/>
                    </w:rPr>
                    <w:t>k</w:t>
                  </w:r>
                  <w:r>
                    <w:rPr>
                      <w:color w:val="auto"/>
                      <w:szCs w:val="21"/>
                    </w:rPr>
                    <w:t>W</w:t>
                  </w:r>
                  <w:r>
                    <w:rPr>
                      <w:rFonts w:eastAsia="TimesNewRomanPSMT"/>
                      <w:color w:val="auto"/>
                      <w:szCs w:val="21"/>
                    </w:rPr>
                    <w:t>·h/a</w:t>
                  </w:r>
                </w:p>
              </w:tc>
              <w:tc>
                <w:tcPr>
                  <w:tcW w:w="890" w:type="pct"/>
                  <w:tcBorders>
                    <w:tl2br w:val="nil"/>
                    <w:tr2bl w:val="nil"/>
                  </w:tcBorders>
                  <w:vAlign w:val="center"/>
                </w:tcPr>
                <w:p>
                  <w:pPr>
                    <w:adjustRightInd w:val="0"/>
                    <w:snapToGrid w:val="0"/>
                    <w:jc w:val="center"/>
                    <w:rPr>
                      <w:color w:val="auto"/>
                      <w:szCs w:val="21"/>
                    </w:rPr>
                  </w:pPr>
                  <w:r>
                    <w:rPr>
                      <w:color w:val="auto"/>
                      <w:szCs w:val="21"/>
                    </w:rPr>
                    <w:t>12.5</w:t>
                  </w:r>
                </w:p>
              </w:tc>
              <w:tc>
                <w:tcPr>
                  <w:tcW w:w="1932" w:type="pct"/>
                  <w:gridSpan w:val="2"/>
                  <w:tcBorders>
                    <w:tl2br w:val="nil"/>
                    <w:tr2bl w:val="nil"/>
                  </w:tcBorders>
                  <w:vAlign w:val="center"/>
                </w:tcPr>
                <w:p>
                  <w:pPr>
                    <w:adjustRightInd w:val="0"/>
                    <w:snapToGrid w:val="0"/>
                    <w:jc w:val="center"/>
                    <w:rPr>
                      <w:color w:val="auto"/>
                      <w:szCs w:val="21"/>
                    </w:rPr>
                  </w:pPr>
                  <w:r>
                    <w:rPr>
                      <w:color w:val="auto"/>
                      <w:szCs w:val="21"/>
                    </w:rPr>
                    <w:t>当地电网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25" w:type="pct"/>
                  <w:vMerge w:val="continue"/>
                  <w:tcBorders>
                    <w:tl2br w:val="nil"/>
                    <w:tr2bl w:val="nil"/>
                  </w:tcBorders>
                  <w:vAlign w:val="center"/>
                </w:tcPr>
                <w:p>
                  <w:pPr>
                    <w:adjustRightInd w:val="0"/>
                    <w:snapToGrid w:val="0"/>
                    <w:jc w:val="center"/>
                    <w:rPr>
                      <w:color w:val="auto"/>
                      <w:szCs w:val="21"/>
                    </w:rPr>
                  </w:pPr>
                </w:p>
              </w:tc>
              <w:tc>
                <w:tcPr>
                  <w:tcW w:w="714" w:type="pct"/>
                  <w:tcBorders>
                    <w:tl2br w:val="nil"/>
                    <w:tr2bl w:val="nil"/>
                  </w:tcBorders>
                  <w:vAlign w:val="center"/>
                </w:tcPr>
                <w:p>
                  <w:pPr>
                    <w:adjustRightInd w:val="0"/>
                    <w:snapToGrid w:val="0"/>
                    <w:jc w:val="center"/>
                    <w:rPr>
                      <w:color w:val="auto"/>
                      <w:szCs w:val="21"/>
                    </w:rPr>
                  </w:pPr>
                  <w:r>
                    <w:rPr>
                      <w:color w:val="auto"/>
                      <w:szCs w:val="21"/>
                    </w:rPr>
                    <w:t>水</w:t>
                  </w:r>
                </w:p>
              </w:tc>
              <w:tc>
                <w:tcPr>
                  <w:tcW w:w="836" w:type="pct"/>
                  <w:tcBorders>
                    <w:tl2br w:val="nil"/>
                    <w:tr2bl w:val="nil"/>
                  </w:tcBorders>
                  <w:vAlign w:val="center"/>
                </w:tcPr>
                <w:p>
                  <w:pPr>
                    <w:adjustRightInd w:val="0"/>
                    <w:snapToGrid w:val="0"/>
                    <w:jc w:val="center"/>
                    <w:rPr>
                      <w:color w:val="auto"/>
                      <w:szCs w:val="21"/>
                    </w:rPr>
                  </w:pPr>
                  <w:r>
                    <w:rPr>
                      <w:color w:val="auto"/>
                      <w:szCs w:val="21"/>
                    </w:rPr>
                    <w:t>t</w:t>
                  </w:r>
                  <w:r>
                    <w:rPr>
                      <w:rFonts w:eastAsia="TimesNewRomanPSMT"/>
                      <w:color w:val="auto"/>
                      <w:szCs w:val="21"/>
                    </w:rPr>
                    <w:t>/a</w:t>
                  </w:r>
                </w:p>
              </w:tc>
              <w:tc>
                <w:tcPr>
                  <w:tcW w:w="890" w:type="pct"/>
                  <w:tcBorders>
                    <w:tl2br w:val="nil"/>
                    <w:tr2bl w:val="nil"/>
                  </w:tcBorders>
                  <w:vAlign w:val="center"/>
                </w:tcPr>
                <w:p>
                  <w:pPr>
                    <w:adjustRightInd w:val="0"/>
                    <w:snapToGrid w:val="0"/>
                    <w:jc w:val="center"/>
                    <w:rPr>
                      <w:rFonts w:hint="default" w:eastAsia="宋体"/>
                      <w:color w:val="auto"/>
                      <w:szCs w:val="21"/>
                      <w:lang w:val="en-US" w:eastAsia="zh-CN"/>
                    </w:rPr>
                  </w:pPr>
                  <w:r>
                    <w:rPr>
                      <w:rFonts w:hint="eastAsia"/>
                      <w:color w:val="auto"/>
                      <w:kern w:val="0"/>
                      <w:szCs w:val="21"/>
                      <w:lang w:val="en-US" w:eastAsia="zh-CN"/>
                    </w:rPr>
                    <w:t>3525</w:t>
                  </w:r>
                </w:p>
              </w:tc>
              <w:tc>
                <w:tcPr>
                  <w:tcW w:w="1932" w:type="pct"/>
                  <w:gridSpan w:val="2"/>
                  <w:tcBorders>
                    <w:tl2br w:val="nil"/>
                    <w:tr2bl w:val="nil"/>
                  </w:tcBorders>
                  <w:vAlign w:val="center"/>
                </w:tcPr>
                <w:p>
                  <w:pPr>
                    <w:adjustRightInd w:val="0"/>
                    <w:snapToGrid w:val="0"/>
                    <w:jc w:val="center"/>
                    <w:rPr>
                      <w:color w:val="auto"/>
                      <w:szCs w:val="21"/>
                    </w:rPr>
                  </w:pPr>
                  <w:r>
                    <w:rPr>
                      <w:color w:val="auto"/>
                      <w:szCs w:val="21"/>
                    </w:rPr>
                    <w:t>自来水</w:t>
                  </w:r>
                </w:p>
              </w:tc>
            </w:tr>
          </w:tbl>
          <w:p>
            <w:pPr>
              <w:adjustRightInd w:val="0"/>
              <w:snapToGrid w:val="0"/>
              <w:spacing w:line="360" w:lineRule="auto"/>
              <w:ind w:firstLine="482" w:firstLineChars="200"/>
              <w:jc w:val="left"/>
              <w:rPr>
                <w:rFonts w:eastAsia="黑体"/>
                <w:color w:val="auto"/>
                <w:sz w:val="24"/>
              </w:rPr>
            </w:pPr>
            <w:r>
              <w:rPr>
                <w:b/>
                <w:bCs/>
                <w:color w:val="auto"/>
                <w:sz w:val="24"/>
              </w:rPr>
              <w:t>项目原辅材料特性说明：</w:t>
            </w:r>
          </w:p>
          <w:p>
            <w:pPr>
              <w:widowControl/>
              <w:adjustRightInd w:val="0"/>
              <w:snapToGrid w:val="0"/>
              <w:spacing w:line="360" w:lineRule="auto"/>
              <w:ind w:firstLine="480" w:firstLineChars="200"/>
              <w:jc w:val="left"/>
              <w:rPr>
                <w:b/>
                <w:bCs/>
                <w:color w:val="auto"/>
                <w:kern w:val="0"/>
                <w:sz w:val="24"/>
              </w:rPr>
            </w:pPr>
            <w:r>
              <w:rPr>
                <w:rFonts w:eastAsia="黑体"/>
                <w:color w:val="auto"/>
                <w:sz w:val="24"/>
              </w:rPr>
              <w:t>水泥：</w:t>
            </w:r>
            <w:r>
              <w:rPr>
                <w:rFonts w:eastAsiaTheme="minorEastAsia"/>
                <w:color w:val="auto"/>
                <w:sz w:val="24"/>
              </w:rPr>
              <w:t>主要成分名称、化学式依次为硅酸</w:t>
            </w:r>
            <w:r>
              <w:rPr>
                <w:rFonts w:eastAsiaTheme="minorEastAsia"/>
                <w:color w:val="auto"/>
                <w:sz w:val="24"/>
                <w:szCs w:val="24"/>
              </w:rPr>
              <w:t>三钙</w:t>
            </w:r>
            <w:r>
              <w:rPr>
                <w:rFonts w:hint="eastAsia" w:eastAsiaTheme="minorEastAsia"/>
                <w:color w:val="auto"/>
                <w:sz w:val="24"/>
                <w:szCs w:val="24"/>
              </w:rPr>
              <w:t>Ca</w:t>
            </w:r>
            <w:r>
              <w:rPr>
                <w:rFonts w:hint="eastAsia" w:eastAsiaTheme="minorEastAsia"/>
                <w:color w:val="auto"/>
                <w:sz w:val="24"/>
                <w:szCs w:val="24"/>
                <w:vertAlign w:val="subscript"/>
                <w:lang w:val="en-US" w:eastAsia="zh-CN"/>
              </w:rPr>
              <w:t>3</w:t>
            </w:r>
            <w:r>
              <w:rPr>
                <w:rFonts w:hint="eastAsia" w:eastAsiaTheme="minorEastAsia"/>
                <w:color w:val="auto"/>
                <w:sz w:val="24"/>
                <w:szCs w:val="24"/>
              </w:rPr>
              <w:t>SiO</w:t>
            </w:r>
            <w:r>
              <w:rPr>
                <w:rFonts w:hint="eastAsia" w:eastAsiaTheme="minorEastAsia"/>
                <w:color w:val="auto"/>
                <w:sz w:val="24"/>
                <w:szCs w:val="24"/>
                <w:vertAlign w:val="subscript"/>
                <w:lang w:val="en-US" w:eastAsia="zh-CN"/>
              </w:rPr>
              <w:t>5</w:t>
            </w:r>
            <w:r>
              <w:rPr>
                <w:rFonts w:eastAsiaTheme="minorEastAsia"/>
                <w:color w:val="auto"/>
                <w:sz w:val="24"/>
                <w:szCs w:val="24"/>
              </w:rPr>
              <w:t>、硅酸二钙</w:t>
            </w:r>
            <w:r>
              <w:rPr>
                <w:rFonts w:hint="default" w:ascii="Times New Roman" w:hAnsi="Times New Roman" w:eastAsia="Helvetica" w:cs="Times New Roman"/>
                <w:i w:val="0"/>
                <w:iCs w:val="0"/>
                <w:caps w:val="0"/>
                <w:color w:val="auto"/>
                <w:spacing w:val="0"/>
                <w:sz w:val="24"/>
                <w:szCs w:val="24"/>
                <w:shd w:val="clear" w:fill="FFFFFF"/>
              </w:rPr>
              <w:t>Ca</w:t>
            </w:r>
            <w:r>
              <w:rPr>
                <w:rFonts w:hint="default" w:ascii="Times New Roman" w:hAnsi="Times New Roman" w:eastAsia="Helvetica" w:cs="Times New Roman"/>
                <w:i w:val="0"/>
                <w:iCs w:val="0"/>
                <w:caps w:val="0"/>
                <w:color w:val="auto"/>
                <w:spacing w:val="0"/>
                <w:sz w:val="24"/>
                <w:szCs w:val="24"/>
                <w:shd w:val="clear" w:fill="FFFFFF"/>
                <w:vertAlign w:val="subscript"/>
              </w:rPr>
              <w:t>2</w:t>
            </w:r>
            <w:r>
              <w:rPr>
                <w:rFonts w:hint="default" w:ascii="Times New Roman" w:hAnsi="Times New Roman" w:eastAsia="Helvetica" w:cs="Times New Roman"/>
                <w:i w:val="0"/>
                <w:iCs w:val="0"/>
                <w:caps w:val="0"/>
                <w:color w:val="auto"/>
                <w:spacing w:val="0"/>
                <w:sz w:val="24"/>
                <w:szCs w:val="24"/>
                <w:shd w:val="clear" w:fill="FFFFFF"/>
              </w:rPr>
              <w:t>O</w:t>
            </w:r>
            <w:r>
              <w:rPr>
                <w:rFonts w:hint="default" w:ascii="Times New Roman" w:hAnsi="Times New Roman" w:eastAsia="Helvetica" w:cs="Times New Roman"/>
                <w:i w:val="0"/>
                <w:iCs w:val="0"/>
                <w:caps w:val="0"/>
                <w:color w:val="auto"/>
                <w:spacing w:val="0"/>
                <w:sz w:val="24"/>
                <w:szCs w:val="24"/>
                <w:shd w:val="clear" w:fill="FFFFFF"/>
                <w:vertAlign w:val="subscript"/>
              </w:rPr>
              <w:t>6</w:t>
            </w:r>
            <w:r>
              <w:rPr>
                <w:rFonts w:hint="default" w:ascii="Times New Roman" w:hAnsi="Times New Roman" w:eastAsia="Helvetica" w:cs="Times New Roman"/>
                <w:i w:val="0"/>
                <w:iCs w:val="0"/>
                <w:caps w:val="0"/>
                <w:color w:val="auto"/>
                <w:spacing w:val="0"/>
                <w:sz w:val="24"/>
                <w:szCs w:val="24"/>
                <w:shd w:val="clear" w:fill="FFFFFF"/>
              </w:rPr>
              <w:t>Si</w:t>
            </w:r>
            <w:r>
              <w:rPr>
                <w:rFonts w:hint="default" w:ascii="Times New Roman" w:hAnsi="Times New Roman" w:eastAsia="Helvetica" w:cs="Times New Roman"/>
                <w:i w:val="0"/>
                <w:iCs w:val="0"/>
                <w:caps w:val="0"/>
                <w:color w:val="auto"/>
                <w:spacing w:val="0"/>
                <w:sz w:val="24"/>
                <w:szCs w:val="24"/>
                <w:shd w:val="clear" w:fill="FFFFFF"/>
                <w:vertAlign w:val="subscript"/>
              </w:rPr>
              <w:t>2</w:t>
            </w:r>
            <w:r>
              <w:rPr>
                <w:rFonts w:eastAsiaTheme="minorEastAsia"/>
                <w:color w:val="auto"/>
                <w:sz w:val="24"/>
                <w:szCs w:val="24"/>
              </w:rPr>
              <w:t>、铝</w:t>
            </w:r>
            <w:r>
              <w:rPr>
                <w:rFonts w:eastAsiaTheme="minorEastAsia"/>
                <w:color w:val="auto"/>
                <w:sz w:val="24"/>
              </w:rPr>
              <w:t>酸三钙</w:t>
            </w:r>
            <w:r>
              <w:rPr>
                <w:rFonts w:hint="eastAsia" w:eastAsiaTheme="minorEastAsia"/>
                <w:color w:val="auto"/>
                <w:sz w:val="24"/>
              </w:rPr>
              <w:t>Ca</w:t>
            </w:r>
            <w:r>
              <w:rPr>
                <w:rFonts w:hint="eastAsia" w:eastAsiaTheme="minorEastAsia"/>
                <w:color w:val="auto"/>
                <w:sz w:val="24"/>
                <w:vertAlign w:val="subscript"/>
              </w:rPr>
              <w:t>3</w:t>
            </w:r>
            <w:r>
              <w:rPr>
                <w:rFonts w:hint="eastAsia" w:eastAsiaTheme="minorEastAsia"/>
                <w:color w:val="auto"/>
                <w:sz w:val="24"/>
              </w:rPr>
              <w:t>Al</w:t>
            </w:r>
            <w:r>
              <w:rPr>
                <w:rFonts w:hint="eastAsia" w:eastAsiaTheme="minorEastAsia"/>
                <w:color w:val="auto"/>
                <w:sz w:val="24"/>
                <w:vertAlign w:val="subscript"/>
              </w:rPr>
              <w:t>2</w:t>
            </w:r>
            <w:r>
              <w:rPr>
                <w:rFonts w:hint="eastAsia" w:eastAsiaTheme="minorEastAsia"/>
                <w:color w:val="auto"/>
                <w:sz w:val="24"/>
              </w:rPr>
              <w:t>O</w:t>
            </w:r>
            <w:r>
              <w:rPr>
                <w:rFonts w:hint="eastAsia" w:eastAsiaTheme="minorEastAsia"/>
                <w:color w:val="auto"/>
                <w:sz w:val="24"/>
                <w:vertAlign w:val="subscript"/>
              </w:rPr>
              <w:t>6</w:t>
            </w:r>
            <w:r>
              <w:rPr>
                <w:rFonts w:eastAsiaTheme="minorEastAsia"/>
                <w:color w:val="auto"/>
                <w:sz w:val="24"/>
              </w:rPr>
              <w:t>、石膏等成分</w:t>
            </w:r>
            <w:r>
              <w:rPr>
                <w:color w:val="auto"/>
                <w:sz w:val="24"/>
              </w:rPr>
              <w:t>，</w:t>
            </w:r>
            <w:r>
              <w:rPr>
                <w:rFonts w:eastAsiaTheme="minorEastAsia"/>
                <w:color w:val="auto"/>
                <w:sz w:val="24"/>
              </w:rPr>
              <w:t>其质量要求满足《通用硅酸盐水泥》(GB175-2007）标准。水泥在生产加工过程中提供钙质材料</w:t>
            </w:r>
            <w:r>
              <w:rPr>
                <w:color w:val="auto"/>
                <w:sz w:val="24"/>
              </w:rPr>
              <w:t>，</w:t>
            </w:r>
            <w:r>
              <w:rPr>
                <w:rFonts w:eastAsiaTheme="minorEastAsia"/>
                <w:color w:val="auto"/>
                <w:sz w:val="24"/>
              </w:rPr>
              <w:t>主要作用是保证浇注的稳定性</w:t>
            </w:r>
            <w:r>
              <w:rPr>
                <w:color w:val="auto"/>
                <w:sz w:val="24"/>
              </w:rPr>
              <w:t>，</w:t>
            </w:r>
            <w:r>
              <w:rPr>
                <w:rFonts w:eastAsiaTheme="minorEastAsia"/>
                <w:color w:val="auto"/>
                <w:sz w:val="24"/>
              </w:rPr>
              <w:t>加速坯体的硬化和切割时的坯体塑性强度</w:t>
            </w:r>
            <w:r>
              <w:rPr>
                <w:color w:val="auto"/>
                <w:sz w:val="24"/>
              </w:rPr>
              <w:t>，</w:t>
            </w:r>
            <w:r>
              <w:rPr>
                <w:rFonts w:eastAsiaTheme="minorEastAsia"/>
                <w:color w:val="auto"/>
                <w:sz w:val="24"/>
              </w:rPr>
              <w:t>水泥通过汽运方式输送至</w:t>
            </w:r>
            <w:r>
              <w:rPr>
                <w:color w:val="auto"/>
                <w:sz w:val="24"/>
              </w:rPr>
              <w:t>筒仓</w:t>
            </w:r>
            <w:r>
              <w:rPr>
                <w:rFonts w:eastAsiaTheme="minorEastAsia"/>
                <w:color w:val="auto"/>
                <w:sz w:val="24"/>
              </w:rPr>
              <w:t>。</w:t>
            </w:r>
          </w:p>
          <w:p>
            <w:pPr>
              <w:widowControl/>
              <w:adjustRightInd w:val="0"/>
              <w:snapToGrid w:val="0"/>
              <w:spacing w:line="360" w:lineRule="auto"/>
              <w:ind w:firstLine="482" w:firstLineChars="200"/>
              <w:jc w:val="left"/>
              <w:rPr>
                <w:b/>
                <w:bCs/>
                <w:color w:val="auto"/>
                <w:kern w:val="0"/>
                <w:sz w:val="24"/>
              </w:rPr>
            </w:pPr>
            <w:r>
              <w:rPr>
                <w:b/>
                <w:bCs/>
                <w:color w:val="auto"/>
                <w:kern w:val="0"/>
                <w:sz w:val="24"/>
              </w:rPr>
              <w:t>6、公用功能</w:t>
            </w:r>
          </w:p>
          <w:p>
            <w:pPr>
              <w:adjustRightInd w:val="0"/>
              <w:snapToGrid w:val="0"/>
              <w:spacing w:line="360" w:lineRule="auto"/>
              <w:ind w:firstLine="482" w:firstLineChars="200"/>
              <w:jc w:val="left"/>
              <w:rPr>
                <w:b/>
                <w:bCs/>
                <w:color w:val="auto"/>
                <w:sz w:val="24"/>
              </w:rPr>
            </w:pPr>
            <w:r>
              <w:rPr>
                <w:b/>
                <w:bCs/>
                <w:color w:val="auto"/>
                <w:sz w:val="24"/>
              </w:rPr>
              <w:t>（1）给水</w:t>
            </w:r>
          </w:p>
          <w:p>
            <w:pPr>
              <w:adjustRightInd w:val="0"/>
              <w:snapToGrid w:val="0"/>
              <w:spacing w:line="360" w:lineRule="auto"/>
              <w:ind w:firstLine="480" w:firstLineChars="200"/>
              <w:jc w:val="left"/>
              <w:rPr>
                <w:color w:val="auto"/>
                <w:sz w:val="24"/>
              </w:rPr>
            </w:pPr>
            <w:r>
              <w:rPr>
                <w:color w:val="auto"/>
                <w:sz w:val="24"/>
              </w:rPr>
              <w:t>项目生产用水和生活用水均来自自来水。</w:t>
            </w:r>
          </w:p>
          <w:p>
            <w:pPr>
              <w:adjustRightInd w:val="0"/>
              <w:snapToGrid w:val="0"/>
              <w:spacing w:line="360" w:lineRule="auto"/>
              <w:ind w:firstLine="480" w:firstLineChars="200"/>
              <w:rPr>
                <w:bCs/>
                <w:color w:val="auto"/>
                <w:kern w:val="0"/>
                <w:sz w:val="24"/>
              </w:rPr>
            </w:pPr>
            <w:r>
              <w:rPr>
                <w:bCs/>
                <w:color w:val="auto"/>
                <w:kern w:val="0"/>
                <w:sz w:val="24"/>
              </w:rPr>
              <w:t>1）生活用水</w:t>
            </w:r>
          </w:p>
          <w:p>
            <w:pPr>
              <w:adjustRightInd w:val="0"/>
              <w:snapToGrid w:val="0"/>
              <w:spacing w:line="360" w:lineRule="auto"/>
              <w:ind w:firstLine="480" w:firstLineChars="200"/>
              <w:rPr>
                <w:b/>
                <w:color w:val="auto"/>
                <w:kern w:val="0"/>
                <w:sz w:val="24"/>
              </w:rPr>
            </w:pPr>
            <w:r>
              <w:rPr>
                <w:bCs/>
                <w:color w:val="auto"/>
                <w:kern w:val="0"/>
                <w:sz w:val="24"/>
              </w:rPr>
              <w:t>根据业主提供资料，项目营运期劳动定员共15人，营运期年工作300天，项目不提供员工住宿，根据《建筑给水排水设计标准》（GB50015-2019），项目营运期员工生活用水按坐班制办公计，生活用水量按30~50L/人·d计，本次取50L/人·天，则项目营运期工作人员生活用水量为0.75m</w:t>
            </w:r>
            <w:r>
              <w:rPr>
                <w:color w:val="auto"/>
                <w:sz w:val="24"/>
                <w:vertAlign w:val="superscript"/>
              </w:rPr>
              <w:t>3</w:t>
            </w:r>
            <w:r>
              <w:rPr>
                <w:bCs/>
                <w:color w:val="auto"/>
                <w:kern w:val="0"/>
                <w:sz w:val="24"/>
              </w:rPr>
              <w:t>/d，合225</w:t>
            </w:r>
            <w:r>
              <w:rPr>
                <w:color w:val="auto"/>
                <w:sz w:val="24"/>
              </w:rPr>
              <w:t>m</w:t>
            </w:r>
            <w:r>
              <w:rPr>
                <w:color w:val="auto"/>
                <w:sz w:val="24"/>
                <w:vertAlign w:val="superscript"/>
              </w:rPr>
              <w:t>3</w:t>
            </w:r>
            <w:r>
              <w:rPr>
                <w:bCs/>
                <w:color w:val="auto"/>
                <w:kern w:val="0"/>
                <w:sz w:val="24"/>
              </w:rPr>
              <w:t>/a。</w:t>
            </w:r>
          </w:p>
          <w:p>
            <w:pPr>
              <w:adjustRightInd w:val="0"/>
              <w:snapToGrid w:val="0"/>
              <w:spacing w:line="360" w:lineRule="auto"/>
              <w:ind w:firstLine="480" w:firstLineChars="200"/>
              <w:rPr>
                <w:bCs/>
                <w:color w:val="auto"/>
                <w:kern w:val="0"/>
                <w:sz w:val="24"/>
              </w:rPr>
            </w:pPr>
            <w:r>
              <w:rPr>
                <w:bCs/>
                <w:color w:val="auto"/>
                <w:kern w:val="0"/>
                <w:sz w:val="24"/>
              </w:rPr>
              <w:t>2）生产用水</w:t>
            </w:r>
          </w:p>
          <w:p>
            <w:pPr>
              <w:adjustRightInd w:val="0"/>
              <w:snapToGrid w:val="0"/>
              <w:spacing w:line="360" w:lineRule="auto"/>
              <w:ind w:firstLine="480" w:firstLineChars="200"/>
              <w:rPr>
                <w:bCs/>
                <w:color w:val="auto"/>
                <w:kern w:val="0"/>
                <w:sz w:val="24"/>
              </w:rPr>
            </w:pPr>
            <w:r>
              <w:rPr>
                <w:bCs/>
                <w:color w:val="auto"/>
                <w:kern w:val="0"/>
                <w:sz w:val="24"/>
              </w:rPr>
              <w:t>①产品用水</w:t>
            </w:r>
          </w:p>
          <w:p>
            <w:pPr>
              <w:adjustRightInd w:val="0"/>
              <w:snapToGrid w:val="0"/>
              <w:spacing w:line="360" w:lineRule="auto"/>
              <w:ind w:firstLine="480" w:firstLineChars="200"/>
              <w:rPr>
                <w:bCs/>
                <w:color w:val="auto"/>
                <w:kern w:val="0"/>
                <w:sz w:val="24"/>
              </w:rPr>
            </w:pPr>
            <w:r>
              <w:rPr>
                <w:color w:val="auto"/>
                <w:kern w:val="0"/>
                <w:sz w:val="24"/>
              </w:rPr>
              <w:t>根据建设单位提供产品配比，本项目水稳层用水为0.03m</w:t>
            </w:r>
            <w:r>
              <w:rPr>
                <w:color w:val="auto"/>
                <w:kern w:val="0"/>
                <w:sz w:val="24"/>
                <w:vertAlign w:val="superscript"/>
              </w:rPr>
              <w:t>3</w:t>
            </w:r>
            <w:r>
              <w:rPr>
                <w:color w:val="auto"/>
                <w:kern w:val="0"/>
                <w:sz w:val="24"/>
              </w:rPr>
              <w:t>/t，根据产品方案，本项目日产水稳层266.67t，则需产品用水8m</w:t>
            </w:r>
            <w:r>
              <w:rPr>
                <w:color w:val="auto"/>
                <w:kern w:val="0"/>
                <w:sz w:val="24"/>
                <w:vertAlign w:val="superscript"/>
              </w:rPr>
              <w:t>3</w:t>
            </w:r>
            <w:r>
              <w:rPr>
                <w:color w:val="auto"/>
                <w:kern w:val="0"/>
                <w:sz w:val="24"/>
              </w:rPr>
              <w:t>/d。</w:t>
            </w:r>
          </w:p>
          <w:p>
            <w:pPr>
              <w:adjustRightInd w:val="0"/>
              <w:snapToGrid w:val="0"/>
              <w:spacing w:line="360" w:lineRule="auto"/>
              <w:ind w:firstLine="480" w:firstLineChars="200"/>
              <w:jc w:val="left"/>
              <w:rPr>
                <w:bCs/>
                <w:color w:val="auto"/>
                <w:kern w:val="0"/>
                <w:sz w:val="24"/>
              </w:rPr>
            </w:pPr>
            <w:r>
              <w:rPr>
                <w:bCs/>
                <w:color w:val="auto"/>
                <w:kern w:val="0"/>
                <w:sz w:val="24"/>
              </w:rPr>
              <w:t>②喷雾降尘用水</w:t>
            </w:r>
          </w:p>
          <w:p>
            <w:pPr>
              <w:pStyle w:val="40"/>
              <w:adjustRightInd w:val="0"/>
              <w:snapToGrid w:val="0"/>
              <w:spacing w:after="0" w:line="360" w:lineRule="auto"/>
              <w:ind w:left="0" w:leftChars="0" w:firstLine="480"/>
              <w:rPr>
                <w:bCs/>
                <w:color w:val="auto"/>
                <w:sz w:val="24"/>
              </w:rPr>
            </w:pPr>
            <w:r>
              <w:rPr>
                <w:color w:val="auto"/>
                <w:sz w:val="24"/>
              </w:rPr>
              <w:t>根据建设单位提供资料，</w:t>
            </w:r>
            <w:r>
              <w:rPr>
                <w:bCs/>
                <w:color w:val="auto"/>
                <w:sz w:val="24"/>
              </w:rPr>
              <w:t>项目原料卸料过程、配料仓及运输道路均采取喷雾降尘，喷雾降尘用水量约为</w:t>
            </w:r>
            <w:r>
              <w:rPr>
                <w:rFonts w:hint="eastAsia"/>
                <w:bCs/>
                <w:color w:val="auto"/>
                <w:sz w:val="24"/>
                <w:lang w:val="en-US" w:eastAsia="zh-CN"/>
              </w:rPr>
              <w:t>2</w:t>
            </w:r>
            <w:r>
              <w:rPr>
                <w:bCs/>
                <w:color w:val="auto"/>
                <w:sz w:val="24"/>
              </w:rPr>
              <w:t>m</w:t>
            </w:r>
            <w:r>
              <w:rPr>
                <w:bCs/>
                <w:color w:val="auto"/>
                <w:sz w:val="24"/>
                <w:vertAlign w:val="superscript"/>
              </w:rPr>
              <w:t>3</w:t>
            </w:r>
            <w:r>
              <w:rPr>
                <w:bCs/>
                <w:color w:val="auto"/>
                <w:sz w:val="24"/>
              </w:rPr>
              <w:t>/d。</w:t>
            </w:r>
          </w:p>
          <w:p>
            <w:pPr>
              <w:adjustRightInd w:val="0"/>
              <w:snapToGrid w:val="0"/>
              <w:spacing w:line="360" w:lineRule="auto"/>
              <w:ind w:firstLine="480" w:firstLineChars="200"/>
              <w:jc w:val="left"/>
              <w:rPr>
                <w:color w:val="auto"/>
                <w:sz w:val="24"/>
              </w:rPr>
            </w:pPr>
            <w:r>
              <w:rPr>
                <w:color w:val="auto"/>
                <w:sz w:val="24"/>
              </w:rPr>
              <w:t>③搅拌设备、罐车、地面清洗用水</w:t>
            </w:r>
          </w:p>
          <w:p>
            <w:pPr>
              <w:adjustRightInd w:val="0"/>
              <w:snapToGrid w:val="0"/>
              <w:spacing w:line="360" w:lineRule="auto"/>
              <w:ind w:firstLine="480" w:firstLineChars="200"/>
              <w:jc w:val="left"/>
              <w:rPr>
                <w:color w:val="auto"/>
              </w:rPr>
            </w:pPr>
            <w:r>
              <w:rPr>
                <w:color w:val="auto"/>
                <w:kern w:val="0"/>
                <w:sz w:val="24"/>
              </w:rPr>
              <w:t>根据建设单位提供资料，本项目</w:t>
            </w:r>
            <w:r>
              <w:rPr>
                <w:color w:val="auto"/>
                <w:sz w:val="24"/>
              </w:rPr>
              <w:t>搅拌设备、罐车、地面清洗用水量约为</w:t>
            </w:r>
            <w:r>
              <w:rPr>
                <w:rFonts w:hint="eastAsia"/>
                <w:color w:val="auto"/>
                <w:sz w:val="24"/>
                <w:lang w:val="en-US" w:eastAsia="zh-CN"/>
              </w:rPr>
              <w:t>5</w:t>
            </w:r>
            <w:r>
              <w:rPr>
                <w:color w:val="auto"/>
                <w:sz w:val="24"/>
              </w:rPr>
              <w:t>m</w:t>
            </w:r>
            <w:r>
              <w:rPr>
                <w:color w:val="auto"/>
                <w:sz w:val="24"/>
                <w:vertAlign w:val="superscript"/>
              </w:rPr>
              <w:t>3</w:t>
            </w:r>
            <w:r>
              <w:rPr>
                <w:color w:val="auto"/>
                <w:sz w:val="24"/>
              </w:rPr>
              <w:t>/d。</w:t>
            </w:r>
          </w:p>
          <w:p>
            <w:pPr>
              <w:adjustRightInd w:val="0"/>
              <w:snapToGrid w:val="0"/>
              <w:spacing w:line="360" w:lineRule="auto"/>
              <w:jc w:val="center"/>
              <w:rPr>
                <w:rFonts w:eastAsia="黑体"/>
                <w:bCs/>
                <w:color w:val="auto"/>
                <w:szCs w:val="21"/>
              </w:rPr>
            </w:pPr>
            <w:r>
              <w:rPr>
                <w:rFonts w:eastAsia="黑体"/>
                <w:bCs/>
                <w:color w:val="auto"/>
                <w:szCs w:val="21"/>
              </w:rPr>
              <w:t>表2-7  用水类型及用水量</w:t>
            </w:r>
          </w:p>
          <w:tbl>
            <w:tblPr>
              <w:tblStyle w:val="4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68"/>
              <w:gridCol w:w="1444"/>
              <w:gridCol w:w="1455"/>
              <w:gridCol w:w="1158"/>
              <w:gridCol w:w="1498"/>
              <w:gridCol w:w="16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60" w:type="pct"/>
                  <w:vMerge w:val="restart"/>
                  <w:tcBorders>
                    <w:tl2br w:val="nil"/>
                    <w:tr2bl w:val="nil"/>
                  </w:tcBorders>
                  <w:vAlign w:val="center"/>
                </w:tcPr>
                <w:p>
                  <w:pPr>
                    <w:adjustRightInd w:val="0"/>
                    <w:snapToGrid w:val="0"/>
                    <w:jc w:val="center"/>
                    <w:rPr>
                      <w:b/>
                      <w:bCs/>
                      <w:snapToGrid w:val="0"/>
                      <w:color w:val="auto"/>
                      <w:kern w:val="0"/>
                      <w:szCs w:val="21"/>
                    </w:rPr>
                  </w:pPr>
                  <w:r>
                    <w:rPr>
                      <w:b/>
                      <w:bCs/>
                      <w:snapToGrid w:val="0"/>
                      <w:color w:val="auto"/>
                      <w:kern w:val="0"/>
                      <w:szCs w:val="21"/>
                    </w:rPr>
                    <w:t>用水类型</w:t>
                  </w:r>
                </w:p>
              </w:tc>
              <w:tc>
                <w:tcPr>
                  <w:tcW w:w="772" w:type="pct"/>
                  <w:vMerge w:val="restart"/>
                  <w:tcBorders>
                    <w:tl2br w:val="nil"/>
                    <w:tr2bl w:val="nil"/>
                  </w:tcBorders>
                  <w:vAlign w:val="center"/>
                </w:tcPr>
                <w:p>
                  <w:pPr>
                    <w:adjustRightInd w:val="0"/>
                    <w:snapToGrid w:val="0"/>
                    <w:jc w:val="center"/>
                    <w:rPr>
                      <w:b/>
                      <w:bCs/>
                      <w:snapToGrid w:val="0"/>
                      <w:color w:val="auto"/>
                      <w:kern w:val="0"/>
                      <w:szCs w:val="21"/>
                    </w:rPr>
                  </w:pPr>
                  <w:r>
                    <w:rPr>
                      <w:b/>
                      <w:bCs/>
                      <w:snapToGrid w:val="0"/>
                      <w:color w:val="auto"/>
                      <w:kern w:val="0"/>
                      <w:szCs w:val="21"/>
                    </w:rPr>
                    <w:t>使用规模</w:t>
                  </w:r>
                </w:p>
              </w:tc>
              <w:tc>
                <w:tcPr>
                  <w:tcW w:w="778" w:type="pct"/>
                  <w:vMerge w:val="restart"/>
                  <w:tcBorders>
                    <w:tl2br w:val="nil"/>
                    <w:tr2bl w:val="nil"/>
                  </w:tcBorders>
                  <w:vAlign w:val="center"/>
                </w:tcPr>
                <w:p>
                  <w:pPr>
                    <w:adjustRightInd w:val="0"/>
                    <w:snapToGrid w:val="0"/>
                    <w:jc w:val="center"/>
                    <w:rPr>
                      <w:b/>
                      <w:bCs/>
                      <w:snapToGrid w:val="0"/>
                      <w:color w:val="auto"/>
                      <w:kern w:val="0"/>
                      <w:szCs w:val="21"/>
                    </w:rPr>
                  </w:pPr>
                  <w:r>
                    <w:rPr>
                      <w:b/>
                      <w:bCs/>
                      <w:snapToGrid w:val="0"/>
                      <w:color w:val="auto"/>
                      <w:kern w:val="0"/>
                      <w:szCs w:val="21"/>
                    </w:rPr>
                    <w:t>用水标准</w:t>
                  </w:r>
                </w:p>
              </w:tc>
              <w:tc>
                <w:tcPr>
                  <w:tcW w:w="2288" w:type="pct"/>
                  <w:gridSpan w:val="3"/>
                  <w:tcBorders>
                    <w:tl2br w:val="nil"/>
                    <w:tr2bl w:val="nil"/>
                  </w:tcBorders>
                  <w:vAlign w:val="center"/>
                </w:tcPr>
                <w:p>
                  <w:pPr>
                    <w:adjustRightInd w:val="0"/>
                    <w:snapToGrid w:val="0"/>
                    <w:jc w:val="center"/>
                    <w:rPr>
                      <w:b/>
                      <w:bCs/>
                      <w:snapToGrid w:val="0"/>
                      <w:color w:val="auto"/>
                      <w:kern w:val="0"/>
                      <w:szCs w:val="21"/>
                    </w:rPr>
                  </w:pPr>
                  <w:r>
                    <w:rPr>
                      <w:b/>
                      <w:bCs/>
                      <w:snapToGrid w:val="0"/>
                      <w:color w:val="auto"/>
                      <w:kern w:val="0"/>
                      <w:szCs w:val="21"/>
                    </w:rPr>
                    <w:t>用水量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60" w:type="pct"/>
                  <w:vMerge w:val="continue"/>
                  <w:tcBorders>
                    <w:tl2br w:val="nil"/>
                    <w:tr2bl w:val="nil"/>
                  </w:tcBorders>
                  <w:vAlign w:val="center"/>
                </w:tcPr>
                <w:p>
                  <w:pPr>
                    <w:adjustRightInd w:val="0"/>
                    <w:snapToGrid w:val="0"/>
                    <w:rPr>
                      <w:color w:val="auto"/>
                      <w:szCs w:val="21"/>
                    </w:rPr>
                  </w:pPr>
                </w:p>
              </w:tc>
              <w:tc>
                <w:tcPr>
                  <w:tcW w:w="772" w:type="pct"/>
                  <w:vMerge w:val="continue"/>
                  <w:tcBorders>
                    <w:tl2br w:val="nil"/>
                    <w:tr2bl w:val="nil"/>
                  </w:tcBorders>
                  <w:vAlign w:val="center"/>
                </w:tcPr>
                <w:p>
                  <w:pPr>
                    <w:adjustRightInd w:val="0"/>
                    <w:snapToGrid w:val="0"/>
                    <w:rPr>
                      <w:color w:val="auto"/>
                      <w:szCs w:val="21"/>
                    </w:rPr>
                  </w:pPr>
                </w:p>
              </w:tc>
              <w:tc>
                <w:tcPr>
                  <w:tcW w:w="778" w:type="pct"/>
                  <w:vMerge w:val="continue"/>
                  <w:tcBorders>
                    <w:tl2br w:val="nil"/>
                    <w:tr2bl w:val="nil"/>
                  </w:tcBorders>
                  <w:vAlign w:val="center"/>
                </w:tcPr>
                <w:p>
                  <w:pPr>
                    <w:adjustRightInd w:val="0"/>
                    <w:snapToGrid w:val="0"/>
                    <w:rPr>
                      <w:color w:val="auto"/>
                      <w:szCs w:val="21"/>
                    </w:rPr>
                  </w:pPr>
                </w:p>
              </w:tc>
              <w:tc>
                <w:tcPr>
                  <w:tcW w:w="619" w:type="pct"/>
                  <w:tcBorders>
                    <w:tl2br w:val="nil"/>
                    <w:tr2bl w:val="nil"/>
                  </w:tcBorders>
                  <w:vAlign w:val="center"/>
                </w:tcPr>
                <w:p>
                  <w:pPr>
                    <w:adjustRightInd w:val="0"/>
                    <w:snapToGrid w:val="0"/>
                    <w:jc w:val="center"/>
                    <w:rPr>
                      <w:snapToGrid w:val="0"/>
                      <w:color w:val="auto"/>
                      <w:kern w:val="0"/>
                      <w:szCs w:val="21"/>
                    </w:rPr>
                  </w:pPr>
                  <w:r>
                    <w:rPr>
                      <w:snapToGrid w:val="0"/>
                      <w:color w:val="auto"/>
                      <w:kern w:val="0"/>
                      <w:szCs w:val="21"/>
                    </w:rPr>
                    <w:t>类型</w:t>
                  </w:r>
                </w:p>
              </w:tc>
              <w:tc>
                <w:tcPr>
                  <w:tcW w:w="801" w:type="pct"/>
                  <w:tcBorders>
                    <w:tl2br w:val="nil"/>
                    <w:tr2bl w:val="nil"/>
                  </w:tcBorders>
                  <w:vAlign w:val="center"/>
                </w:tcPr>
                <w:p>
                  <w:pPr>
                    <w:adjustRightInd w:val="0"/>
                    <w:snapToGrid w:val="0"/>
                    <w:jc w:val="center"/>
                    <w:rPr>
                      <w:snapToGrid w:val="0"/>
                      <w:color w:val="auto"/>
                      <w:kern w:val="0"/>
                      <w:szCs w:val="21"/>
                    </w:rPr>
                  </w:pPr>
                  <w:r>
                    <w:rPr>
                      <w:snapToGrid w:val="0"/>
                      <w:color w:val="auto"/>
                      <w:kern w:val="0"/>
                      <w:szCs w:val="21"/>
                    </w:rPr>
                    <w:t>m</w:t>
                  </w:r>
                  <w:r>
                    <w:rPr>
                      <w:snapToGrid w:val="0"/>
                      <w:color w:val="auto"/>
                      <w:kern w:val="0"/>
                      <w:szCs w:val="21"/>
                      <w:vertAlign w:val="superscript"/>
                    </w:rPr>
                    <w:t>3</w:t>
                  </w:r>
                  <w:r>
                    <w:rPr>
                      <w:snapToGrid w:val="0"/>
                      <w:color w:val="auto"/>
                      <w:kern w:val="0"/>
                      <w:szCs w:val="21"/>
                    </w:rPr>
                    <w:t>/d</w:t>
                  </w:r>
                </w:p>
              </w:tc>
              <w:tc>
                <w:tcPr>
                  <w:tcW w:w="868" w:type="pct"/>
                  <w:tcBorders>
                    <w:tl2br w:val="nil"/>
                    <w:tr2bl w:val="nil"/>
                  </w:tcBorders>
                  <w:vAlign w:val="center"/>
                </w:tcPr>
                <w:p>
                  <w:pPr>
                    <w:adjustRightInd w:val="0"/>
                    <w:snapToGrid w:val="0"/>
                    <w:jc w:val="center"/>
                    <w:rPr>
                      <w:snapToGrid w:val="0"/>
                      <w:color w:val="auto"/>
                      <w:kern w:val="0"/>
                      <w:szCs w:val="21"/>
                    </w:rPr>
                  </w:pPr>
                  <w:r>
                    <w:rPr>
                      <w:snapToGrid w:val="0"/>
                      <w:color w:val="auto"/>
                      <w:kern w:val="0"/>
                      <w:szCs w:val="21"/>
                    </w:rPr>
                    <w:t>m</w:t>
                  </w:r>
                  <w:r>
                    <w:rPr>
                      <w:snapToGrid w:val="0"/>
                      <w:color w:val="auto"/>
                      <w:kern w:val="0"/>
                      <w:szCs w:val="21"/>
                      <w:vertAlign w:val="superscript"/>
                    </w:rPr>
                    <w:t>3</w:t>
                  </w:r>
                  <w:r>
                    <w:rPr>
                      <w:snapToGrid w:val="0"/>
                      <w:color w:val="auto"/>
                      <w:kern w:val="0"/>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60" w:type="pct"/>
                  <w:tcBorders>
                    <w:tl2br w:val="nil"/>
                    <w:tr2bl w:val="nil"/>
                  </w:tcBorders>
                  <w:vAlign w:val="center"/>
                </w:tcPr>
                <w:p>
                  <w:pPr>
                    <w:adjustRightInd w:val="0"/>
                    <w:snapToGrid w:val="0"/>
                    <w:jc w:val="center"/>
                    <w:rPr>
                      <w:rFonts w:eastAsiaTheme="minorEastAsia"/>
                      <w:snapToGrid w:val="0"/>
                      <w:color w:val="auto"/>
                      <w:kern w:val="0"/>
                      <w:szCs w:val="21"/>
                    </w:rPr>
                  </w:pPr>
                  <w:r>
                    <w:rPr>
                      <w:snapToGrid w:val="0"/>
                      <w:color w:val="auto"/>
                      <w:kern w:val="0"/>
                      <w:szCs w:val="21"/>
                    </w:rPr>
                    <w:t>生活用水</w:t>
                  </w:r>
                </w:p>
              </w:tc>
              <w:tc>
                <w:tcPr>
                  <w:tcW w:w="772" w:type="pct"/>
                  <w:tcBorders>
                    <w:tl2br w:val="nil"/>
                    <w:tr2bl w:val="nil"/>
                  </w:tcBorders>
                  <w:vAlign w:val="center"/>
                </w:tcPr>
                <w:p>
                  <w:pPr>
                    <w:adjustRightInd w:val="0"/>
                    <w:snapToGrid w:val="0"/>
                    <w:jc w:val="center"/>
                    <w:rPr>
                      <w:rFonts w:eastAsiaTheme="minorEastAsia"/>
                      <w:snapToGrid w:val="0"/>
                      <w:color w:val="auto"/>
                      <w:kern w:val="0"/>
                      <w:szCs w:val="21"/>
                    </w:rPr>
                  </w:pPr>
                  <w:r>
                    <w:rPr>
                      <w:snapToGrid w:val="0"/>
                      <w:color w:val="auto"/>
                      <w:kern w:val="0"/>
                      <w:szCs w:val="21"/>
                    </w:rPr>
                    <w:t>15人</w:t>
                  </w:r>
                </w:p>
              </w:tc>
              <w:tc>
                <w:tcPr>
                  <w:tcW w:w="778" w:type="pct"/>
                  <w:tcBorders>
                    <w:tl2br w:val="nil"/>
                    <w:tr2bl w:val="nil"/>
                  </w:tcBorders>
                  <w:vAlign w:val="center"/>
                </w:tcPr>
                <w:p>
                  <w:pPr>
                    <w:adjustRightInd w:val="0"/>
                    <w:snapToGrid w:val="0"/>
                    <w:jc w:val="center"/>
                    <w:rPr>
                      <w:snapToGrid w:val="0"/>
                      <w:color w:val="auto"/>
                      <w:kern w:val="0"/>
                      <w:szCs w:val="21"/>
                    </w:rPr>
                  </w:pPr>
                  <w:r>
                    <w:rPr>
                      <w:bCs/>
                      <w:color w:val="auto"/>
                      <w:kern w:val="0"/>
                      <w:szCs w:val="21"/>
                    </w:rPr>
                    <w:t>50L/人·天</w:t>
                  </w:r>
                </w:p>
              </w:tc>
              <w:tc>
                <w:tcPr>
                  <w:tcW w:w="619" w:type="pct"/>
                  <w:tcBorders>
                    <w:tl2br w:val="nil"/>
                    <w:tr2bl w:val="nil"/>
                  </w:tcBorders>
                  <w:vAlign w:val="center"/>
                </w:tcPr>
                <w:p>
                  <w:pPr>
                    <w:adjustRightInd w:val="0"/>
                    <w:snapToGrid w:val="0"/>
                    <w:jc w:val="center"/>
                    <w:rPr>
                      <w:snapToGrid w:val="0"/>
                      <w:color w:val="auto"/>
                      <w:kern w:val="0"/>
                      <w:szCs w:val="21"/>
                    </w:rPr>
                  </w:pPr>
                  <w:r>
                    <w:rPr>
                      <w:snapToGrid w:val="0"/>
                      <w:color w:val="auto"/>
                      <w:kern w:val="0"/>
                      <w:szCs w:val="21"/>
                    </w:rPr>
                    <w:t>新鲜水</w:t>
                  </w:r>
                </w:p>
              </w:tc>
              <w:tc>
                <w:tcPr>
                  <w:tcW w:w="801" w:type="pct"/>
                  <w:tcBorders>
                    <w:tl2br w:val="nil"/>
                    <w:tr2bl w:val="nil"/>
                  </w:tcBorders>
                  <w:vAlign w:val="center"/>
                </w:tcPr>
                <w:p>
                  <w:pPr>
                    <w:adjustRightInd w:val="0"/>
                    <w:snapToGrid w:val="0"/>
                    <w:jc w:val="center"/>
                    <w:rPr>
                      <w:rFonts w:eastAsiaTheme="minorEastAsia"/>
                      <w:snapToGrid w:val="0"/>
                      <w:color w:val="auto"/>
                      <w:kern w:val="0"/>
                      <w:szCs w:val="21"/>
                    </w:rPr>
                  </w:pPr>
                  <w:r>
                    <w:rPr>
                      <w:snapToGrid w:val="0"/>
                      <w:color w:val="auto"/>
                      <w:kern w:val="0"/>
                      <w:szCs w:val="21"/>
                    </w:rPr>
                    <w:t>0.75</w:t>
                  </w:r>
                </w:p>
              </w:tc>
              <w:tc>
                <w:tcPr>
                  <w:tcW w:w="868" w:type="pct"/>
                  <w:tcBorders>
                    <w:tl2br w:val="nil"/>
                    <w:tr2bl w:val="nil"/>
                  </w:tcBorders>
                  <w:vAlign w:val="center"/>
                </w:tcPr>
                <w:p>
                  <w:pPr>
                    <w:adjustRightInd w:val="0"/>
                    <w:snapToGrid w:val="0"/>
                    <w:jc w:val="center"/>
                    <w:rPr>
                      <w:snapToGrid w:val="0"/>
                      <w:color w:val="auto"/>
                      <w:kern w:val="0"/>
                      <w:szCs w:val="21"/>
                    </w:rPr>
                  </w:pPr>
                  <w:r>
                    <w:rPr>
                      <w:snapToGrid w:val="0"/>
                      <w:color w:val="auto"/>
                      <w:kern w:val="0"/>
                      <w:szCs w:val="21"/>
                    </w:rPr>
                    <w:t>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1160" w:type="pct"/>
                  <w:vMerge w:val="restart"/>
                  <w:tcBorders>
                    <w:tl2br w:val="nil"/>
                    <w:tr2bl w:val="nil"/>
                  </w:tcBorders>
                  <w:vAlign w:val="center"/>
                </w:tcPr>
                <w:p>
                  <w:pPr>
                    <w:adjustRightInd w:val="0"/>
                    <w:snapToGrid w:val="0"/>
                    <w:jc w:val="center"/>
                    <w:rPr>
                      <w:snapToGrid w:val="0"/>
                      <w:color w:val="auto"/>
                      <w:kern w:val="0"/>
                      <w:szCs w:val="21"/>
                    </w:rPr>
                  </w:pPr>
                  <w:r>
                    <w:rPr>
                      <w:bCs/>
                      <w:color w:val="auto"/>
                      <w:kern w:val="0"/>
                      <w:szCs w:val="21"/>
                    </w:rPr>
                    <w:t>产品用水</w:t>
                  </w:r>
                </w:p>
              </w:tc>
              <w:tc>
                <w:tcPr>
                  <w:tcW w:w="772" w:type="pct"/>
                  <w:vMerge w:val="restart"/>
                  <w:tcBorders>
                    <w:tl2br w:val="nil"/>
                    <w:tr2bl w:val="nil"/>
                  </w:tcBorders>
                  <w:vAlign w:val="center"/>
                </w:tcPr>
                <w:p>
                  <w:pPr>
                    <w:adjustRightInd w:val="0"/>
                    <w:snapToGrid w:val="0"/>
                    <w:jc w:val="center"/>
                    <w:rPr>
                      <w:rFonts w:eastAsiaTheme="minorEastAsia"/>
                      <w:snapToGrid w:val="0"/>
                      <w:color w:val="auto"/>
                      <w:kern w:val="0"/>
                      <w:szCs w:val="21"/>
                    </w:rPr>
                  </w:pPr>
                  <w:r>
                    <w:rPr>
                      <w:snapToGrid w:val="0"/>
                      <w:color w:val="auto"/>
                      <w:kern w:val="0"/>
                      <w:szCs w:val="21"/>
                    </w:rPr>
                    <w:t>266.67t/d</w:t>
                  </w:r>
                </w:p>
              </w:tc>
              <w:tc>
                <w:tcPr>
                  <w:tcW w:w="778" w:type="pct"/>
                  <w:vMerge w:val="restart"/>
                  <w:tcBorders>
                    <w:tl2br w:val="nil"/>
                    <w:tr2bl w:val="nil"/>
                  </w:tcBorders>
                  <w:vAlign w:val="center"/>
                </w:tcPr>
                <w:p>
                  <w:pPr>
                    <w:adjustRightInd w:val="0"/>
                    <w:snapToGrid w:val="0"/>
                    <w:jc w:val="center"/>
                    <w:rPr>
                      <w:snapToGrid w:val="0"/>
                      <w:color w:val="auto"/>
                      <w:kern w:val="0"/>
                      <w:szCs w:val="21"/>
                    </w:rPr>
                  </w:pPr>
                  <w:r>
                    <w:rPr>
                      <w:color w:val="auto"/>
                      <w:kern w:val="0"/>
                      <w:szCs w:val="21"/>
                    </w:rPr>
                    <w:t>0.03m</w:t>
                  </w:r>
                  <w:r>
                    <w:rPr>
                      <w:color w:val="auto"/>
                      <w:kern w:val="0"/>
                      <w:szCs w:val="21"/>
                      <w:vertAlign w:val="superscript"/>
                    </w:rPr>
                    <w:t>3</w:t>
                  </w:r>
                  <w:r>
                    <w:rPr>
                      <w:color w:val="auto"/>
                      <w:kern w:val="0"/>
                      <w:szCs w:val="21"/>
                    </w:rPr>
                    <w:t>/t</w:t>
                  </w:r>
                </w:p>
              </w:tc>
              <w:tc>
                <w:tcPr>
                  <w:tcW w:w="619" w:type="pct"/>
                  <w:tcBorders>
                    <w:tl2br w:val="nil"/>
                    <w:tr2bl w:val="nil"/>
                  </w:tcBorders>
                  <w:vAlign w:val="center"/>
                </w:tcPr>
                <w:p>
                  <w:pPr>
                    <w:adjustRightInd w:val="0"/>
                    <w:snapToGrid w:val="0"/>
                    <w:jc w:val="center"/>
                    <w:rPr>
                      <w:snapToGrid w:val="0"/>
                      <w:color w:val="auto"/>
                      <w:kern w:val="0"/>
                      <w:szCs w:val="21"/>
                    </w:rPr>
                  </w:pPr>
                  <w:r>
                    <w:rPr>
                      <w:snapToGrid w:val="0"/>
                      <w:color w:val="auto"/>
                      <w:kern w:val="0"/>
                      <w:szCs w:val="21"/>
                    </w:rPr>
                    <w:t>新鲜水</w:t>
                  </w:r>
                </w:p>
              </w:tc>
              <w:tc>
                <w:tcPr>
                  <w:tcW w:w="801" w:type="pct"/>
                  <w:tcBorders>
                    <w:tl2br w:val="nil"/>
                    <w:tr2bl w:val="nil"/>
                  </w:tcBorders>
                  <w:vAlign w:val="center"/>
                </w:tcPr>
                <w:p>
                  <w:pPr>
                    <w:adjustRightInd w:val="0"/>
                    <w:snapToGrid w:val="0"/>
                    <w:jc w:val="center"/>
                    <w:rPr>
                      <w:rFonts w:hint="eastAsia" w:eastAsia="宋体"/>
                      <w:snapToGrid w:val="0"/>
                      <w:color w:val="auto"/>
                      <w:kern w:val="0"/>
                      <w:szCs w:val="21"/>
                      <w:lang w:eastAsia="zh-CN"/>
                    </w:rPr>
                  </w:pPr>
                  <w:r>
                    <w:rPr>
                      <w:rFonts w:hint="eastAsia"/>
                      <w:snapToGrid w:val="0"/>
                      <w:color w:val="auto"/>
                      <w:kern w:val="0"/>
                      <w:szCs w:val="21"/>
                      <w:lang w:val="en-US" w:eastAsia="zh-CN"/>
                    </w:rPr>
                    <w:t>4</w:t>
                  </w:r>
                </w:p>
              </w:tc>
              <w:tc>
                <w:tcPr>
                  <w:tcW w:w="868" w:type="pct"/>
                  <w:tcBorders>
                    <w:tl2br w:val="nil"/>
                    <w:tr2bl w:val="nil"/>
                  </w:tcBorders>
                  <w:vAlign w:val="center"/>
                </w:tcPr>
                <w:p>
                  <w:pPr>
                    <w:adjustRightInd w:val="0"/>
                    <w:snapToGrid w:val="0"/>
                    <w:jc w:val="center"/>
                    <w:rPr>
                      <w:rFonts w:hint="default" w:eastAsia="宋体"/>
                      <w:snapToGrid w:val="0"/>
                      <w:color w:val="auto"/>
                      <w:kern w:val="0"/>
                      <w:szCs w:val="21"/>
                      <w:lang w:val="en-US" w:eastAsia="zh-CN"/>
                    </w:rPr>
                  </w:pPr>
                  <w:r>
                    <w:rPr>
                      <w:rFonts w:hint="eastAsia"/>
                      <w:snapToGrid w:val="0"/>
                      <w:color w:val="auto"/>
                      <w:kern w:val="0"/>
                      <w:szCs w:val="21"/>
                      <w:lang w:val="en-US" w:eastAsia="zh-CN"/>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60" w:type="pct"/>
                  <w:vMerge w:val="continue"/>
                  <w:tcBorders>
                    <w:tl2br w:val="nil"/>
                    <w:tr2bl w:val="nil"/>
                  </w:tcBorders>
                  <w:vAlign w:val="center"/>
                </w:tcPr>
                <w:p>
                  <w:pPr>
                    <w:adjustRightInd w:val="0"/>
                    <w:snapToGrid w:val="0"/>
                    <w:jc w:val="center"/>
                    <w:rPr>
                      <w:bCs/>
                      <w:color w:val="auto"/>
                      <w:kern w:val="0"/>
                      <w:szCs w:val="21"/>
                    </w:rPr>
                  </w:pPr>
                </w:p>
              </w:tc>
              <w:tc>
                <w:tcPr>
                  <w:tcW w:w="772" w:type="pct"/>
                  <w:vMerge w:val="continue"/>
                  <w:tcBorders>
                    <w:tl2br w:val="nil"/>
                    <w:tr2bl w:val="nil"/>
                  </w:tcBorders>
                  <w:vAlign w:val="center"/>
                </w:tcPr>
                <w:p>
                  <w:pPr>
                    <w:adjustRightInd w:val="0"/>
                    <w:snapToGrid w:val="0"/>
                    <w:jc w:val="center"/>
                    <w:rPr>
                      <w:snapToGrid w:val="0"/>
                      <w:color w:val="auto"/>
                      <w:kern w:val="0"/>
                      <w:szCs w:val="21"/>
                    </w:rPr>
                  </w:pPr>
                </w:p>
              </w:tc>
              <w:tc>
                <w:tcPr>
                  <w:tcW w:w="778" w:type="pct"/>
                  <w:vMerge w:val="continue"/>
                  <w:tcBorders>
                    <w:tl2br w:val="nil"/>
                    <w:tr2bl w:val="nil"/>
                  </w:tcBorders>
                  <w:vAlign w:val="center"/>
                </w:tcPr>
                <w:p>
                  <w:pPr>
                    <w:adjustRightInd w:val="0"/>
                    <w:snapToGrid w:val="0"/>
                    <w:jc w:val="center"/>
                    <w:rPr>
                      <w:color w:val="auto"/>
                      <w:kern w:val="0"/>
                      <w:szCs w:val="21"/>
                    </w:rPr>
                  </w:pPr>
                </w:p>
              </w:tc>
              <w:tc>
                <w:tcPr>
                  <w:tcW w:w="619" w:type="pct"/>
                  <w:tcBorders>
                    <w:tl2br w:val="nil"/>
                    <w:tr2bl w:val="nil"/>
                  </w:tcBorders>
                  <w:vAlign w:val="center"/>
                </w:tcPr>
                <w:p>
                  <w:pPr>
                    <w:adjustRightInd w:val="0"/>
                    <w:snapToGrid w:val="0"/>
                    <w:jc w:val="center"/>
                    <w:rPr>
                      <w:rFonts w:eastAsiaTheme="minorEastAsia"/>
                      <w:snapToGrid w:val="0"/>
                      <w:color w:val="auto"/>
                      <w:kern w:val="0"/>
                      <w:szCs w:val="21"/>
                    </w:rPr>
                  </w:pPr>
                  <w:r>
                    <w:rPr>
                      <w:snapToGrid w:val="0"/>
                      <w:color w:val="auto"/>
                      <w:kern w:val="0"/>
                      <w:szCs w:val="21"/>
                    </w:rPr>
                    <w:t>回用水</w:t>
                  </w:r>
                </w:p>
              </w:tc>
              <w:tc>
                <w:tcPr>
                  <w:tcW w:w="801" w:type="pct"/>
                  <w:tcBorders>
                    <w:tl2br w:val="nil"/>
                    <w:tr2bl w:val="nil"/>
                  </w:tcBorders>
                  <w:vAlign w:val="center"/>
                </w:tcPr>
                <w:p>
                  <w:pPr>
                    <w:adjustRightInd w:val="0"/>
                    <w:snapToGrid w:val="0"/>
                    <w:jc w:val="center"/>
                    <w:rPr>
                      <w:rFonts w:hint="eastAsia" w:eastAsia="宋体"/>
                      <w:snapToGrid w:val="0"/>
                      <w:color w:val="auto"/>
                      <w:kern w:val="0"/>
                      <w:szCs w:val="21"/>
                      <w:lang w:eastAsia="zh-CN"/>
                    </w:rPr>
                  </w:pPr>
                  <w:r>
                    <w:rPr>
                      <w:rFonts w:hint="eastAsia"/>
                      <w:snapToGrid w:val="0"/>
                      <w:color w:val="auto"/>
                      <w:kern w:val="0"/>
                      <w:szCs w:val="21"/>
                      <w:lang w:val="en-US" w:eastAsia="zh-CN"/>
                    </w:rPr>
                    <w:t>4</w:t>
                  </w:r>
                </w:p>
              </w:tc>
              <w:tc>
                <w:tcPr>
                  <w:tcW w:w="868" w:type="pct"/>
                  <w:tcBorders>
                    <w:tl2br w:val="nil"/>
                    <w:tr2bl w:val="nil"/>
                  </w:tcBorders>
                  <w:vAlign w:val="center"/>
                </w:tcPr>
                <w:p>
                  <w:pPr>
                    <w:adjustRightInd w:val="0"/>
                    <w:snapToGrid w:val="0"/>
                    <w:jc w:val="center"/>
                    <w:rPr>
                      <w:snapToGrid w:val="0"/>
                      <w:color w:val="auto"/>
                      <w:kern w:val="0"/>
                      <w:szCs w:val="21"/>
                    </w:rPr>
                  </w:pPr>
                  <w:r>
                    <w:rPr>
                      <w:snapToGrid w:val="0"/>
                      <w:color w:val="auto"/>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60" w:type="pct"/>
                  <w:tcBorders>
                    <w:tl2br w:val="nil"/>
                    <w:tr2bl w:val="nil"/>
                  </w:tcBorders>
                  <w:vAlign w:val="center"/>
                </w:tcPr>
                <w:p>
                  <w:pPr>
                    <w:adjustRightInd w:val="0"/>
                    <w:snapToGrid w:val="0"/>
                    <w:jc w:val="center"/>
                    <w:rPr>
                      <w:snapToGrid w:val="0"/>
                      <w:color w:val="auto"/>
                      <w:kern w:val="0"/>
                      <w:szCs w:val="21"/>
                    </w:rPr>
                  </w:pPr>
                  <w:r>
                    <w:rPr>
                      <w:snapToGrid w:val="0"/>
                      <w:color w:val="auto"/>
                      <w:kern w:val="0"/>
                      <w:szCs w:val="21"/>
                    </w:rPr>
                    <w:t>喷雾降尘用水</w:t>
                  </w:r>
                </w:p>
              </w:tc>
              <w:tc>
                <w:tcPr>
                  <w:tcW w:w="772" w:type="pct"/>
                  <w:tcBorders>
                    <w:tl2br w:val="nil"/>
                    <w:tr2bl w:val="nil"/>
                  </w:tcBorders>
                  <w:vAlign w:val="center"/>
                </w:tcPr>
                <w:p>
                  <w:pPr>
                    <w:adjustRightInd w:val="0"/>
                    <w:snapToGrid w:val="0"/>
                    <w:jc w:val="center"/>
                    <w:rPr>
                      <w:snapToGrid w:val="0"/>
                      <w:color w:val="auto"/>
                      <w:kern w:val="0"/>
                      <w:szCs w:val="21"/>
                    </w:rPr>
                  </w:pPr>
                  <w:r>
                    <w:rPr>
                      <w:snapToGrid w:val="0"/>
                      <w:color w:val="auto"/>
                      <w:kern w:val="0"/>
                      <w:szCs w:val="21"/>
                    </w:rPr>
                    <w:t>/</w:t>
                  </w:r>
                </w:p>
              </w:tc>
              <w:tc>
                <w:tcPr>
                  <w:tcW w:w="778" w:type="pct"/>
                  <w:tcBorders>
                    <w:tl2br w:val="nil"/>
                    <w:tr2bl w:val="nil"/>
                  </w:tcBorders>
                  <w:vAlign w:val="center"/>
                </w:tcPr>
                <w:p>
                  <w:pPr>
                    <w:adjustRightInd w:val="0"/>
                    <w:snapToGrid w:val="0"/>
                    <w:jc w:val="center"/>
                    <w:rPr>
                      <w:snapToGrid w:val="0"/>
                      <w:color w:val="auto"/>
                      <w:kern w:val="0"/>
                      <w:szCs w:val="21"/>
                    </w:rPr>
                  </w:pPr>
                  <w:r>
                    <w:rPr>
                      <w:rFonts w:hint="eastAsia"/>
                      <w:bCs/>
                      <w:color w:val="auto"/>
                      <w:kern w:val="0"/>
                      <w:szCs w:val="21"/>
                      <w:lang w:val="en-US" w:eastAsia="zh-CN"/>
                    </w:rPr>
                    <w:t>2</w:t>
                  </w:r>
                  <w:r>
                    <w:rPr>
                      <w:bCs/>
                      <w:color w:val="auto"/>
                      <w:kern w:val="0"/>
                      <w:szCs w:val="21"/>
                    </w:rPr>
                    <w:t>m</w:t>
                  </w:r>
                  <w:r>
                    <w:rPr>
                      <w:bCs/>
                      <w:color w:val="auto"/>
                      <w:kern w:val="0"/>
                      <w:szCs w:val="21"/>
                      <w:vertAlign w:val="superscript"/>
                    </w:rPr>
                    <w:t>3</w:t>
                  </w:r>
                  <w:r>
                    <w:rPr>
                      <w:bCs/>
                      <w:color w:val="auto"/>
                      <w:kern w:val="0"/>
                      <w:szCs w:val="21"/>
                    </w:rPr>
                    <w:t>/d</w:t>
                  </w:r>
                </w:p>
              </w:tc>
              <w:tc>
                <w:tcPr>
                  <w:tcW w:w="619" w:type="pct"/>
                  <w:tcBorders>
                    <w:tl2br w:val="nil"/>
                    <w:tr2bl w:val="nil"/>
                  </w:tcBorders>
                  <w:vAlign w:val="center"/>
                </w:tcPr>
                <w:p>
                  <w:pPr>
                    <w:adjustRightInd w:val="0"/>
                    <w:snapToGrid w:val="0"/>
                    <w:jc w:val="center"/>
                    <w:rPr>
                      <w:snapToGrid w:val="0"/>
                      <w:color w:val="auto"/>
                      <w:kern w:val="0"/>
                      <w:szCs w:val="21"/>
                    </w:rPr>
                  </w:pPr>
                  <w:r>
                    <w:rPr>
                      <w:snapToGrid w:val="0"/>
                      <w:color w:val="auto"/>
                      <w:kern w:val="0"/>
                      <w:szCs w:val="21"/>
                    </w:rPr>
                    <w:t>新鲜水</w:t>
                  </w:r>
                </w:p>
              </w:tc>
              <w:tc>
                <w:tcPr>
                  <w:tcW w:w="801" w:type="pct"/>
                  <w:tcBorders>
                    <w:tl2br w:val="nil"/>
                    <w:tr2bl w:val="nil"/>
                  </w:tcBorders>
                  <w:vAlign w:val="center"/>
                </w:tcPr>
                <w:p>
                  <w:pPr>
                    <w:adjustRightInd w:val="0"/>
                    <w:snapToGrid w:val="0"/>
                    <w:jc w:val="center"/>
                    <w:rPr>
                      <w:rFonts w:hint="eastAsia" w:eastAsiaTheme="minorEastAsia"/>
                      <w:snapToGrid w:val="0"/>
                      <w:color w:val="auto"/>
                      <w:kern w:val="0"/>
                      <w:szCs w:val="21"/>
                      <w:lang w:eastAsia="zh-CN"/>
                    </w:rPr>
                  </w:pPr>
                  <w:r>
                    <w:rPr>
                      <w:rFonts w:hint="eastAsia" w:eastAsiaTheme="minorEastAsia"/>
                      <w:bCs/>
                      <w:color w:val="auto"/>
                      <w:kern w:val="0"/>
                      <w:szCs w:val="21"/>
                      <w:lang w:val="en-US" w:eastAsia="zh-CN"/>
                    </w:rPr>
                    <w:t>2</w:t>
                  </w:r>
                </w:p>
              </w:tc>
              <w:tc>
                <w:tcPr>
                  <w:tcW w:w="868" w:type="pct"/>
                  <w:tcBorders>
                    <w:tl2br w:val="nil"/>
                    <w:tr2bl w:val="nil"/>
                  </w:tcBorders>
                  <w:vAlign w:val="center"/>
                </w:tcPr>
                <w:p>
                  <w:pPr>
                    <w:adjustRightInd w:val="0"/>
                    <w:snapToGrid w:val="0"/>
                    <w:jc w:val="center"/>
                    <w:rPr>
                      <w:snapToGrid w:val="0"/>
                      <w:color w:val="auto"/>
                      <w:kern w:val="0"/>
                      <w:szCs w:val="21"/>
                    </w:rPr>
                  </w:pPr>
                  <w:r>
                    <w:rPr>
                      <w:rFonts w:hint="eastAsia"/>
                      <w:snapToGrid w:val="0"/>
                      <w:color w:val="auto"/>
                      <w:kern w:val="0"/>
                      <w:szCs w:val="21"/>
                      <w:lang w:val="en-US" w:eastAsia="zh-CN"/>
                    </w:rPr>
                    <w:t>6</w:t>
                  </w:r>
                  <w:r>
                    <w:rPr>
                      <w:snapToGrid w:val="0"/>
                      <w:color w:val="auto"/>
                      <w:kern w:val="0"/>
                      <w:szCs w:val="21"/>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160" w:type="pct"/>
                  <w:tcBorders>
                    <w:tl2br w:val="nil"/>
                    <w:tr2bl w:val="nil"/>
                  </w:tcBorders>
                  <w:vAlign w:val="center"/>
                </w:tcPr>
                <w:p>
                  <w:pPr>
                    <w:adjustRightInd w:val="0"/>
                    <w:snapToGrid w:val="0"/>
                    <w:jc w:val="center"/>
                    <w:rPr>
                      <w:snapToGrid w:val="0"/>
                      <w:color w:val="auto"/>
                      <w:kern w:val="0"/>
                      <w:szCs w:val="21"/>
                    </w:rPr>
                  </w:pPr>
                  <w:r>
                    <w:rPr>
                      <w:color w:val="auto"/>
                      <w:szCs w:val="21"/>
                    </w:rPr>
                    <w:t>搅拌设备、罐车、地面清洗用水</w:t>
                  </w:r>
                </w:p>
              </w:tc>
              <w:tc>
                <w:tcPr>
                  <w:tcW w:w="772" w:type="pct"/>
                  <w:tcBorders>
                    <w:tl2br w:val="nil"/>
                    <w:tr2bl w:val="nil"/>
                  </w:tcBorders>
                  <w:vAlign w:val="center"/>
                </w:tcPr>
                <w:p>
                  <w:pPr>
                    <w:adjustRightInd w:val="0"/>
                    <w:snapToGrid w:val="0"/>
                    <w:jc w:val="center"/>
                    <w:rPr>
                      <w:snapToGrid w:val="0"/>
                      <w:color w:val="auto"/>
                      <w:kern w:val="0"/>
                      <w:szCs w:val="21"/>
                    </w:rPr>
                  </w:pPr>
                  <w:r>
                    <w:rPr>
                      <w:snapToGrid w:val="0"/>
                      <w:color w:val="auto"/>
                      <w:kern w:val="0"/>
                      <w:szCs w:val="21"/>
                    </w:rPr>
                    <w:t>/</w:t>
                  </w:r>
                </w:p>
              </w:tc>
              <w:tc>
                <w:tcPr>
                  <w:tcW w:w="778" w:type="pct"/>
                  <w:tcBorders>
                    <w:tl2br w:val="nil"/>
                    <w:tr2bl w:val="nil"/>
                  </w:tcBorders>
                  <w:vAlign w:val="center"/>
                </w:tcPr>
                <w:p>
                  <w:pPr>
                    <w:adjustRightInd w:val="0"/>
                    <w:snapToGrid w:val="0"/>
                    <w:jc w:val="center"/>
                    <w:rPr>
                      <w:bCs/>
                      <w:color w:val="auto"/>
                      <w:kern w:val="0"/>
                      <w:szCs w:val="21"/>
                    </w:rPr>
                  </w:pPr>
                  <w:r>
                    <w:rPr>
                      <w:rFonts w:hint="eastAsia"/>
                      <w:bCs/>
                      <w:color w:val="auto"/>
                      <w:kern w:val="0"/>
                      <w:szCs w:val="21"/>
                      <w:lang w:val="en-US" w:eastAsia="zh-CN"/>
                    </w:rPr>
                    <w:t>5</w:t>
                  </w:r>
                  <w:r>
                    <w:rPr>
                      <w:bCs/>
                      <w:color w:val="auto"/>
                      <w:kern w:val="0"/>
                      <w:szCs w:val="21"/>
                    </w:rPr>
                    <w:t>m</w:t>
                  </w:r>
                  <w:r>
                    <w:rPr>
                      <w:bCs/>
                      <w:color w:val="auto"/>
                      <w:kern w:val="0"/>
                      <w:szCs w:val="21"/>
                      <w:vertAlign w:val="superscript"/>
                    </w:rPr>
                    <w:t>3</w:t>
                  </w:r>
                  <w:r>
                    <w:rPr>
                      <w:bCs/>
                      <w:color w:val="auto"/>
                      <w:kern w:val="0"/>
                      <w:szCs w:val="21"/>
                    </w:rPr>
                    <w:t>/d</w:t>
                  </w:r>
                </w:p>
              </w:tc>
              <w:tc>
                <w:tcPr>
                  <w:tcW w:w="619" w:type="pct"/>
                  <w:tcBorders>
                    <w:tl2br w:val="nil"/>
                    <w:tr2bl w:val="nil"/>
                  </w:tcBorders>
                  <w:vAlign w:val="center"/>
                </w:tcPr>
                <w:p>
                  <w:pPr>
                    <w:adjustRightInd w:val="0"/>
                    <w:snapToGrid w:val="0"/>
                    <w:jc w:val="center"/>
                    <w:rPr>
                      <w:snapToGrid w:val="0"/>
                      <w:color w:val="auto"/>
                      <w:kern w:val="0"/>
                      <w:szCs w:val="21"/>
                    </w:rPr>
                  </w:pPr>
                  <w:r>
                    <w:rPr>
                      <w:snapToGrid w:val="0"/>
                      <w:color w:val="auto"/>
                      <w:kern w:val="0"/>
                      <w:szCs w:val="21"/>
                    </w:rPr>
                    <w:t>新鲜水</w:t>
                  </w:r>
                </w:p>
              </w:tc>
              <w:tc>
                <w:tcPr>
                  <w:tcW w:w="801" w:type="pct"/>
                  <w:tcBorders>
                    <w:tl2br w:val="nil"/>
                    <w:tr2bl w:val="nil"/>
                  </w:tcBorders>
                  <w:vAlign w:val="center"/>
                </w:tcPr>
                <w:p>
                  <w:pPr>
                    <w:adjustRightInd w:val="0"/>
                    <w:snapToGrid w:val="0"/>
                    <w:jc w:val="center"/>
                    <w:rPr>
                      <w:rFonts w:hint="eastAsia" w:eastAsia="宋体"/>
                      <w:snapToGrid w:val="0"/>
                      <w:color w:val="auto"/>
                      <w:kern w:val="0"/>
                      <w:szCs w:val="21"/>
                      <w:lang w:eastAsia="zh-CN"/>
                    </w:rPr>
                  </w:pPr>
                  <w:r>
                    <w:rPr>
                      <w:rFonts w:hint="eastAsia"/>
                      <w:bCs/>
                      <w:color w:val="auto"/>
                      <w:kern w:val="0"/>
                      <w:szCs w:val="21"/>
                      <w:lang w:val="en-US" w:eastAsia="zh-CN"/>
                    </w:rPr>
                    <w:t>5</w:t>
                  </w:r>
                </w:p>
              </w:tc>
              <w:tc>
                <w:tcPr>
                  <w:tcW w:w="868" w:type="pct"/>
                  <w:tcBorders>
                    <w:tl2br w:val="nil"/>
                    <w:tr2bl w:val="nil"/>
                  </w:tcBorders>
                  <w:vAlign w:val="center"/>
                </w:tcPr>
                <w:p>
                  <w:pPr>
                    <w:adjustRightInd w:val="0"/>
                    <w:snapToGrid w:val="0"/>
                    <w:jc w:val="center"/>
                    <w:rPr>
                      <w:snapToGrid w:val="0"/>
                      <w:color w:val="auto"/>
                      <w:kern w:val="0"/>
                      <w:szCs w:val="21"/>
                    </w:rPr>
                  </w:pPr>
                  <w:r>
                    <w:rPr>
                      <w:rFonts w:hint="eastAsia"/>
                      <w:snapToGrid w:val="0"/>
                      <w:color w:val="auto"/>
                      <w:kern w:val="0"/>
                      <w:szCs w:val="21"/>
                      <w:lang w:val="en-US" w:eastAsia="zh-CN"/>
                    </w:rPr>
                    <w:t>6</w:t>
                  </w:r>
                  <w:r>
                    <w:rPr>
                      <w:snapToGrid w:val="0"/>
                      <w:color w:val="auto"/>
                      <w:kern w:val="0"/>
                      <w:szCs w:val="21"/>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60" w:type="pct"/>
                  <w:tcBorders>
                    <w:tl2br w:val="nil"/>
                    <w:tr2bl w:val="nil"/>
                  </w:tcBorders>
                  <w:vAlign w:val="center"/>
                </w:tcPr>
                <w:p>
                  <w:pPr>
                    <w:adjustRightInd w:val="0"/>
                    <w:snapToGrid w:val="0"/>
                    <w:jc w:val="center"/>
                    <w:rPr>
                      <w:snapToGrid w:val="0"/>
                      <w:color w:val="auto"/>
                      <w:kern w:val="0"/>
                      <w:szCs w:val="21"/>
                    </w:rPr>
                  </w:pPr>
                  <w:r>
                    <w:rPr>
                      <w:snapToGrid w:val="0"/>
                      <w:color w:val="auto"/>
                      <w:kern w:val="0"/>
                      <w:szCs w:val="21"/>
                    </w:rPr>
                    <w:t>合计</w:t>
                  </w:r>
                </w:p>
              </w:tc>
              <w:tc>
                <w:tcPr>
                  <w:tcW w:w="772" w:type="pct"/>
                  <w:tcBorders>
                    <w:tl2br w:val="nil"/>
                    <w:tr2bl w:val="nil"/>
                  </w:tcBorders>
                  <w:vAlign w:val="center"/>
                </w:tcPr>
                <w:p>
                  <w:pPr>
                    <w:adjustRightInd w:val="0"/>
                    <w:snapToGrid w:val="0"/>
                    <w:jc w:val="center"/>
                    <w:rPr>
                      <w:snapToGrid w:val="0"/>
                      <w:color w:val="auto"/>
                      <w:kern w:val="0"/>
                      <w:szCs w:val="21"/>
                    </w:rPr>
                  </w:pPr>
                  <w:r>
                    <w:rPr>
                      <w:snapToGrid w:val="0"/>
                      <w:color w:val="auto"/>
                      <w:kern w:val="0"/>
                      <w:szCs w:val="21"/>
                    </w:rPr>
                    <w:t>/</w:t>
                  </w:r>
                </w:p>
              </w:tc>
              <w:tc>
                <w:tcPr>
                  <w:tcW w:w="778" w:type="pct"/>
                  <w:tcBorders>
                    <w:tl2br w:val="nil"/>
                    <w:tr2bl w:val="nil"/>
                  </w:tcBorders>
                  <w:vAlign w:val="center"/>
                </w:tcPr>
                <w:p>
                  <w:pPr>
                    <w:adjustRightInd w:val="0"/>
                    <w:snapToGrid w:val="0"/>
                    <w:jc w:val="center"/>
                    <w:rPr>
                      <w:snapToGrid w:val="0"/>
                      <w:color w:val="auto"/>
                      <w:kern w:val="0"/>
                      <w:szCs w:val="21"/>
                    </w:rPr>
                  </w:pPr>
                  <w:r>
                    <w:rPr>
                      <w:snapToGrid w:val="0"/>
                      <w:color w:val="auto"/>
                      <w:kern w:val="0"/>
                      <w:szCs w:val="21"/>
                    </w:rPr>
                    <w:t>/</w:t>
                  </w:r>
                </w:p>
              </w:tc>
              <w:tc>
                <w:tcPr>
                  <w:tcW w:w="619" w:type="pct"/>
                  <w:tcBorders>
                    <w:tl2br w:val="nil"/>
                    <w:tr2bl w:val="nil"/>
                  </w:tcBorders>
                  <w:vAlign w:val="center"/>
                </w:tcPr>
                <w:p>
                  <w:pPr>
                    <w:adjustRightInd w:val="0"/>
                    <w:snapToGrid w:val="0"/>
                    <w:jc w:val="center"/>
                    <w:rPr>
                      <w:snapToGrid w:val="0"/>
                      <w:color w:val="auto"/>
                      <w:kern w:val="0"/>
                      <w:szCs w:val="21"/>
                    </w:rPr>
                  </w:pPr>
                  <w:r>
                    <w:rPr>
                      <w:snapToGrid w:val="0"/>
                      <w:color w:val="auto"/>
                      <w:kern w:val="0"/>
                      <w:szCs w:val="21"/>
                    </w:rPr>
                    <w:t>新鲜水</w:t>
                  </w:r>
                </w:p>
              </w:tc>
              <w:tc>
                <w:tcPr>
                  <w:tcW w:w="801" w:type="pct"/>
                  <w:tcBorders>
                    <w:tl2br w:val="nil"/>
                    <w:tr2bl w:val="nil"/>
                  </w:tcBorders>
                  <w:vAlign w:val="center"/>
                </w:tcPr>
                <w:p>
                  <w:pPr>
                    <w:adjustRightInd w:val="0"/>
                    <w:snapToGrid w:val="0"/>
                    <w:jc w:val="center"/>
                    <w:rPr>
                      <w:rFonts w:hint="default" w:eastAsia="宋体"/>
                      <w:snapToGrid w:val="0"/>
                      <w:color w:val="auto"/>
                      <w:kern w:val="0"/>
                      <w:szCs w:val="21"/>
                      <w:lang w:val="en-US" w:eastAsia="zh-CN"/>
                    </w:rPr>
                  </w:pPr>
                  <w:r>
                    <w:rPr>
                      <w:rFonts w:hint="eastAsia"/>
                      <w:snapToGrid w:val="0"/>
                      <w:color w:val="auto"/>
                      <w:kern w:val="0"/>
                      <w:szCs w:val="21"/>
                      <w:lang w:val="en-US" w:eastAsia="zh-CN"/>
                    </w:rPr>
                    <w:t>11.75</w:t>
                  </w:r>
                </w:p>
              </w:tc>
              <w:tc>
                <w:tcPr>
                  <w:tcW w:w="868" w:type="pct"/>
                  <w:tcBorders>
                    <w:tl2br w:val="nil"/>
                    <w:tr2bl w:val="nil"/>
                  </w:tcBorders>
                  <w:vAlign w:val="center"/>
                </w:tcPr>
                <w:p>
                  <w:pPr>
                    <w:adjustRightInd w:val="0"/>
                    <w:snapToGrid w:val="0"/>
                    <w:jc w:val="center"/>
                    <w:rPr>
                      <w:rFonts w:hint="default" w:eastAsia="宋体"/>
                      <w:snapToGrid w:val="0"/>
                      <w:color w:val="auto"/>
                      <w:kern w:val="0"/>
                      <w:szCs w:val="21"/>
                      <w:lang w:val="en-US" w:eastAsia="zh-CN"/>
                    </w:rPr>
                  </w:pPr>
                  <w:r>
                    <w:rPr>
                      <w:rFonts w:hint="eastAsia"/>
                      <w:snapToGrid w:val="0"/>
                      <w:color w:val="auto"/>
                      <w:kern w:val="0"/>
                      <w:szCs w:val="21"/>
                      <w:lang w:val="en-US" w:eastAsia="zh-CN"/>
                    </w:rPr>
                    <w:t>3525</w:t>
                  </w:r>
                </w:p>
              </w:tc>
            </w:tr>
          </w:tbl>
          <w:p>
            <w:pPr>
              <w:adjustRightInd w:val="0"/>
              <w:snapToGrid w:val="0"/>
              <w:spacing w:line="360" w:lineRule="auto"/>
              <w:ind w:firstLine="480" w:firstLineChars="200"/>
              <w:jc w:val="left"/>
              <w:rPr>
                <w:color w:val="auto"/>
              </w:rPr>
            </w:pPr>
            <w:r>
              <w:rPr>
                <w:bCs/>
                <w:color w:val="auto"/>
                <w:kern w:val="0"/>
                <w:sz w:val="24"/>
              </w:rPr>
              <w:t>综上，本项目用水量为</w:t>
            </w:r>
            <w:r>
              <w:rPr>
                <w:rFonts w:hint="eastAsia"/>
                <w:bCs/>
                <w:color w:val="auto"/>
                <w:kern w:val="0"/>
                <w:sz w:val="24"/>
                <w:lang w:val="en-US" w:eastAsia="zh-CN"/>
              </w:rPr>
              <w:t>11.75</w:t>
            </w:r>
            <w:r>
              <w:rPr>
                <w:bCs/>
                <w:color w:val="auto"/>
                <w:kern w:val="0"/>
                <w:sz w:val="24"/>
              </w:rPr>
              <w:t>m</w:t>
            </w:r>
            <w:r>
              <w:rPr>
                <w:bCs/>
                <w:color w:val="auto"/>
                <w:kern w:val="0"/>
                <w:sz w:val="24"/>
                <w:vertAlign w:val="superscript"/>
              </w:rPr>
              <w:t>3</w:t>
            </w:r>
            <w:r>
              <w:rPr>
                <w:bCs/>
                <w:color w:val="auto"/>
                <w:kern w:val="0"/>
                <w:sz w:val="24"/>
              </w:rPr>
              <w:t>/d，</w:t>
            </w:r>
            <w:r>
              <w:rPr>
                <w:rFonts w:hint="eastAsia"/>
                <w:bCs/>
                <w:color w:val="auto"/>
                <w:kern w:val="0"/>
                <w:sz w:val="24"/>
                <w:lang w:val="en-US" w:eastAsia="zh-CN"/>
              </w:rPr>
              <w:t>3525</w:t>
            </w:r>
            <w:r>
              <w:rPr>
                <w:bCs/>
                <w:color w:val="auto"/>
                <w:kern w:val="0"/>
                <w:sz w:val="24"/>
              </w:rPr>
              <w:t>m</w:t>
            </w:r>
            <w:r>
              <w:rPr>
                <w:bCs/>
                <w:color w:val="auto"/>
                <w:kern w:val="0"/>
                <w:sz w:val="24"/>
                <w:vertAlign w:val="superscript"/>
              </w:rPr>
              <w:t>3</w:t>
            </w:r>
            <w:r>
              <w:rPr>
                <w:bCs/>
                <w:color w:val="auto"/>
                <w:kern w:val="0"/>
                <w:sz w:val="24"/>
              </w:rPr>
              <w:t>/a。</w:t>
            </w:r>
          </w:p>
          <w:p>
            <w:pPr>
              <w:adjustRightInd w:val="0"/>
              <w:snapToGrid w:val="0"/>
              <w:spacing w:line="360" w:lineRule="auto"/>
              <w:ind w:firstLine="482" w:firstLineChars="200"/>
              <w:jc w:val="left"/>
              <w:rPr>
                <w:b/>
                <w:bCs/>
                <w:color w:val="auto"/>
                <w:sz w:val="24"/>
              </w:rPr>
            </w:pPr>
            <w:r>
              <w:rPr>
                <w:b/>
                <w:bCs/>
                <w:color w:val="auto"/>
                <w:sz w:val="24"/>
              </w:rPr>
              <w:t>（2）排水</w:t>
            </w:r>
          </w:p>
          <w:p>
            <w:pPr>
              <w:adjustRightInd w:val="0"/>
              <w:snapToGrid w:val="0"/>
              <w:spacing w:line="360" w:lineRule="auto"/>
              <w:ind w:firstLine="480" w:firstLineChars="200"/>
              <w:jc w:val="left"/>
              <w:rPr>
                <w:color w:val="auto"/>
                <w:sz w:val="24"/>
              </w:rPr>
            </w:pPr>
            <w:r>
              <w:rPr>
                <w:bCs/>
                <w:color w:val="auto"/>
                <w:kern w:val="0"/>
                <w:sz w:val="24"/>
              </w:rPr>
              <w:t>①生活污水</w:t>
            </w:r>
          </w:p>
          <w:p>
            <w:pPr>
              <w:adjustRightInd w:val="0"/>
              <w:snapToGrid w:val="0"/>
              <w:spacing w:line="360" w:lineRule="auto"/>
              <w:ind w:firstLine="480" w:firstLineChars="200"/>
              <w:jc w:val="left"/>
              <w:rPr>
                <w:color w:val="auto"/>
                <w:sz w:val="24"/>
              </w:rPr>
            </w:pPr>
            <w:r>
              <w:rPr>
                <w:bCs/>
                <w:color w:val="auto"/>
                <w:kern w:val="0"/>
                <w:sz w:val="24"/>
              </w:rPr>
              <w:t>项目营运期工作人员生活用水量为0.75m</w:t>
            </w:r>
            <w:r>
              <w:rPr>
                <w:color w:val="auto"/>
                <w:sz w:val="24"/>
                <w:vertAlign w:val="superscript"/>
              </w:rPr>
              <w:t>3</w:t>
            </w:r>
            <w:r>
              <w:rPr>
                <w:bCs/>
                <w:color w:val="auto"/>
                <w:kern w:val="0"/>
                <w:sz w:val="24"/>
              </w:rPr>
              <w:t>/d，</w:t>
            </w:r>
            <w:r>
              <w:rPr>
                <w:color w:val="auto"/>
                <w:sz w:val="24"/>
              </w:rPr>
              <w:t>生活污水按照用水量80%计，日产生量约为0.6m</w:t>
            </w:r>
            <w:r>
              <w:rPr>
                <w:color w:val="auto"/>
                <w:sz w:val="24"/>
                <w:vertAlign w:val="superscript"/>
              </w:rPr>
              <w:t>3</w:t>
            </w:r>
            <w:r>
              <w:rPr>
                <w:color w:val="auto"/>
                <w:sz w:val="24"/>
              </w:rPr>
              <w:t>/d，180m</w:t>
            </w:r>
            <w:r>
              <w:rPr>
                <w:color w:val="auto"/>
                <w:sz w:val="24"/>
                <w:vertAlign w:val="superscript"/>
              </w:rPr>
              <w:t>3</w:t>
            </w:r>
            <w:r>
              <w:rPr>
                <w:color w:val="auto"/>
                <w:sz w:val="24"/>
              </w:rPr>
              <w:t>/a，生活污水依托乐山铁匠世家手工刀具有限公司化粪池（10m</w:t>
            </w:r>
            <w:r>
              <w:rPr>
                <w:color w:val="auto"/>
                <w:sz w:val="24"/>
                <w:vertAlign w:val="superscript"/>
              </w:rPr>
              <w:t>3</w:t>
            </w:r>
            <w:r>
              <w:rPr>
                <w:color w:val="auto"/>
                <w:sz w:val="24"/>
              </w:rPr>
              <w:t>）处理后用于农田施肥，不外排。</w:t>
            </w:r>
          </w:p>
          <w:p>
            <w:pPr>
              <w:adjustRightInd w:val="0"/>
              <w:snapToGrid w:val="0"/>
              <w:spacing w:line="360" w:lineRule="auto"/>
              <w:ind w:firstLine="480" w:firstLineChars="200"/>
              <w:jc w:val="left"/>
              <w:rPr>
                <w:bCs/>
                <w:color w:val="auto"/>
                <w:kern w:val="0"/>
                <w:sz w:val="24"/>
              </w:rPr>
            </w:pPr>
            <w:r>
              <w:rPr>
                <w:bCs/>
                <w:color w:val="auto"/>
                <w:kern w:val="0"/>
                <w:sz w:val="24"/>
              </w:rPr>
              <w:t>②产品用水</w:t>
            </w:r>
          </w:p>
          <w:p>
            <w:pPr>
              <w:adjustRightInd w:val="0"/>
              <w:snapToGrid w:val="0"/>
              <w:spacing w:line="360" w:lineRule="auto"/>
              <w:ind w:firstLine="480" w:firstLineChars="200"/>
              <w:jc w:val="left"/>
              <w:rPr>
                <w:bCs/>
                <w:color w:val="auto"/>
                <w:kern w:val="0"/>
                <w:sz w:val="24"/>
              </w:rPr>
            </w:pPr>
            <w:r>
              <w:rPr>
                <w:bCs/>
                <w:color w:val="auto"/>
                <w:kern w:val="0"/>
                <w:sz w:val="24"/>
              </w:rPr>
              <w:t>产品用水均进入产品内不外排。</w:t>
            </w:r>
          </w:p>
          <w:p>
            <w:pPr>
              <w:adjustRightInd w:val="0"/>
              <w:snapToGrid w:val="0"/>
              <w:spacing w:line="360" w:lineRule="auto"/>
              <w:ind w:firstLine="480" w:firstLineChars="200"/>
              <w:jc w:val="left"/>
              <w:rPr>
                <w:color w:val="auto"/>
                <w:sz w:val="24"/>
              </w:rPr>
            </w:pPr>
            <w:r>
              <w:rPr>
                <w:color w:val="auto"/>
                <w:sz w:val="24"/>
              </w:rPr>
              <w:t>③</w:t>
            </w:r>
            <w:r>
              <w:rPr>
                <w:bCs/>
                <w:color w:val="auto"/>
                <w:kern w:val="0"/>
                <w:sz w:val="24"/>
              </w:rPr>
              <w:t>初期雨水</w:t>
            </w:r>
          </w:p>
          <w:p>
            <w:pPr>
              <w:adjustRightInd w:val="0"/>
              <w:snapToGrid w:val="0"/>
              <w:spacing w:line="360" w:lineRule="auto"/>
              <w:ind w:firstLine="480" w:firstLineChars="200"/>
              <w:jc w:val="left"/>
              <w:rPr>
                <w:bCs/>
                <w:color w:val="auto"/>
                <w:kern w:val="0"/>
                <w:sz w:val="24"/>
              </w:rPr>
            </w:pPr>
            <w:r>
              <w:rPr>
                <w:color w:val="auto"/>
                <w:sz w:val="24"/>
              </w:rPr>
              <w:t>场内设置雨水沟，初期雨水通过场地雨水沟排入厂区三级沉淀池（200m</w:t>
            </w:r>
            <w:r>
              <w:rPr>
                <w:color w:val="auto"/>
                <w:sz w:val="24"/>
                <w:vertAlign w:val="superscript"/>
              </w:rPr>
              <w:t>3</w:t>
            </w:r>
            <w:r>
              <w:rPr>
                <w:color w:val="auto"/>
                <w:sz w:val="24"/>
              </w:rPr>
              <w:t>）沉淀处理后回用。</w:t>
            </w:r>
          </w:p>
          <w:p>
            <w:pPr>
              <w:adjustRightInd w:val="0"/>
              <w:snapToGrid w:val="0"/>
              <w:spacing w:line="360" w:lineRule="auto"/>
              <w:ind w:firstLine="480" w:firstLineChars="200"/>
              <w:jc w:val="left"/>
              <w:rPr>
                <w:color w:val="auto"/>
                <w:sz w:val="24"/>
              </w:rPr>
            </w:pPr>
            <w:r>
              <w:rPr>
                <w:color w:val="auto"/>
                <w:sz w:val="24"/>
              </w:rPr>
              <w:t>④</w:t>
            </w:r>
            <w:r>
              <w:rPr>
                <w:bCs/>
                <w:color w:val="auto"/>
                <w:kern w:val="0"/>
                <w:sz w:val="24"/>
              </w:rPr>
              <w:t>喷雾降尘用水</w:t>
            </w:r>
          </w:p>
          <w:p>
            <w:pPr>
              <w:adjustRightInd w:val="0"/>
              <w:snapToGrid w:val="0"/>
              <w:spacing w:line="360" w:lineRule="auto"/>
              <w:ind w:firstLine="480" w:firstLineChars="200"/>
              <w:jc w:val="left"/>
              <w:rPr>
                <w:color w:val="auto"/>
                <w:sz w:val="24"/>
              </w:rPr>
            </w:pPr>
            <w:r>
              <w:rPr>
                <w:bCs/>
                <w:color w:val="auto"/>
                <w:kern w:val="0"/>
                <w:sz w:val="24"/>
              </w:rPr>
              <w:t>洒水除尘用水自然蒸发不外排。</w:t>
            </w:r>
          </w:p>
          <w:p>
            <w:pPr>
              <w:adjustRightInd w:val="0"/>
              <w:snapToGrid w:val="0"/>
              <w:spacing w:line="360" w:lineRule="auto"/>
              <w:ind w:firstLine="480" w:firstLineChars="200"/>
              <w:jc w:val="left"/>
              <w:rPr>
                <w:color w:val="auto"/>
                <w:sz w:val="24"/>
              </w:rPr>
            </w:pPr>
            <w:r>
              <w:rPr>
                <w:color w:val="auto"/>
                <w:sz w:val="24"/>
              </w:rPr>
              <w:t>⑤搅拌设备、罐车、地面清洗用水</w:t>
            </w:r>
          </w:p>
          <w:p>
            <w:pPr>
              <w:adjustRightInd w:val="0"/>
              <w:snapToGrid w:val="0"/>
              <w:spacing w:line="360" w:lineRule="auto"/>
              <w:ind w:firstLine="480" w:firstLineChars="200"/>
              <w:jc w:val="left"/>
              <w:rPr>
                <w:color w:val="auto"/>
              </w:rPr>
            </w:pPr>
            <w:r>
              <w:rPr>
                <w:color w:val="auto"/>
                <w:sz w:val="24"/>
              </w:rPr>
              <w:t>搅拌设备、运输罐车的清洗废水经厂区内</w:t>
            </w:r>
            <w:r>
              <w:rPr>
                <w:rFonts w:hint="eastAsia"/>
                <w:color w:val="auto"/>
                <w:sz w:val="24"/>
                <w:lang w:eastAsia="zh-CN"/>
              </w:rPr>
              <w:t>集水沟</w:t>
            </w:r>
            <w:r>
              <w:rPr>
                <w:color w:val="auto"/>
                <w:sz w:val="24"/>
              </w:rPr>
              <w:t>收集进入沉淀池，项目南侧设置</w:t>
            </w:r>
            <w:r>
              <w:rPr>
                <w:bCs/>
                <w:color w:val="auto"/>
                <w:kern w:val="0"/>
                <w:sz w:val="24"/>
              </w:rPr>
              <w:t>1个三级沉淀池，沉淀池有效容积为200</w:t>
            </w:r>
            <w:r>
              <w:rPr>
                <w:color w:val="auto"/>
                <w:sz w:val="24"/>
              </w:rPr>
              <w:t>m</w:t>
            </w:r>
            <w:r>
              <w:rPr>
                <w:color w:val="auto"/>
                <w:sz w:val="24"/>
                <w:vertAlign w:val="superscript"/>
              </w:rPr>
              <w:t>3</w:t>
            </w:r>
            <w:r>
              <w:rPr>
                <w:bCs/>
                <w:color w:val="auto"/>
                <w:kern w:val="0"/>
                <w:sz w:val="24"/>
              </w:rPr>
              <w:t>，过滤后清水回用于项目产品用水，不外排</w:t>
            </w:r>
            <w:r>
              <w:rPr>
                <w:color w:val="auto"/>
                <w:sz w:val="24"/>
              </w:rPr>
              <w:t>。</w:t>
            </w:r>
          </w:p>
          <w:p>
            <w:pPr>
              <w:adjustRightInd w:val="0"/>
              <w:snapToGrid w:val="0"/>
              <w:spacing w:line="360" w:lineRule="auto"/>
              <w:jc w:val="center"/>
              <w:rPr>
                <w:color w:val="auto"/>
                <w:sz w:val="24"/>
              </w:rPr>
            </w:pPr>
            <w:r>
              <w:rPr>
                <w:color w:val="auto"/>
                <w:sz w:val="24"/>
              </w:rPr>
              <w:object>
                <v:shape id="_x0000_i1064" o:spt="75" type="#_x0000_t75" style="height:255.85pt;width:360.7pt;" o:ole="t" filled="f" o:preferrelative="t" stroked="f" coordsize="21600,21600">
                  <v:path/>
                  <v:fill on="f" focussize="0,0"/>
                  <v:stroke on="f"/>
                  <v:imagedata r:id="rId49" o:title=""/>
                  <o:lock v:ext="edit" aspectratio="f"/>
                  <w10:wrap type="none"/>
                  <w10:anchorlock/>
                </v:shape>
                <o:OLEObject Type="Embed" ProgID="Visio.Drawing.11" ShapeID="_x0000_i1064" DrawAspect="Content" ObjectID="_1468075725" r:id="rId48">
                  <o:LockedField>false</o:LockedField>
                </o:OLEObject>
              </w:object>
            </w:r>
          </w:p>
          <w:p>
            <w:pPr>
              <w:spacing w:after="120"/>
              <w:jc w:val="center"/>
              <w:rPr>
                <w:color w:val="auto"/>
              </w:rPr>
            </w:pPr>
            <w:r>
              <w:rPr>
                <w:b/>
                <w:bCs/>
                <w:color w:val="auto"/>
                <w:szCs w:val="21"/>
              </w:rPr>
              <w:t>图2-1  项目水平衡图  单位：m</w:t>
            </w:r>
            <w:r>
              <w:rPr>
                <w:b/>
                <w:bCs/>
                <w:color w:val="auto"/>
                <w:szCs w:val="21"/>
                <w:vertAlign w:val="superscript"/>
              </w:rPr>
              <w:t>3</w:t>
            </w:r>
            <w:r>
              <w:rPr>
                <w:b/>
                <w:bCs/>
                <w:color w:val="auto"/>
                <w:szCs w:val="21"/>
              </w:rPr>
              <w:t>/d</w:t>
            </w:r>
          </w:p>
          <w:p>
            <w:pPr>
              <w:spacing w:line="360" w:lineRule="auto"/>
              <w:ind w:firstLine="482" w:firstLineChars="200"/>
              <w:rPr>
                <w:b/>
                <w:bCs/>
                <w:color w:val="auto"/>
                <w:sz w:val="24"/>
              </w:rPr>
            </w:pPr>
            <w:r>
              <w:rPr>
                <w:b/>
                <w:bCs/>
                <w:color w:val="auto"/>
                <w:sz w:val="24"/>
              </w:rPr>
              <w:t>（3）供电</w:t>
            </w:r>
          </w:p>
          <w:p>
            <w:pPr>
              <w:spacing w:line="360" w:lineRule="auto"/>
              <w:ind w:firstLine="480" w:firstLineChars="200"/>
              <w:rPr>
                <w:color w:val="auto"/>
                <w:sz w:val="24"/>
              </w:rPr>
            </w:pPr>
            <w:r>
              <w:rPr>
                <w:color w:val="auto"/>
                <w:sz w:val="24"/>
              </w:rPr>
              <w:t>本项目供电设施由当地电网引入10</w:t>
            </w:r>
            <w:r>
              <w:rPr>
                <w:rFonts w:hint="eastAsia"/>
                <w:color w:val="auto"/>
                <w:sz w:val="24"/>
                <w:lang w:val="en-US" w:eastAsia="zh-CN"/>
              </w:rPr>
              <w:t>k</w:t>
            </w:r>
            <w:r>
              <w:rPr>
                <w:color w:val="auto"/>
                <w:sz w:val="24"/>
              </w:rPr>
              <w:t>V电源供给，电力稳定可靠，项目主要用电负荷为工艺生产设备用电、生命安全及通讯设备用电、办公用电和生产辅助用电</w:t>
            </w:r>
            <w:r>
              <w:rPr>
                <w:rFonts w:hint="eastAsia"/>
                <w:color w:val="auto"/>
                <w:sz w:val="24"/>
              </w:rPr>
              <w:t>等，不设置柴油发电机</w:t>
            </w:r>
            <w:r>
              <w:rPr>
                <w:color w:val="auto"/>
                <w:sz w:val="24"/>
              </w:rPr>
              <w:t>。</w:t>
            </w:r>
          </w:p>
          <w:p>
            <w:pPr>
              <w:widowControl/>
              <w:spacing w:line="360" w:lineRule="auto"/>
              <w:ind w:firstLine="482" w:firstLineChars="200"/>
              <w:jc w:val="left"/>
              <w:rPr>
                <w:b/>
                <w:bCs/>
                <w:color w:val="auto"/>
                <w:sz w:val="24"/>
              </w:rPr>
            </w:pPr>
            <w:r>
              <w:rPr>
                <w:b/>
                <w:bCs/>
                <w:color w:val="auto"/>
                <w:kern w:val="0"/>
                <w:sz w:val="24"/>
              </w:rPr>
              <w:t>7、厂区平面布置合理性分析</w:t>
            </w:r>
          </w:p>
          <w:p>
            <w:pPr>
              <w:spacing w:line="360" w:lineRule="auto"/>
              <w:ind w:firstLine="480" w:firstLineChars="200"/>
              <w:rPr>
                <w:bCs/>
                <w:color w:val="auto"/>
                <w:kern w:val="0"/>
                <w:sz w:val="24"/>
              </w:rPr>
            </w:pPr>
            <w:r>
              <w:rPr>
                <w:bCs/>
                <w:color w:val="auto"/>
                <w:kern w:val="0"/>
                <w:sz w:val="24"/>
              </w:rPr>
              <w:t>本项目拆除原厂区地上所有构筑物，在拆除后的空地上建设本项目（本项目所有建筑物均新建，对场地重新硬化）。项目拟建场地位于乐青路北面，有较好的交通运输条件；入口处布置地磅和</w:t>
            </w:r>
            <w:r>
              <w:rPr>
                <w:rFonts w:hint="eastAsia"/>
                <w:bCs/>
                <w:color w:val="auto"/>
                <w:kern w:val="0"/>
                <w:sz w:val="24"/>
                <w:lang w:eastAsia="zh-CN"/>
              </w:rPr>
              <w:t>洗车池</w:t>
            </w:r>
            <w:r>
              <w:rPr>
                <w:bCs/>
                <w:color w:val="auto"/>
                <w:kern w:val="0"/>
                <w:sz w:val="24"/>
              </w:rPr>
              <w:t>；搅拌设备布置于场地</w:t>
            </w:r>
            <w:r>
              <w:rPr>
                <w:rFonts w:hint="eastAsia"/>
                <w:bCs/>
                <w:color w:val="auto"/>
                <w:kern w:val="0"/>
                <w:sz w:val="24"/>
                <w:lang w:eastAsia="zh-CN"/>
              </w:rPr>
              <w:t>西</w:t>
            </w:r>
            <w:r>
              <w:rPr>
                <w:bCs/>
                <w:color w:val="auto"/>
                <w:kern w:val="0"/>
                <w:sz w:val="24"/>
              </w:rPr>
              <w:t>侧，距场地周围散户居民距离较远，其中搅拌机布置于距入口较近的方位，方便罐车运输；骨料原料堆场布置于场地东侧，总体来说，本项目总体布局合理，功能分区明确，组织协作良好。根据工艺流程，建设单位在拟建场地</w:t>
            </w:r>
            <w:r>
              <w:rPr>
                <w:rFonts w:hint="eastAsia"/>
                <w:bCs/>
                <w:color w:val="auto"/>
                <w:kern w:val="0"/>
                <w:sz w:val="24"/>
                <w:lang w:eastAsia="zh-CN"/>
              </w:rPr>
              <w:t>东</w:t>
            </w:r>
            <w:r>
              <w:rPr>
                <w:bCs/>
                <w:color w:val="auto"/>
                <w:kern w:val="0"/>
                <w:sz w:val="24"/>
              </w:rPr>
              <w:t>南侧布置一座三级沉淀池，项目运营产生的冲洗废水及雨天的初期雨水通过排水沟流入沉淀池，废水经沉淀池沉淀后回用于生产、冲洗、洒水降尘等，不外排。</w:t>
            </w:r>
          </w:p>
          <w:p>
            <w:pPr>
              <w:spacing w:line="360" w:lineRule="auto"/>
              <w:ind w:firstLine="480" w:firstLineChars="200"/>
              <w:rPr>
                <w:bCs/>
                <w:color w:val="auto"/>
                <w:kern w:val="0"/>
                <w:sz w:val="24"/>
              </w:rPr>
            </w:pPr>
            <w:r>
              <w:rPr>
                <w:bCs/>
                <w:color w:val="auto"/>
                <w:kern w:val="0"/>
                <w:sz w:val="24"/>
              </w:rPr>
              <w:t>因此，评价认为，项目总平面布置合理。</w:t>
            </w:r>
          </w:p>
          <w:p>
            <w:pPr>
              <w:spacing w:line="360" w:lineRule="auto"/>
              <w:rPr>
                <w:bCs/>
                <w:color w:val="auto"/>
                <w:kern w:val="0"/>
                <w:sz w:val="24"/>
              </w:rPr>
            </w:pPr>
            <w:r>
              <w:rPr>
                <w:color w:val="auto"/>
              </w:rPr>
              <w:drawing>
                <wp:inline distT="0" distB="0" distL="114300" distR="114300">
                  <wp:extent cx="5269865" cy="3551555"/>
                  <wp:effectExtent l="0" t="0" r="6985" b="1079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50"/>
                          <a:stretch>
                            <a:fillRect/>
                          </a:stretch>
                        </pic:blipFill>
                        <pic:spPr>
                          <a:xfrm>
                            <a:off x="0" y="0"/>
                            <a:ext cx="5269865" cy="3551555"/>
                          </a:xfrm>
                          <a:prstGeom prst="rect">
                            <a:avLst/>
                          </a:prstGeom>
                          <a:noFill/>
                          <a:ln>
                            <a:noFill/>
                          </a:ln>
                        </pic:spPr>
                      </pic:pic>
                    </a:graphicData>
                  </a:graphic>
                </wp:inline>
              </w:drawing>
            </w:r>
          </w:p>
          <w:p>
            <w:pPr>
              <w:spacing w:line="360" w:lineRule="auto"/>
              <w:jc w:val="center"/>
              <w:rPr>
                <w:color w:val="auto"/>
                <w:sz w:val="24"/>
              </w:rPr>
            </w:pPr>
            <w:r>
              <w:rPr>
                <w:b/>
                <w:bCs/>
                <w:color w:val="auto"/>
                <w:szCs w:val="21"/>
              </w:rPr>
              <w:t>图2-2  项目总平面布置图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97" w:hRule="atLeast"/>
          <w:jc w:val="center"/>
        </w:trPr>
        <w:tc>
          <w:tcPr>
            <w:tcW w:w="577" w:type="pct"/>
            <w:tcMar>
              <w:top w:w="16" w:type="dxa"/>
              <w:left w:w="16" w:type="dxa"/>
              <w:right w:w="16" w:type="dxa"/>
            </w:tcMar>
            <w:vAlign w:val="center"/>
          </w:tcPr>
          <w:p>
            <w:pPr>
              <w:adjustRightInd w:val="0"/>
              <w:snapToGrid w:val="0"/>
              <w:jc w:val="center"/>
              <w:rPr>
                <w:color w:val="auto"/>
                <w:sz w:val="24"/>
              </w:rPr>
            </w:pPr>
            <w:r>
              <w:rPr>
                <w:color w:val="auto"/>
                <w:sz w:val="24"/>
              </w:rPr>
              <w:t>工艺流程和产排污环节</w:t>
            </w:r>
          </w:p>
        </w:tc>
        <w:tc>
          <w:tcPr>
            <w:tcW w:w="4422" w:type="pct"/>
            <w:vAlign w:val="center"/>
          </w:tcPr>
          <w:p>
            <w:pPr>
              <w:adjustRightInd w:val="0"/>
              <w:snapToGrid w:val="0"/>
              <w:spacing w:line="360" w:lineRule="auto"/>
              <w:ind w:firstLine="482" w:firstLineChars="200"/>
              <w:rPr>
                <w:b/>
                <w:bCs/>
                <w:color w:val="auto"/>
                <w:sz w:val="24"/>
              </w:rPr>
            </w:pPr>
            <w:r>
              <w:rPr>
                <w:b/>
                <w:bCs/>
                <w:color w:val="auto"/>
                <w:sz w:val="24"/>
              </w:rPr>
              <w:t>1、施工期工艺流程</w:t>
            </w:r>
          </w:p>
          <w:p>
            <w:pPr>
              <w:adjustRightInd w:val="0"/>
              <w:snapToGrid w:val="0"/>
              <w:spacing w:line="360" w:lineRule="auto"/>
              <w:ind w:firstLine="480" w:firstLineChars="200"/>
              <w:rPr>
                <w:color w:val="auto"/>
                <w:sz w:val="24"/>
              </w:rPr>
            </w:pPr>
            <w:r>
              <w:rPr>
                <w:color w:val="auto"/>
                <w:sz w:val="24"/>
              </w:rPr>
              <w:t>本项目施工期需拆除原堆场地上全部构筑物，在拆除后的空地上建设本项目。施工期主要污染物为构筑物拆除、厂房修建、设备安装等过程中产生的扬尘、车辆尾气、施工废水、生活污水、噪声、建筑垃圾、生活垃圾等。其施工工艺流程及产污环节详见图2-3。</w:t>
            </w:r>
          </w:p>
          <w:p>
            <w:pPr>
              <w:adjustRightInd w:val="0"/>
              <w:snapToGrid w:val="0"/>
              <w:spacing w:line="360" w:lineRule="auto"/>
              <w:jc w:val="center"/>
              <w:rPr>
                <w:color w:val="auto"/>
              </w:rPr>
            </w:pPr>
            <w:r>
              <w:rPr>
                <w:color w:val="auto"/>
              </w:rPr>
              <w:drawing>
                <wp:inline distT="0" distB="0" distL="114300" distR="114300">
                  <wp:extent cx="5554980" cy="1671955"/>
                  <wp:effectExtent l="0" t="0" r="7620" b="4445"/>
                  <wp:docPr id="17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9"/>
                          <pic:cNvPicPr>
                            <a:picLocks noChangeAspect="1"/>
                          </pic:cNvPicPr>
                        </pic:nvPicPr>
                        <pic:blipFill>
                          <a:blip r:embed="rId51"/>
                          <a:stretch>
                            <a:fillRect/>
                          </a:stretch>
                        </pic:blipFill>
                        <pic:spPr>
                          <a:xfrm>
                            <a:off x="0" y="0"/>
                            <a:ext cx="5554980" cy="1671955"/>
                          </a:xfrm>
                          <a:prstGeom prst="rect">
                            <a:avLst/>
                          </a:prstGeom>
                          <a:noFill/>
                          <a:ln>
                            <a:noFill/>
                          </a:ln>
                        </pic:spPr>
                      </pic:pic>
                    </a:graphicData>
                  </a:graphic>
                </wp:inline>
              </w:drawing>
            </w:r>
          </w:p>
          <w:p>
            <w:pPr>
              <w:adjustRightInd w:val="0"/>
              <w:snapToGrid w:val="0"/>
              <w:spacing w:line="360" w:lineRule="auto"/>
              <w:jc w:val="center"/>
              <w:rPr>
                <w:b/>
                <w:bCs/>
                <w:color w:val="auto"/>
                <w:szCs w:val="21"/>
              </w:rPr>
            </w:pPr>
            <w:r>
              <w:rPr>
                <w:b/>
                <w:bCs/>
                <w:color w:val="auto"/>
                <w:szCs w:val="21"/>
              </w:rPr>
              <w:t>图2-3  施工期工艺流程及产污环节图</w:t>
            </w:r>
          </w:p>
          <w:p>
            <w:pPr>
              <w:adjustRightInd w:val="0"/>
              <w:snapToGrid w:val="0"/>
              <w:spacing w:line="360" w:lineRule="auto"/>
              <w:ind w:firstLine="482" w:firstLineChars="200"/>
              <w:rPr>
                <w:b/>
                <w:bCs/>
                <w:color w:val="auto"/>
                <w:sz w:val="24"/>
              </w:rPr>
            </w:pPr>
            <w:r>
              <w:rPr>
                <w:b/>
                <w:bCs/>
                <w:color w:val="auto"/>
                <w:sz w:val="24"/>
              </w:rPr>
              <w:t>工艺流程简述：</w:t>
            </w:r>
          </w:p>
          <w:p>
            <w:pPr>
              <w:adjustRightInd w:val="0"/>
              <w:snapToGrid w:val="0"/>
              <w:spacing w:line="360" w:lineRule="auto"/>
              <w:ind w:firstLine="480" w:firstLineChars="200"/>
              <w:rPr>
                <w:rFonts w:eastAsiaTheme="minorEastAsia"/>
                <w:color w:val="auto"/>
                <w:sz w:val="24"/>
              </w:rPr>
            </w:pPr>
            <w:r>
              <w:rPr>
                <w:color w:val="auto"/>
                <w:sz w:val="24"/>
              </w:rPr>
              <w:t>（1）原构筑物拆除：主要对原地上全部构筑物进行拆除、对场内堆存废物进行清理；</w:t>
            </w:r>
          </w:p>
          <w:p>
            <w:pPr>
              <w:adjustRightInd w:val="0"/>
              <w:snapToGrid w:val="0"/>
              <w:spacing w:line="360" w:lineRule="auto"/>
              <w:ind w:firstLine="480" w:firstLineChars="200"/>
              <w:rPr>
                <w:color w:val="auto"/>
                <w:sz w:val="24"/>
              </w:rPr>
            </w:pPr>
            <w:r>
              <w:rPr>
                <w:color w:val="auto"/>
                <w:sz w:val="24"/>
              </w:rPr>
              <w:t>（2）基础工程：本项目施工期的基础工程建设主要指厂房建设的土石方开挖与钢砼柱梁浇注；</w:t>
            </w:r>
          </w:p>
          <w:p>
            <w:pPr>
              <w:adjustRightInd w:val="0"/>
              <w:snapToGrid w:val="0"/>
              <w:spacing w:line="360" w:lineRule="auto"/>
              <w:ind w:firstLine="480" w:firstLineChars="200"/>
              <w:rPr>
                <w:color w:val="auto"/>
                <w:sz w:val="24"/>
              </w:rPr>
            </w:pPr>
            <w:r>
              <w:rPr>
                <w:color w:val="auto"/>
                <w:sz w:val="24"/>
              </w:rPr>
              <w:t>（3）主体工程：主体工程主要包括厂房钢架、彩钢复合板的安装；</w:t>
            </w:r>
          </w:p>
          <w:p>
            <w:pPr>
              <w:adjustRightInd w:val="0"/>
              <w:snapToGrid w:val="0"/>
              <w:spacing w:line="360" w:lineRule="auto"/>
              <w:ind w:firstLine="480" w:firstLineChars="200"/>
              <w:rPr>
                <w:color w:val="auto"/>
                <w:sz w:val="24"/>
              </w:rPr>
            </w:pPr>
            <w:r>
              <w:rPr>
                <w:color w:val="auto"/>
                <w:sz w:val="24"/>
              </w:rPr>
              <w:t>（4）装饰工程：装饰工程主要指厂房内电路、电灯等基础设施的建设；</w:t>
            </w:r>
          </w:p>
          <w:p>
            <w:pPr>
              <w:adjustRightInd w:val="0"/>
              <w:snapToGrid w:val="0"/>
              <w:spacing w:line="360" w:lineRule="auto"/>
              <w:ind w:firstLine="480" w:firstLineChars="200"/>
              <w:rPr>
                <w:color w:val="auto"/>
                <w:sz w:val="24"/>
              </w:rPr>
            </w:pPr>
            <w:r>
              <w:rPr>
                <w:color w:val="auto"/>
                <w:sz w:val="24"/>
              </w:rPr>
              <w:t>（5）设备安装工程：主要指生产区各类生产设备的安装工程；</w:t>
            </w:r>
          </w:p>
          <w:p>
            <w:pPr>
              <w:adjustRightInd w:val="0"/>
              <w:snapToGrid w:val="0"/>
              <w:spacing w:line="360" w:lineRule="auto"/>
              <w:ind w:firstLine="480" w:firstLineChars="200"/>
              <w:rPr>
                <w:b/>
                <w:bCs/>
                <w:color w:val="auto"/>
                <w:sz w:val="24"/>
              </w:rPr>
            </w:pPr>
            <w:r>
              <w:rPr>
                <w:color w:val="auto"/>
                <w:sz w:val="24"/>
              </w:rPr>
              <w:t>（6）工程验收：在厂房建设完成后进行工程验收工作，确保建设工程能够保证营运期的安全正常生产使用。</w:t>
            </w:r>
          </w:p>
          <w:p>
            <w:pPr>
              <w:adjustRightInd w:val="0"/>
              <w:snapToGrid w:val="0"/>
              <w:spacing w:line="360" w:lineRule="auto"/>
              <w:ind w:firstLine="480" w:firstLineChars="200"/>
              <w:jc w:val="left"/>
              <w:rPr>
                <w:color w:val="auto"/>
                <w:sz w:val="24"/>
              </w:rPr>
            </w:pPr>
            <w:r>
              <w:rPr>
                <w:color w:val="auto"/>
                <w:sz w:val="24"/>
              </w:rPr>
              <w:t>根据施工期工艺流程及产污环节图，项目施工期污染物产生情况如下：</w:t>
            </w:r>
          </w:p>
          <w:p>
            <w:pPr>
              <w:adjustRightInd w:val="0"/>
              <w:snapToGrid w:val="0"/>
              <w:spacing w:line="360" w:lineRule="auto"/>
              <w:jc w:val="center"/>
              <w:rPr>
                <w:b/>
                <w:bCs/>
                <w:color w:val="auto"/>
                <w:szCs w:val="21"/>
              </w:rPr>
            </w:pPr>
            <w:r>
              <w:rPr>
                <w:b/>
                <w:bCs/>
                <w:color w:val="auto"/>
                <w:szCs w:val="21"/>
              </w:rPr>
              <w:t>表2-8  施工期污染物产生情况一览表</w:t>
            </w:r>
          </w:p>
          <w:tbl>
            <w:tblPr>
              <w:tblStyle w:val="42"/>
              <w:tblW w:w="88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33"/>
              <w:gridCol w:w="1661"/>
              <w:gridCol w:w="1661"/>
              <w:gridCol w:w="1661"/>
              <w:gridCol w:w="19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33" w:type="dxa"/>
                  <w:tcBorders>
                    <w:tl2br w:val="nil"/>
                    <w:tr2bl w:val="nil"/>
                  </w:tcBorders>
                  <w:vAlign w:val="center"/>
                </w:tcPr>
                <w:p>
                  <w:pPr>
                    <w:adjustRightInd w:val="0"/>
                    <w:snapToGrid w:val="0"/>
                    <w:jc w:val="center"/>
                    <w:rPr>
                      <w:b/>
                      <w:bCs/>
                      <w:color w:val="auto"/>
                      <w:szCs w:val="21"/>
                    </w:rPr>
                  </w:pPr>
                  <w:r>
                    <w:rPr>
                      <w:b/>
                      <w:bCs/>
                      <w:color w:val="auto"/>
                      <w:szCs w:val="21"/>
                    </w:rPr>
                    <w:t>类别</w:t>
                  </w:r>
                </w:p>
              </w:tc>
              <w:tc>
                <w:tcPr>
                  <w:tcW w:w="1661" w:type="dxa"/>
                  <w:tcBorders>
                    <w:tl2br w:val="nil"/>
                    <w:tr2bl w:val="nil"/>
                  </w:tcBorders>
                  <w:vAlign w:val="center"/>
                </w:tcPr>
                <w:p>
                  <w:pPr>
                    <w:adjustRightInd w:val="0"/>
                    <w:snapToGrid w:val="0"/>
                    <w:jc w:val="center"/>
                    <w:rPr>
                      <w:b/>
                      <w:bCs/>
                      <w:color w:val="auto"/>
                      <w:szCs w:val="21"/>
                    </w:rPr>
                  </w:pPr>
                  <w:r>
                    <w:rPr>
                      <w:b/>
                      <w:bCs/>
                      <w:color w:val="auto"/>
                      <w:szCs w:val="21"/>
                    </w:rPr>
                    <w:t>产污位置</w:t>
                  </w:r>
                </w:p>
              </w:tc>
              <w:tc>
                <w:tcPr>
                  <w:tcW w:w="1661" w:type="dxa"/>
                  <w:tcBorders>
                    <w:tl2br w:val="nil"/>
                    <w:tr2bl w:val="nil"/>
                  </w:tcBorders>
                  <w:vAlign w:val="center"/>
                </w:tcPr>
                <w:p>
                  <w:pPr>
                    <w:adjustRightInd w:val="0"/>
                    <w:snapToGrid w:val="0"/>
                    <w:jc w:val="center"/>
                    <w:rPr>
                      <w:b/>
                      <w:bCs/>
                      <w:color w:val="auto"/>
                      <w:szCs w:val="21"/>
                    </w:rPr>
                  </w:pPr>
                  <w:r>
                    <w:rPr>
                      <w:b/>
                      <w:bCs/>
                      <w:color w:val="auto"/>
                      <w:szCs w:val="21"/>
                    </w:rPr>
                    <w:t>污染工序</w:t>
                  </w:r>
                </w:p>
              </w:tc>
              <w:tc>
                <w:tcPr>
                  <w:tcW w:w="1661" w:type="dxa"/>
                  <w:tcBorders>
                    <w:tl2br w:val="nil"/>
                    <w:tr2bl w:val="nil"/>
                  </w:tcBorders>
                  <w:vAlign w:val="center"/>
                </w:tcPr>
                <w:p>
                  <w:pPr>
                    <w:adjustRightInd w:val="0"/>
                    <w:snapToGrid w:val="0"/>
                    <w:jc w:val="center"/>
                    <w:rPr>
                      <w:b/>
                      <w:bCs/>
                      <w:color w:val="auto"/>
                      <w:szCs w:val="21"/>
                    </w:rPr>
                  </w:pPr>
                  <w:r>
                    <w:rPr>
                      <w:b/>
                      <w:bCs/>
                      <w:color w:val="auto"/>
                      <w:szCs w:val="21"/>
                    </w:rPr>
                    <w:t>污染物</w:t>
                  </w:r>
                </w:p>
              </w:tc>
              <w:tc>
                <w:tcPr>
                  <w:tcW w:w="1949" w:type="dxa"/>
                  <w:tcBorders>
                    <w:tl2br w:val="nil"/>
                    <w:tr2bl w:val="nil"/>
                  </w:tcBorders>
                  <w:vAlign w:val="center"/>
                </w:tcPr>
                <w:p>
                  <w:pPr>
                    <w:adjustRightInd w:val="0"/>
                    <w:snapToGrid w:val="0"/>
                    <w:jc w:val="center"/>
                    <w:rPr>
                      <w:b/>
                      <w:bCs/>
                      <w:color w:val="auto"/>
                      <w:szCs w:val="21"/>
                    </w:rPr>
                  </w:pPr>
                  <w:r>
                    <w:rPr>
                      <w:b/>
                      <w:bCs/>
                      <w:color w:val="auto"/>
                      <w:szCs w:val="21"/>
                    </w:rPr>
                    <w:t>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33" w:type="dxa"/>
                  <w:vMerge w:val="restart"/>
                  <w:tcBorders>
                    <w:tl2br w:val="nil"/>
                    <w:tr2bl w:val="nil"/>
                  </w:tcBorders>
                  <w:vAlign w:val="center"/>
                </w:tcPr>
                <w:p>
                  <w:pPr>
                    <w:adjustRightInd w:val="0"/>
                    <w:snapToGrid w:val="0"/>
                    <w:jc w:val="center"/>
                    <w:rPr>
                      <w:color w:val="auto"/>
                      <w:szCs w:val="21"/>
                    </w:rPr>
                  </w:pPr>
                  <w:r>
                    <w:rPr>
                      <w:color w:val="auto"/>
                      <w:szCs w:val="21"/>
                    </w:rPr>
                    <w:t>废水</w:t>
                  </w:r>
                </w:p>
              </w:tc>
              <w:tc>
                <w:tcPr>
                  <w:tcW w:w="1661" w:type="dxa"/>
                  <w:tcBorders>
                    <w:tl2br w:val="nil"/>
                    <w:tr2bl w:val="nil"/>
                  </w:tcBorders>
                  <w:vAlign w:val="center"/>
                </w:tcPr>
                <w:p>
                  <w:pPr>
                    <w:adjustRightInd w:val="0"/>
                    <w:snapToGrid w:val="0"/>
                    <w:jc w:val="center"/>
                    <w:rPr>
                      <w:color w:val="auto"/>
                      <w:szCs w:val="21"/>
                    </w:rPr>
                  </w:pPr>
                  <w:r>
                    <w:rPr>
                      <w:color w:val="auto"/>
                      <w:szCs w:val="21"/>
                    </w:rPr>
                    <w:t>施工场地</w:t>
                  </w:r>
                </w:p>
              </w:tc>
              <w:tc>
                <w:tcPr>
                  <w:tcW w:w="1661" w:type="dxa"/>
                  <w:tcBorders>
                    <w:tl2br w:val="nil"/>
                    <w:tr2bl w:val="nil"/>
                  </w:tcBorders>
                  <w:vAlign w:val="center"/>
                </w:tcPr>
                <w:p>
                  <w:pPr>
                    <w:adjustRightInd w:val="0"/>
                    <w:snapToGrid w:val="0"/>
                    <w:jc w:val="center"/>
                    <w:rPr>
                      <w:color w:val="auto"/>
                      <w:szCs w:val="21"/>
                    </w:rPr>
                  </w:pPr>
                  <w:r>
                    <w:rPr>
                      <w:color w:val="auto"/>
                      <w:szCs w:val="21"/>
                    </w:rPr>
                    <w:t>土建施工</w:t>
                  </w:r>
                </w:p>
              </w:tc>
              <w:tc>
                <w:tcPr>
                  <w:tcW w:w="1661" w:type="dxa"/>
                  <w:tcBorders>
                    <w:tl2br w:val="nil"/>
                    <w:tr2bl w:val="nil"/>
                  </w:tcBorders>
                  <w:vAlign w:val="center"/>
                </w:tcPr>
                <w:p>
                  <w:pPr>
                    <w:adjustRightInd w:val="0"/>
                    <w:snapToGrid w:val="0"/>
                    <w:jc w:val="center"/>
                    <w:rPr>
                      <w:color w:val="auto"/>
                      <w:szCs w:val="21"/>
                    </w:rPr>
                  </w:pPr>
                  <w:r>
                    <w:rPr>
                      <w:color w:val="auto"/>
                    </w:rPr>
                    <w:t>施工废水</w:t>
                  </w:r>
                </w:p>
              </w:tc>
              <w:tc>
                <w:tcPr>
                  <w:tcW w:w="1949" w:type="dxa"/>
                  <w:tcBorders>
                    <w:tl2br w:val="nil"/>
                    <w:tr2bl w:val="nil"/>
                  </w:tcBorders>
                  <w:vAlign w:val="center"/>
                </w:tcPr>
                <w:p>
                  <w:pPr>
                    <w:adjustRightInd w:val="0"/>
                    <w:snapToGrid w:val="0"/>
                    <w:jc w:val="center"/>
                    <w:rPr>
                      <w:color w:val="auto"/>
                      <w:szCs w:val="21"/>
                    </w:rPr>
                  </w:pPr>
                  <w:r>
                    <w:rPr>
                      <w:color w:val="auto"/>
                      <w:szCs w:val="21"/>
                    </w:rPr>
                    <w:t>SS、石油类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33" w:type="dxa"/>
                  <w:vMerge w:val="continue"/>
                  <w:tcBorders>
                    <w:tl2br w:val="nil"/>
                    <w:tr2bl w:val="nil"/>
                  </w:tcBorders>
                  <w:vAlign w:val="center"/>
                </w:tcPr>
                <w:p>
                  <w:pPr>
                    <w:adjustRightInd w:val="0"/>
                    <w:snapToGrid w:val="0"/>
                    <w:jc w:val="center"/>
                    <w:rPr>
                      <w:color w:val="auto"/>
                      <w:szCs w:val="21"/>
                    </w:rPr>
                  </w:pPr>
                </w:p>
              </w:tc>
              <w:tc>
                <w:tcPr>
                  <w:tcW w:w="1661" w:type="dxa"/>
                  <w:tcBorders>
                    <w:tl2br w:val="nil"/>
                    <w:tr2bl w:val="nil"/>
                  </w:tcBorders>
                  <w:vAlign w:val="center"/>
                </w:tcPr>
                <w:p>
                  <w:pPr>
                    <w:adjustRightInd w:val="0"/>
                    <w:snapToGrid w:val="0"/>
                    <w:jc w:val="center"/>
                    <w:rPr>
                      <w:color w:val="auto"/>
                      <w:szCs w:val="21"/>
                    </w:rPr>
                  </w:pPr>
                  <w:r>
                    <w:rPr>
                      <w:color w:val="auto"/>
                      <w:szCs w:val="21"/>
                    </w:rPr>
                    <w:t>施工场地</w:t>
                  </w:r>
                </w:p>
              </w:tc>
              <w:tc>
                <w:tcPr>
                  <w:tcW w:w="1661" w:type="dxa"/>
                  <w:tcBorders>
                    <w:tl2br w:val="nil"/>
                    <w:tr2bl w:val="nil"/>
                  </w:tcBorders>
                  <w:vAlign w:val="center"/>
                </w:tcPr>
                <w:p>
                  <w:pPr>
                    <w:adjustRightInd w:val="0"/>
                    <w:snapToGrid w:val="0"/>
                    <w:jc w:val="center"/>
                    <w:rPr>
                      <w:color w:val="auto"/>
                      <w:szCs w:val="21"/>
                    </w:rPr>
                  </w:pPr>
                  <w:r>
                    <w:rPr>
                      <w:color w:val="auto"/>
                      <w:szCs w:val="21"/>
                    </w:rPr>
                    <w:t>施工人员如厕、洗手等</w:t>
                  </w:r>
                </w:p>
              </w:tc>
              <w:tc>
                <w:tcPr>
                  <w:tcW w:w="1661" w:type="dxa"/>
                  <w:tcBorders>
                    <w:tl2br w:val="nil"/>
                    <w:tr2bl w:val="nil"/>
                  </w:tcBorders>
                  <w:vAlign w:val="center"/>
                </w:tcPr>
                <w:p>
                  <w:pPr>
                    <w:adjustRightInd w:val="0"/>
                    <w:snapToGrid w:val="0"/>
                    <w:jc w:val="center"/>
                    <w:rPr>
                      <w:color w:val="auto"/>
                      <w:szCs w:val="21"/>
                    </w:rPr>
                  </w:pPr>
                  <w:r>
                    <w:rPr>
                      <w:color w:val="auto"/>
                    </w:rPr>
                    <w:t>生活污水</w:t>
                  </w:r>
                </w:p>
              </w:tc>
              <w:tc>
                <w:tcPr>
                  <w:tcW w:w="1949" w:type="dxa"/>
                  <w:tcBorders>
                    <w:tl2br w:val="nil"/>
                    <w:tr2bl w:val="nil"/>
                  </w:tcBorders>
                  <w:vAlign w:val="center"/>
                </w:tcPr>
                <w:p>
                  <w:pPr>
                    <w:adjustRightInd w:val="0"/>
                    <w:snapToGrid w:val="0"/>
                    <w:jc w:val="center"/>
                    <w:rPr>
                      <w:color w:val="auto"/>
                      <w:szCs w:val="21"/>
                    </w:rPr>
                  </w:pPr>
                  <w:r>
                    <w:rPr>
                      <w:color w:val="auto"/>
                      <w:szCs w:val="21"/>
                    </w:rPr>
                    <w:t>BOD</w:t>
                  </w:r>
                  <w:r>
                    <w:rPr>
                      <w:color w:val="auto"/>
                      <w:szCs w:val="21"/>
                      <w:vertAlign w:val="subscript"/>
                    </w:rPr>
                    <w:t>5</w:t>
                  </w:r>
                  <w:r>
                    <w:rPr>
                      <w:color w:val="auto"/>
                      <w:szCs w:val="21"/>
                    </w:rPr>
                    <w:t>、COD</w:t>
                  </w:r>
                  <w:r>
                    <w:rPr>
                      <w:color w:val="auto"/>
                      <w:szCs w:val="21"/>
                      <w:vertAlign w:val="subscript"/>
                    </w:rPr>
                    <w:t>Cr</w:t>
                  </w:r>
                  <w:r>
                    <w:rPr>
                      <w:color w:val="auto"/>
                      <w:szCs w:val="21"/>
                    </w:rPr>
                    <w:t>、NH</w:t>
                  </w:r>
                  <w:r>
                    <w:rPr>
                      <w:color w:val="auto"/>
                      <w:szCs w:val="21"/>
                      <w:vertAlign w:val="subscript"/>
                    </w:rPr>
                    <w:t>3</w:t>
                  </w:r>
                  <w:r>
                    <w:rPr>
                      <w:color w:val="auto"/>
                      <w:szCs w:val="21"/>
                    </w:rPr>
                    <w:t>-N、SS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33" w:type="dxa"/>
                  <w:vMerge w:val="restart"/>
                  <w:tcBorders>
                    <w:tl2br w:val="nil"/>
                    <w:tr2bl w:val="nil"/>
                  </w:tcBorders>
                  <w:vAlign w:val="center"/>
                </w:tcPr>
                <w:p>
                  <w:pPr>
                    <w:adjustRightInd w:val="0"/>
                    <w:snapToGrid w:val="0"/>
                    <w:jc w:val="center"/>
                    <w:rPr>
                      <w:color w:val="auto"/>
                      <w:szCs w:val="21"/>
                    </w:rPr>
                  </w:pPr>
                  <w:r>
                    <w:rPr>
                      <w:color w:val="auto"/>
                      <w:szCs w:val="21"/>
                    </w:rPr>
                    <w:t>废气</w:t>
                  </w:r>
                </w:p>
              </w:tc>
              <w:tc>
                <w:tcPr>
                  <w:tcW w:w="1661" w:type="dxa"/>
                  <w:tcBorders>
                    <w:tl2br w:val="nil"/>
                    <w:tr2bl w:val="nil"/>
                  </w:tcBorders>
                  <w:vAlign w:val="center"/>
                </w:tcPr>
                <w:p>
                  <w:pPr>
                    <w:adjustRightInd w:val="0"/>
                    <w:snapToGrid w:val="0"/>
                    <w:jc w:val="center"/>
                    <w:rPr>
                      <w:color w:val="auto"/>
                      <w:szCs w:val="21"/>
                    </w:rPr>
                  </w:pPr>
                  <w:r>
                    <w:rPr>
                      <w:color w:val="auto"/>
                      <w:szCs w:val="21"/>
                    </w:rPr>
                    <w:t>施工场地</w:t>
                  </w:r>
                </w:p>
              </w:tc>
              <w:tc>
                <w:tcPr>
                  <w:tcW w:w="1661" w:type="dxa"/>
                  <w:tcBorders>
                    <w:tl2br w:val="nil"/>
                    <w:tr2bl w:val="nil"/>
                  </w:tcBorders>
                  <w:vAlign w:val="center"/>
                </w:tcPr>
                <w:p>
                  <w:pPr>
                    <w:adjustRightInd w:val="0"/>
                    <w:snapToGrid w:val="0"/>
                    <w:jc w:val="center"/>
                    <w:rPr>
                      <w:color w:val="auto"/>
                      <w:szCs w:val="21"/>
                    </w:rPr>
                  </w:pPr>
                  <w:r>
                    <w:rPr>
                      <w:color w:val="auto"/>
                      <w:szCs w:val="21"/>
                    </w:rPr>
                    <w:t>土建施工</w:t>
                  </w:r>
                </w:p>
              </w:tc>
              <w:tc>
                <w:tcPr>
                  <w:tcW w:w="1661" w:type="dxa"/>
                  <w:tcBorders>
                    <w:tl2br w:val="nil"/>
                    <w:tr2bl w:val="nil"/>
                  </w:tcBorders>
                  <w:vAlign w:val="center"/>
                </w:tcPr>
                <w:p>
                  <w:pPr>
                    <w:adjustRightInd w:val="0"/>
                    <w:snapToGrid w:val="0"/>
                    <w:jc w:val="center"/>
                    <w:rPr>
                      <w:color w:val="auto"/>
                      <w:szCs w:val="21"/>
                    </w:rPr>
                  </w:pPr>
                  <w:r>
                    <w:rPr>
                      <w:color w:val="auto"/>
                    </w:rPr>
                    <w:t>施工扬尘</w:t>
                  </w:r>
                </w:p>
              </w:tc>
              <w:tc>
                <w:tcPr>
                  <w:tcW w:w="1949" w:type="dxa"/>
                  <w:tcBorders>
                    <w:tl2br w:val="nil"/>
                    <w:tr2bl w:val="nil"/>
                  </w:tcBorders>
                  <w:vAlign w:val="center"/>
                </w:tcPr>
                <w:p>
                  <w:pPr>
                    <w:adjustRightInd w:val="0"/>
                    <w:snapToGrid w:val="0"/>
                    <w:jc w:val="center"/>
                    <w:rPr>
                      <w:color w:val="auto"/>
                      <w:szCs w:val="21"/>
                    </w:rPr>
                  </w:pPr>
                  <w:r>
                    <w:rPr>
                      <w:color w:val="auto"/>
                      <w:szCs w:val="21"/>
                    </w:rPr>
                    <w:t>TSP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33" w:type="dxa"/>
                  <w:vMerge w:val="continue"/>
                  <w:tcBorders>
                    <w:tl2br w:val="nil"/>
                    <w:tr2bl w:val="nil"/>
                  </w:tcBorders>
                  <w:vAlign w:val="center"/>
                </w:tcPr>
                <w:p>
                  <w:pPr>
                    <w:adjustRightInd w:val="0"/>
                    <w:snapToGrid w:val="0"/>
                    <w:jc w:val="center"/>
                    <w:rPr>
                      <w:color w:val="auto"/>
                      <w:szCs w:val="21"/>
                    </w:rPr>
                  </w:pPr>
                </w:p>
              </w:tc>
              <w:tc>
                <w:tcPr>
                  <w:tcW w:w="1661" w:type="dxa"/>
                  <w:tcBorders>
                    <w:tl2br w:val="nil"/>
                    <w:tr2bl w:val="nil"/>
                  </w:tcBorders>
                  <w:vAlign w:val="center"/>
                </w:tcPr>
                <w:p>
                  <w:pPr>
                    <w:adjustRightInd w:val="0"/>
                    <w:snapToGrid w:val="0"/>
                    <w:jc w:val="center"/>
                    <w:rPr>
                      <w:color w:val="auto"/>
                      <w:szCs w:val="21"/>
                    </w:rPr>
                  </w:pPr>
                  <w:r>
                    <w:rPr>
                      <w:color w:val="auto"/>
                      <w:szCs w:val="21"/>
                    </w:rPr>
                    <w:t>施工场地</w:t>
                  </w:r>
                </w:p>
              </w:tc>
              <w:tc>
                <w:tcPr>
                  <w:tcW w:w="1661" w:type="dxa"/>
                  <w:tcBorders>
                    <w:tl2br w:val="nil"/>
                    <w:tr2bl w:val="nil"/>
                  </w:tcBorders>
                  <w:vAlign w:val="center"/>
                </w:tcPr>
                <w:p>
                  <w:pPr>
                    <w:adjustRightInd w:val="0"/>
                    <w:snapToGrid w:val="0"/>
                    <w:jc w:val="center"/>
                    <w:rPr>
                      <w:color w:val="auto"/>
                      <w:szCs w:val="21"/>
                    </w:rPr>
                  </w:pPr>
                  <w:r>
                    <w:rPr>
                      <w:color w:val="auto"/>
                      <w:szCs w:val="21"/>
                    </w:rPr>
                    <w:t>施工机械运行、材料运输</w:t>
                  </w:r>
                </w:p>
              </w:tc>
              <w:tc>
                <w:tcPr>
                  <w:tcW w:w="1661" w:type="dxa"/>
                  <w:tcBorders>
                    <w:tl2br w:val="nil"/>
                    <w:tr2bl w:val="nil"/>
                  </w:tcBorders>
                  <w:vAlign w:val="center"/>
                </w:tcPr>
                <w:p>
                  <w:pPr>
                    <w:adjustRightInd w:val="0"/>
                    <w:snapToGrid w:val="0"/>
                    <w:jc w:val="center"/>
                    <w:rPr>
                      <w:color w:val="auto"/>
                      <w:szCs w:val="21"/>
                    </w:rPr>
                  </w:pPr>
                  <w:r>
                    <w:rPr>
                      <w:color w:val="auto"/>
                    </w:rPr>
                    <w:t>燃油废气、汽车尾气</w:t>
                  </w:r>
                </w:p>
              </w:tc>
              <w:tc>
                <w:tcPr>
                  <w:tcW w:w="1949" w:type="dxa"/>
                  <w:tcBorders>
                    <w:tl2br w:val="nil"/>
                    <w:tr2bl w:val="nil"/>
                  </w:tcBorders>
                  <w:vAlign w:val="center"/>
                </w:tcPr>
                <w:p>
                  <w:pPr>
                    <w:adjustRightInd w:val="0"/>
                    <w:snapToGrid w:val="0"/>
                    <w:jc w:val="center"/>
                    <w:rPr>
                      <w:color w:val="auto"/>
                      <w:szCs w:val="21"/>
                    </w:rPr>
                  </w:pPr>
                  <w:r>
                    <w:rPr>
                      <w:color w:val="auto"/>
                      <w:szCs w:val="21"/>
                    </w:rPr>
                    <w:t>SO</w:t>
                  </w:r>
                  <w:r>
                    <w:rPr>
                      <w:color w:val="auto"/>
                      <w:szCs w:val="21"/>
                      <w:vertAlign w:val="subscript"/>
                    </w:rPr>
                    <w:t>2</w:t>
                  </w:r>
                  <w:r>
                    <w:rPr>
                      <w:color w:val="auto"/>
                      <w:szCs w:val="21"/>
                    </w:rPr>
                    <w:t>、NO</w:t>
                  </w:r>
                  <w:r>
                    <w:rPr>
                      <w:color w:val="auto"/>
                      <w:szCs w:val="21"/>
                      <w:vertAlign w:val="subscript"/>
                    </w:rPr>
                    <w:t>2</w:t>
                  </w:r>
                  <w:r>
                    <w:rPr>
                      <w:color w:val="auto"/>
                      <w:szCs w:val="21"/>
                    </w:rPr>
                    <w:t>、CO、烃类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33" w:type="dxa"/>
                  <w:vMerge w:val="restart"/>
                  <w:tcBorders>
                    <w:tl2br w:val="nil"/>
                    <w:tr2bl w:val="nil"/>
                  </w:tcBorders>
                  <w:vAlign w:val="center"/>
                </w:tcPr>
                <w:p>
                  <w:pPr>
                    <w:adjustRightInd w:val="0"/>
                    <w:snapToGrid w:val="0"/>
                    <w:jc w:val="center"/>
                    <w:rPr>
                      <w:color w:val="auto"/>
                      <w:szCs w:val="21"/>
                    </w:rPr>
                  </w:pPr>
                  <w:r>
                    <w:rPr>
                      <w:color w:val="auto"/>
                      <w:szCs w:val="21"/>
                    </w:rPr>
                    <w:t>噪声</w:t>
                  </w:r>
                </w:p>
              </w:tc>
              <w:tc>
                <w:tcPr>
                  <w:tcW w:w="1661" w:type="dxa"/>
                  <w:tcBorders>
                    <w:tl2br w:val="nil"/>
                    <w:tr2bl w:val="nil"/>
                  </w:tcBorders>
                  <w:vAlign w:val="center"/>
                </w:tcPr>
                <w:p>
                  <w:pPr>
                    <w:adjustRightInd w:val="0"/>
                    <w:snapToGrid w:val="0"/>
                    <w:jc w:val="center"/>
                    <w:rPr>
                      <w:color w:val="auto"/>
                      <w:szCs w:val="21"/>
                    </w:rPr>
                  </w:pPr>
                  <w:r>
                    <w:rPr>
                      <w:color w:val="auto"/>
                      <w:szCs w:val="21"/>
                    </w:rPr>
                    <w:t>施工场地</w:t>
                  </w:r>
                </w:p>
              </w:tc>
              <w:tc>
                <w:tcPr>
                  <w:tcW w:w="1661" w:type="dxa"/>
                  <w:tcBorders>
                    <w:tl2br w:val="nil"/>
                    <w:tr2bl w:val="nil"/>
                  </w:tcBorders>
                  <w:vAlign w:val="center"/>
                </w:tcPr>
                <w:p>
                  <w:pPr>
                    <w:adjustRightInd w:val="0"/>
                    <w:snapToGrid w:val="0"/>
                    <w:jc w:val="center"/>
                    <w:rPr>
                      <w:color w:val="auto"/>
                      <w:szCs w:val="21"/>
                    </w:rPr>
                  </w:pPr>
                  <w:r>
                    <w:rPr>
                      <w:color w:val="auto"/>
                      <w:szCs w:val="21"/>
                    </w:rPr>
                    <w:t>施工机械运行</w:t>
                  </w:r>
                </w:p>
              </w:tc>
              <w:tc>
                <w:tcPr>
                  <w:tcW w:w="1661" w:type="dxa"/>
                  <w:tcBorders>
                    <w:tl2br w:val="nil"/>
                    <w:tr2bl w:val="nil"/>
                  </w:tcBorders>
                  <w:vAlign w:val="center"/>
                </w:tcPr>
                <w:p>
                  <w:pPr>
                    <w:adjustRightInd w:val="0"/>
                    <w:snapToGrid w:val="0"/>
                    <w:jc w:val="center"/>
                    <w:rPr>
                      <w:color w:val="auto"/>
                      <w:szCs w:val="21"/>
                    </w:rPr>
                  </w:pPr>
                  <w:r>
                    <w:rPr>
                      <w:color w:val="auto"/>
                    </w:rPr>
                    <w:t>施工机械噪声</w:t>
                  </w:r>
                </w:p>
              </w:tc>
              <w:tc>
                <w:tcPr>
                  <w:tcW w:w="1949" w:type="dxa"/>
                  <w:tcBorders>
                    <w:tl2br w:val="nil"/>
                    <w:tr2bl w:val="nil"/>
                  </w:tcBorders>
                  <w:vAlign w:val="center"/>
                </w:tcPr>
                <w:p>
                  <w:pPr>
                    <w:adjustRightInd w:val="0"/>
                    <w:snapToGrid w:val="0"/>
                    <w:jc w:val="center"/>
                    <w:rPr>
                      <w:color w:val="auto"/>
                      <w:szCs w:val="21"/>
                    </w:rPr>
                  </w:pPr>
                  <w:r>
                    <w:rPr>
                      <w:color w:val="auto"/>
                      <w:szCs w:val="21"/>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33" w:type="dxa"/>
                  <w:vMerge w:val="continue"/>
                  <w:tcBorders>
                    <w:tl2br w:val="nil"/>
                    <w:tr2bl w:val="nil"/>
                  </w:tcBorders>
                  <w:vAlign w:val="center"/>
                </w:tcPr>
                <w:p>
                  <w:pPr>
                    <w:adjustRightInd w:val="0"/>
                    <w:snapToGrid w:val="0"/>
                    <w:jc w:val="center"/>
                    <w:rPr>
                      <w:color w:val="auto"/>
                      <w:szCs w:val="21"/>
                    </w:rPr>
                  </w:pPr>
                </w:p>
              </w:tc>
              <w:tc>
                <w:tcPr>
                  <w:tcW w:w="1661" w:type="dxa"/>
                  <w:tcBorders>
                    <w:tl2br w:val="nil"/>
                    <w:tr2bl w:val="nil"/>
                  </w:tcBorders>
                  <w:vAlign w:val="center"/>
                </w:tcPr>
                <w:p>
                  <w:pPr>
                    <w:adjustRightInd w:val="0"/>
                    <w:snapToGrid w:val="0"/>
                    <w:jc w:val="center"/>
                    <w:rPr>
                      <w:color w:val="auto"/>
                      <w:szCs w:val="21"/>
                    </w:rPr>
                  </w:pPr>
                  <w:r>
                    <w:rPr>
                      <w:color w:val="auto"/>
                      <w:szCs w:val="21"/>
                    </w:rPr>
                    <w:t>施工场地</w:t>
                  </w:r>
                </w:p>
              </w:tc>
              <w:tc>
                <w:tcPr>
                  <w:tcW w:w="1661" w:type="dxa"/>
                  <w:tcBorders>
                    <w:tl2br w:val="nil"/>
                    <w:tr2bl w:val="nil"/>
                  </w:tcBorders>
                  <w:vAlign w:val="center"/>
                </w:tcPr>
                <w:p>
                  <w:pPr>
                    <w:adjustRightInd w:val="0"/>
                    <w:snapToGrid w:val="0"/>
                    <w:jc w:val="center"/>
                    <w:rPr>
                      <w:color w:val="auto"/>
                      <w:szCs w:val="21"/>
                    </w:rPr>
                  </w:pPr>
                  <w:r>
                    <w:rPr>
                      <w:color w:val="auto"/>
                      <w:szCs w:val="21"/>
                    </w:rPr>
                    <w:t>设备安装</w:t>
                  </w:r>
                </w:p>
              </w:tc>
              <w:tc>
                <w:tcPr>
                  <w:tcW w:w="1661" w:type="dxa"/>
                  <w:tcBorders>
                    <w:tl2br w:val="nil"/>
                    <w:tr2bl w:val="nil"/>
                  </w:tcBorders>
                  <w:vAlign w:val="center"/>
                </w:tcPr>
                <w:p>
                  <w:pPr>
                    <w:adjustRightInd w:val="0"/>
                    <w:snapToGrid w:val="0"/>
                    <w:jc w:val="center"/>
                    <w:rPr>
                      <w:color w:val="auto"/>
                      <w:szCs w:val="21"/>
                    </w:rPr>
                  </w:pPr>
                  <w:r>
                    <w:rPr>
                      <w:color w:val="auto"/>
                    </w:rPr>
                    <w:t>设备安装噪声</w:t>
                  </w:r>
                </w:p>
              </w:tc>
              <w:tc>
                <w:tcPr>
                  <w:tcW w:w="1949" w:type="dxa"/>
                  <w:tcBorders>
                    <w:tl2br w:val="nil"/>
                    <w:tr2bl w:val="nil"/>
                  </w:tcBorders>
                  <w:vAlign w:val="center"/>
                </w:tcPr>
                <w:p>
                  <w:pPr>
                    <w:adjustRightInd w:val="0"/>
                    <w:snapToGrid w:val="0"/>
                    <w:jc w:val="center"/>
                    <w:rPr>
                      <w:color w:val="auto"/>
                      <w:szCs w:val="21"/>
                    </w:rPr>
                  </w:pPr>
                  <w:r>
                    <w:rPr>
                      <w:color w:val="auto"/>
                      <w:szCs w:val="21"/>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33" w:type="dxa"/>
                  <w:vMerge w:val="continue"/>
                  <w:tcBorders>
                    <w:tl2br w:val="nil"/>
                    <w:tr2bl w:val="nil"/>
                  </w:tcBorders>
                  <w:vAlign w:val="center"/>
                </w:tcPr>
                <w:p>
                  <w:pPr>
                    <w:adjustRightInd w:val="0"/>
                    <w:snapToGrid w:val="0"/>
                    <w:jc w:val="center"/>
                    <w:rPr>
                      <w:color w:val="auto"/>
                      <w:szCs w:val="21"/>
                    </w:rPr>
                  </w:pPr>
                </w:p>
              </w:tc>
              <w:tc>
                <w:tcPr>
                  <w:tcW w:w="1661" w:type="dxa"/>
                  <w:tcBorders>
                    <w:tl2br w:val="nil"/>
                    <w:tr2bl w:val="nil"/>
                  </w:tcBorders>
                  <w:vAlign w:val="center"/>
                </w:tcPr>
                <w:p>
                  <w:pPr>
                    <w:adjustRightInd w:val="0"/>
                    <w:snapToGrid w:val="0"/>
                    <w:jc w:val="center"/>
                    <w:rPr>
                      <w:color w:val="auto"/>
                      <w:szCs w:val="21"/>
                    </w:rPr>
                  </w:pPr>
                  <w:r>
                    <w:rPr>
                      <w:color w:val="auto"/>
                      <w:szCs w:val="21"/>
                    </w:rPr>
                    <w:t>施工场地</w:t>
                  </w:r>
                </w:p>
              </w:tc>
              <w:tc>
                <w:tcPr>
                  <w:tcW w:w="1661" w:type="dxa"/>
                  <w:tcBorders>
                    <w:tl2br w:val="nil"/>
                    <w:tr2bl w:val="nil"/>
                  </w:tcBorders>
                  <w:vAlign w:val="center"/>
                </w:tcPr>
                <w:p>
                  <w:pPr>
                    <w:adjustRightInd w:val="0"/>
                    <w:snapToGrid w:val="0"/>
                    <w:jc w:val="center"/>
                    <w:rPr>
                      <w:color w:val="auto"/>
                      <w:szCs w:val="21"/>
                    </w:rPr>
                  </w:pPr>
                  <w:r>
                    <w:rPr>
                      <w:color w:val="auto"/>
                      <w:szCs w:val="21"/>
                    </w:rPr>
                    <w:t>材料运输</w:t>
                  </w:r>
                </w:p>
              </w:tc>
              <w:tc>
                <w:tcPr>
                  <w:tcW w:w="1661" w:type="dxa"/>
                  <w:tcBorders>
                    <w:tl2br w:val="nil"/>
                    <w:tr2bl w:val="nil"/>
                  </w:tcBorders>
                  <w:vAlign w:val="center"/>
                </w:tcPr>
                <w:p>
                  <w:pPr>
                    <w:adjustRightInd w:val="0"/>
                    <w:snapToGrid w:val="0"/>
                    <w:jc w:val="center"/>
                    <w:rPr>
                      <w:color w:val="auto"/>
                      <w:szCs w:val="21"/>
                    </w:rPr>
                  </w:pPr>
                  <w:r>
                    <w:rPr>
                      <w:color w:val="auto"/>
                    </w:rPr>
                    <w:t>运输车辆噪声</w:t>
                  </w:r>
                </w:p>
              </w:tc>
              <w:tc>
                <w:tcPr>
                  <w:tcW w:w="1949" w:type="dxa"/>
                  <w:tcBorders>
                    <w:tl2br w:val="nil"/>
                    <w:tr2bl w:val="nil"/>
                  </w:tcBorders>
                  <w:vAlign w:val="center"/>
                </w:tcPr>
                <w:p>
                  <w:pPr>
                    <w:adjustRightInd w:val="0"/>
                    <w:snapToGrid w:val="0"/>
                    <w:jc w:val="center"/>
                    <w:rPr>
                      <w:color w:val="auto"/>
                      <w:szCs w:val="21"/>
                    </w:rPr>
                  </w:pPr>
                  <w:r>
                    <w:rPr>
                      <w:color w:val="auto"/>
                      <w:szCs w:val="21"/>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33" w:type="dxa"/>
                  <w:vMerge w:val="restart"/>
                  <w:tcBorders>
                    <w:tl2br w:val="nil"/>
                    <w:tr2bl w:val="nil"/>
                  </w:tcBorders>
                  <w:vAlign w:val="center"/>
                </w:tcPr>
                <w:p>
                  <w:pPr>
                    <w:adjustRightInd w:val="0"/>
                    <w:snapToGrid w:val="0"/>
                    <w:jc w:val="center"/>
                    <w:rPr>
                      <w:rFonts w:eastAsiaTheme="minorEastAsia"/>
                      <w:color w:val="auto"/>
                      <w:szCs w:val="21"/>
                    </w:rPr>
                  </w:pPr>
                  <w:r>
                    <w:rPr>
                      <w:color w:val="auto"/>
                    </w:rPr>
                    <w:t>固废</w:t>
                  </w:r>
                </w:p>
              </w:tc>
              <w:tc>
                <w:tcPr>
                  <w:tcW w:w="1661" w:type="dxa"/>
                  <w:tcBorders>
                    <w:tl2br w:val="nil"/>
                    <w:tr2bl w:val="nil"/>
                  </w:tcBorders>
                  <w:vAlign w:val="center"/>
                </w:tcPr>
                <w:p>
                  <w:pPr>
                    <w:adjustRightInd w:val="0"/>
                    <w:snapToGrid w:val="0"/>
                    <w:jc w:val="center"/>
                    <w:rPr>
                      <w:color w:val="auto"/>
                      <w:szCs w:val="21"/>
                    </w:rPr>
                  </w:pPr>
                  <w:r>
                    <w:rPr>
                      <w:color w:val="auto"/>
                      <w:szCs w:val="21"/>
                    </w:rPr>
                    <w:t>施工场地</w:t>
                  </w:r>
                </w:p>
              </w:tc>
              <w:tc>
                <w:tcPr>
                  <w:tcW w:w="1661" w:type="dxa"/>
                  <w:vMerge w:val="restart"/>
                  <w:tcBorders>
                    <w:tl2br w:val="nil"/>
                    <w:tr2bl w:val="nil"/>
                  </w:tcBorders>
                  <w:vAlign w:val="center"/>
                </w:tcPr>
                <w:p>
                  <w:pPr>
                    <w:adjustRightInd w:val="0"/>
                    <w:snapToGrid w:val="0"/>
                    <w:jc w:val="center"/>
                    <w:rPr>
                      <w:color w:val="auto"/>
                      <w:szCs w:val="21"/>
                    </w:rPr>
                  </w:pPr>
                  <w:r>
                    <w:rPr>
                      <w:color w:val="auto"/>
                      <w:szCs w:val="21"/>
                    </w:rPr>
                    <w:t>原构筑物拆除、原料堆场修建、设备安装</w:t>
                  </w:r>
                </w:p>
              </w:tc>
              <w:tc>
                <w:tcPr>
                  <w:tcW w:w="1661" w:type="dxa"/>
                  <w:tcBorders>
                    <w:tl2br w:val="nil"/>
                    <w:tr2bl w:val="nil"/>
                  </w:tcBorders>
                  <w:vAlign w:val="center"/>
                </w:tcPr>
                <w:p>
                  <w:pPr>
                    <w:adjustRightInd w:val="0"/>
                    <w:snapToGrid w:val="0"/>
                    <w:jc w:val="center"/>
                    <w:rPr>
                      <w:color w:val="auto"/>
                      <w:szCs w:val="21"/>
                    </w:rPr>
                  </w:pPr>
                  <w:r>
                    <w:rPr>
                      <w:color w:val="auto"/>
                      <w:szCs w:val="21"/>
                    </w:rPr>
                    <w:t>建筑垃圾（弃土弃渣、施工废料等）</w:t>
                  </w:r>
                </w:p>
              </w:tc>
              <w:tc>
                <w:tcPr>
                  <w:tcW w:w="1949" w:type="dxa"/>
                  <w:tcBorders>
                    <w:tl2br w:val="nil"/>
                    <w:tr2bl w:val="nil"/>
                  </w:tcBorders>
                  <w:vAlign w:val="center"/>
                </w:tcPr>
                <w:p>
                  <w:pPr>
                    <w:adjustRightInd w:val="0"/>
                    <w:snapToGrid w:val="0"/>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33" w:type="dxa"/>
                  <w:vMerge w:val="continue"/>
                  <w:tcBorders>
                    <w:tl2br w:val="nil"/>
                    <w:tr2bl w:val="nil"/>
                  </w:tcBorders>
                  <w:vAlign w:val="center"/>
                </w:tcPr>
                <w:p>
                  <w:pPr>
                    <w:adjustRightInd w:val="0"/>
                    <w:snapToGrid w:val="0"/>
                    <w:jc w:val="center"/>
                    <w:rPr>
                      <w:color w:val="auto"/>
                      <w:szCs w:val="21"/>
                    </w:rPr>
                  </w:pPr>
                </w:p>
              </w:tc>
              <w:tc>
                <w:tcPr>
                  <w:tcW w:w="1661" w:type="dxa"/>
                  <w:tcBorders>
                    <w:tl2br w:val="nil"/>
                    <w:tr2bl w:val="nil"/>
                  </w:tcBorders>
                  <w:vAlign w:val="center"/>
                </w:tcPr>
                <w:p>
                  <w:pPr>
                    <w:adjustRightInd w:val="0"/>
                    <w:snapToGrid w:val="0"/>
                    <w:jc w:val="center"/>
                    <w:rPr>
                      <w:color w:val="auto"/>
                      <w:szCs w:val="21"/>
                    </w:rPr>
                  </w:pPr>
                  <w:r>
                    <w:rPr>
                      <w:color w:val="auto"/>
                      <w:szCs w:val="21"/>
                    </w:rPr>
                    <w:t>施工场地</w:t>
                  </w:r>
                </w:p>
              </w:tc>
              <w:tc>
                <w:tcPr>
                  <w:tcW w:w="1661" w:type="dxa"/>
                  <w:vMerge w:val="continue"/>
                  <w:tcBorders>
                    <w:tl2br w:val="nil"/>
                    <w:tr2bl w:val="nil"/>
                  </w:tcBorders>
                  <w:vAlign w:val="center"/>
                </w:tcPr>
                <w:p>
                  <w:pPr>
                    <w:adjustRightInd w:val="0"/>
                    <w:snapToGrid w:val="0"/>
                    <w:jc w:val="center"/>
                    <w:rPr>
                      <w:color w:val="auto"/>
                      <w:szCs w:val="21"/>
                    </w:rPr>
                  </w:pPr>
                </w:p>
              </w:tc>
              <w:tc>
                <w:tcPr>
                  <w:tcW w:w="1661" w:type="dxa"/>
                  <w:tcBorders>
                    <w:tl2br w:val="nil"/>
                    <w:tr2bl w:val="nil"/>
                  </w:tcBorders>
                  <w:vAlign w:val="center"/>
                </w:tcPr>
                <w:p>
                  <w:pPr>
                    <w:adjustRightInd w:val="0"/>
                    <w:snapToGrid w:val="0"/>
                    <w:jc w:val="center"/>
                    <w:rPr>
                      <w:color w:val="auto"/>
                      <w:szCs w:val="21"/>
                    </w:rPr>
                  </w:pPr>
                  <w:r>
                    <w:rPr>
                      <w:color w:val="auto"/>
                      <w:szCs w:val="21"/>
                    </w:rPr>
                    <w:t>废包装材料</w:t>
                  </w:r>
                </w:p>
              </w:tc>
              <w:tc>
                <w:tcPr>
                  <w:tcW w:w="1949" w:type="dxa"/>
                  <w:tcBorders>
                    <w:tl2br w:val="nil"/>
                    <w:tr2bl w:val="nil"/>
                  </w:tcBorders>
                  <w:vAlign w:val="center"/>
                </w:tcPr>
                <w:p>
                  <w:pPr>
                    <w:adjustRightInd w:val="0"/>
                    <w:snapToGrid w:val="0"/>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33" w:type="dxa"/>
                  <w:vMerge w:val="continue"/>
                  <w:tcBorders>
                    <w:tl2br w:val="nil"/>
                    <w:tr2bl w:val="nil"/>
                  </w:tcBorders>
                  <w:vAlign w:val="center"/>
                </w:tcPr>
                <w:p>
                  <w:pPr>
                    <w:adjustRightInd w:val="0"/>
                    <w:snapToGrid w:val="0"/>
                    <w:jc w:val="center"/>
                    <w:rPr>
                      <w:color w:val="auto"/>
                      <w:szCs w:val="21"/>
                    </w:rPr>
                  </w:pPr>
                </w:p>
              </w:tc>
              <w:tc>
                <w:tcPr>
                  <w:tcW w:w="1661" w:type="dxa"/>
                  <w:tcBorders>
                    <w:tl2br w:val="nil"/>
                    <w:tr2bl w:val="nil"/>
                  </w:tcBorders>
                  <w:vAlign w:val="center"/>
                </w:tcPr>
                <w:p>
                  <w:pPr>
                    <w:adjustRightInd w:val="0"/>
                    <w:snapToGrid w:val="0"/>
                    <w:jc w:val="center"/>
                    <w:rPr>
                      <w:color w:val="auto"/>
                      <w:szCs w:val="21"/>
                    </w:rPr>
                  </w:pPr>
                  <w:r>
                    <w:rPr>
                      <w:color w:val="auto"/>
                      <w:szCs w:val="21"/>
                    </w:rPr>
                    <w:t>施工场地</w:t>
                  </w:r>
                </w:p>
              </w:tc>
              <w:tc>
                <w:tcPr>
                  <w:tcW w:w="1661" w:type="dxa"/>
                  <w:vMerge w:val="continue"/>
                  <w:tcBorders>
                    <w:tl2br w:val="nil"/>
                    <w:tr2bl w:val="nil"/>
                  </w:tcBorders>
                  <w:vAlign w:val="center"/>
                </w:tcPr>
                <w:p>
                  <w:pPr>
                    <w:adjustRightInd w:val="0"/>
                    <w:snapToGrid w:val="0"/>
                    <w:jc w:val="center"/>
                    <w:rPr>
                      <w:color w:val="auto"/>
                      <w:szCs w:val="21"/>
                    </w:rPr>
                  </w:pPr>
                </w:p>
              </w:tc>
              <w:tc>
                <w:tcPr>
                  <w:tcW w:w="1661" w:type="dxa"/>
                  <w:tcBorders>
                    <w:tl2br w:val="nil"/>
                    <w:tr2bl w:val="nil"/>
                  </w:tcBorders>
                  <w:vAlign w:val="center"/>
                </w:tcPr>
                <w:p>
                  <w:pPr>
                    <w:adjustRightInd w:val="0"/>
                    <w:snapToGrid w:val="0"/>
                    <w:jc w:val="center"/>
                    <w:rPr>
                      <w:color w:val="auto"/>
                      <w:szCs w:val="21"/>
                    </w:rPr>
                  </w:pPr>
                  <w:r>
                    <w:rPr>
                      <w:color w:val="auto"/>
                      <w:szCs w:val="21"/>
                    </w:rPr>
                    <w:t>生活垃圾</w:t>
                  </w:r>
                </w:p>
              </w:tc>
              <w:tc>
                <w:tcPr>
                  <w:tcW w:w="1949" w:type="dxa"/>
                  <w:tcBorders>
                    <w:tl2br w:val="nil"/>
                    <w:tr2bl w:val="nil"/>
                  </w:tcBorders>
                  <w:vAlign w:val="center"/>
                </w:tcPr>
                <w:p>
                  <w:pPr>
                    <w:adjustRightInd w:val="0"/>
                    <w:snapToGrid w:val="0"/>
                    <w:jc w:val="center"/>
                    <w:rPr>
                      <w:color w:val="auto"/>
                      <w:szCs w:val="21"/>
                    </w:rPr>
                  </w:pPr>
                  <w:r>
                    <w:rPr>
                      <w:color w:val="auto"/>
                      <w:szCs w:val="21"/>
                    </w:rPr>
                    <w:t>/</w:t>
                  </w:r>
                </w:p>
              </w:tc>
            </w:tr>
          </w:tbl>
          <w:p>
            <w:pPr>
              <w:adjustRightInd w:val="0"/>
              <w:snapToGrid w:val="0"/>
              <w:spacing w:line="360" w:lineRule="auto"/>
              <w:ind w:firstLine="480" w:firstLineChars="200"/>
              <w:jc w:val="left"/>
              <w:rPr>
                <w:b/>
                <w:bCs/>
                <w:color w:val="auto"/>
                <w:sz w:val="24"/>
              </w:rPr>
            </w:pPr>
            <w:r>
              <w:rPr>
                <w:color w:val="auto"/>
                <w:sz w:val="24"/>
              </w:rPr>
              <w:t>从上述污染工序说明可知，施工期环境污染问题主要是：施工废水、生活污水、施工扬尘、施工机械噪声、建筑垃圾、生活垃圾等。这些污染发生于整个施工过程，不同污染因子在不同施工段污染强度有所不同。以上污染物随着施工期结束逐渐消失。</w:t>
            </w:r>
          </w:p>
          <w:p>
            <w:pPr>
              <w:adjustRightInd w:val="0"/>
              <w:snapToGrid w:val="0"/>
              <w:spacing w:line="360" w:lineRule="auto"/>
              <w:ind w:firstLine="482" w:firstLineChars="200"/>
              <w:jc w:val="left"/>
              <w:rPr>
                <w:b/>
                <w:bCs/>
                <w:color w:val="auto"/>
                <w:sz w:val="24"/>
              </w:rPr>
            </w:pPr>
            <w:r>
              <w:rPr>
                <w:b/>
                <w:bCs/>
                <w:color w:val="auto"/>
                <w:sz w:val="24"/>
              </w:rPr>
              <w:t>2、运营期工艺流程</w:t>
            </w:r>
          </w:p>
          <w:p>
            <w:pPr>
              <w:adjustRightInd w:val="0"/>
              <w:snapToGrid w:val="0"/>
              <w:spacing w:line="360" w:lineRule="auto"/>
              <w:ind w:firstLine="480" w:firstLineChars="200"/>
              <w:jc w:val="left"/>
              <w:rPr>
                <w:b/>
                <w:bCs/>
                <w:color w:val="auto"/>
                <w:sz w:val="24"/>
              </w:rPr>
            </w:pPr>
            <w:r>
              <w:rPr>
                <w:color w:val="auto"/>
                <w:sz w:val="24"/>
              </w:rPr>
              <w:t>本项目建成后进行水稳层生产，营运期工艺流程及产污环节如下：</w:t>
            </w:r>
          </w:p>
          <w:p>
            <w:pPr>
              <w:pStyle w:val="15"/>
              <w:jc w:val="center"/>
              <w:rPr>
                <w:color w:val="auto"/>
                <w:sz w:val="24"/>
                <w:szCs w:val="24"/>
              </w:rPr>
            </w:pPr>
            <w:r>
              <w:rPr>
                <w:color w:val="auto"/>
                <w:sz w:val="24"/>
              </w:rPr>
              <mc:AlternateContent>
                <mc:Choice Requires="wps">
                  <w:drawing>
                    <wp:anchor distT="0" distB="0" distL="114300" distR="114300" simplePos="0" relativeHeight="251668480" behindDoc="0" locked="0" layoutInCell="1" allowOverlap="1">
                      <wp:simplePos x="0" y="0"/>
                      <wp:positionH relativeFrom="column">
                        <wp:posOffset>3931920</wp:posOffset>
                      </wp:positionH>
                      <wp:positionV relativeFrom="paragraph">
                        <wp:posOffset>1696720</wp:posOffset>
                      </wp:positionV>
                      <wp:extent cx="499745" cy="281305"/>
                      <wp:effectExtent l="0" t="0" r="0" b="0"/>
                      <wp:wrapNone/>
                      <wp:docPr id="180" name="文本框 180"/>
                      <wp:cNvGraphicFramePr/>
                      <a:graphic xmlns:a="http://schemas.openxmlformats.org/drawingml/2006/main">
                        <a:graphicData uri="http://schemas.microsoft.com/office/word/2010/wordprocessingShape">
                          <wps:wsp>
                            <wps:cNvSpPr txBox="1"/>
                            <wps:spPr>
                              <a:xfrm>
                                <a:off x="0" y="0"/>
                                <a:ext cx="499745" cy="281305"/>
                              </a:xfrm>
                              <a:prstGeom prst="rect">
                                <a:avLst/>
                              </a:prstGeom>
                              <a:noFill/>
                              <a:ln w="6350">
                                <a:noFill/>
                              </a:ln>
                              <a:effectLst/>
                            </wps:spPr>
                            <wps:txbx>
                              <w:txbxContent>
                                <w:p>
                                  <w:r>
                                    <w:rPr>
                                      <w:rFonts w:hint="eastAsia"/>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6pt;margin-top:133.6pt;height:22.15pt;width:39.35pt;z-index:251668480;mso-width-relative:page;mso-height-relative:page;" filled="f" stroked="f" coordsize="21600,21600" o:gfxdata="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OfeBn7cAAAACwEAAA8AAAAAAAAAAQAg&#10;AAAAIgAAAGRycy9kb3ducmV2LnhtbFBLAQIUABQAAAAIAIdO4kBBv2/4QwIAAHcEAAAOAAAAAAAA&#10;AAEAIAAAACsBAABkcnMvZTJvRG9jLnhtbFBLBQYAAAAABgAGAFkBAADgBQAAAAA=&#10;">
                      <v:path/>
                      <v:fill on="f" focussize="0,0"/>
                      <v:stroke on="f" weight="0.5pt" joinstyle="miter"/>
                      <v:imagedata o:title=""/>
                      <o:lock v:ext="edit"/>
                      <v:textbox>
                        <w:txbxContent>
                          <w:p>
                            <w:r>
                              <w:rPr>
                                <w:rFonts w:hint="eastAsia"/>
                              </w:rPr>
                              <w:t>噪声</w:t>
                            </w:r>
                          </w:p>
                        </w:txbxContent>
                      </v:textbox>
                    </v:shape>
                  </w:pict>
                </mc:Fallback>
              </mc:AlternateContent>
            </w:r>
            <w:r>
              <w:rPr>
                <w:color w:val="auto"/>
                <w:sz w:val="24"/>
              </w:rPr>
              <mc:AlternateContent>
                <mc:Choice Requires="wps">
                  <w:drawing>
                    <wp:anchor distT="0" distB="0" distL="114300" distR="114300" simplePos="0" relativeHeight="251669504" behindDoc="0" locked="0" layoutInCell="1" allowOverlap="1">
                      <wp:simplePos x="0" y="0"/>
                      <wp:positionH relativeFrom="column">
                        <wp:posOffset>3914140</wp:posOffset>
                      </wp:positionH>
                      <wp:positionV relativeFrom="paragraph">
                        <wp:posOffset>1067435</wp:posOffset>
                      </wp:positionV>
                      <wp:extent cx="499745" cy="281305"/>
                      <wp:effectExtent l="0" t="0" r="0" b="0"/>
                      <wp:wrapNone/>
                      <wp:docPr id="181" name="文本框 181"/>
                      <wp:cNvGraphicFramePr/>
                      <a:graphic xmlns:a="http://schemas.openxmlformats.org/drawingml/2006/main">
                        <a:graphicData uri="http://schemas.microsoft.com/office/word/2010/wordprocessingShape">
                          <wps:wsp>
                            <wps:cNvSpPr txBox="1"/>
                            <wps:spPr>
                              <a:xfrm>
                                <a:off x="0" y="0"/>
                                <a:ext cx="499745" cy="281305"/>
                              </a:xfrm>
                              <a:prstGeom prst="rect">
                                <a:avLst/>
                              </a:prstGeom>
                              <a:noFill/>
                              <a:ln w="6350">
                                <a:noFill/>
                              </a:ln>
                              <a:effectLst/>
                            </wps:spPr>
                            <wps:txbx>
                              <w:txbxContent>
                                <w:p>
                                  <w:r>
                                    <w:rPr>
                                      <w:rFonts w:hint="eastAsia"/>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8.2pt;margin-top:84.05pt;height:22.15pt;width:39.35pt;z-index:251669504;mso-width-relative:page;mso-height-relative:page;" filled="f" stroked="f" coordsize="21600,21600" o:gfxdata="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vJvR6NsAAAALAQAADwAAAAAAAAABACAA&#10;AAAiAAAAZHJzL2Rvd25yZXYueG1sUEsBAhQAFAAAAAgAh07iQJDvXSFDAgAAdwQAAA4AAAAAAAAA&#10;AQAgAAAAKgEAAGRycy9lMm9Eb2MueG1sUEsFBgAAAAAGAAYAWQEAAN8FAAAAAA==&#10;">
                      <v:path/>
                      <v:fill on="f" focussize="0,0"/>
                      <v:stroke on="f" weight="0.5pt" joinstyle="miter"/>
                      <v:imagedata o:title=""/>
                      <o:lock v:ext="edit"/>
                      <v:textbox>
                        <w:txbxContent>
                          <w:p>
                            <w:r>
                              <w:rPr>
                                <w:rFonts w:hint="eastAsia"/>
                              </w:rPr>
                              <w:t>噪声</w:t>
                            </w:r>
                          </w:p>
                        </w:txbxContent>
                      </v:textbox>
                    </v:shape>
                  </w:pict>
                </mc:Fallback>
              </mc:AlternateContent>
            </w:r>
            <w:r>
              <w:rPr>
                <w:color w:val="auto"/>
                <w:sz w:val="24"/>
              </w:rPr>
              <w:drawing>
                <wp:inline distT="0" distB="0" distL="114300" distR="114300">
                  <wp:extent cx="5940425" cy="4999355"/>
                  <wp:effectExtent l="0" t="0" r="3175" b="10795"/>
                  <wp:docPr id="175" name="图片 17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图片1"/>
                          <pic:cNvPicPr>
                            <a:picLocks noChangeAspect="1"/>
                          </pic:cNvPicPr>
                        </pic:nvPicPr>
                        <pic:blipFill>
                          <a:blip r:embed="rId52"/>
                          <a:stretch>
                            <a:fillRect/>
                          </a:stretch>
                        </pic:blipFill>
                        <pic:spPr>
                          <a:xfrm>
                            <a:off x="0" y="0"/>
                            <a:ext cx="5940425" cy="4999355"/>
                          </a:xfrm>
                          <a:prstGeom prst="rect">
                            <a:avLst/>
                          </a:prstGeom>
                        </pic:spPr>
                      </pic:pic>
                    </a:graphicData>
                  </a:graphic>
                </wp:inline>
              </w:drawing>
            </w:r>
            <w:r>
              <w:rPr>
                <w:color w:val="auto"/>
                <w:sz w:val="24"/>
              </w:rPr>
              <mc:AlternateContent>
                <mc:Choice Requires="wps">
                  <w:drawing>
                    <wp:anchor distT="0" distB="0" distL="114300" distR="114300" simplePos="0" relativeHeight="251667456" behindDoc="0" locked="0" layoutInCell="1" allowOverlap="1">
                      <wp:simplePos x="0" y="0"/>
                      <wp:positionH relativeFrom="column">
                        <wp:posOffset>1849755</wp:posOffset>
                      </wp:positionH>
                      <wp:positionV relativeFrom="paragraph">
                        <wp:posOffset>2286635</wp:posOffset>
                      </wp:positionV>
                      <wp:extent cx="499745" cy="281305"/>
                      <wp:effectExtent l="0" t="0" r="0" b="0"/>
                      <wp:wrapNone/>
                      <wp:docPr id="182" name="文本框 182"/>
                      <wp:cNvGraphicFramePr/>
                      <a:graphic xmlns:a="http://schemas.openxmlformats.org/drawingml/2006/main">
                        <a:graphicData uri="http://schemas.microsoft.com/office/word/2010/wordprocessingShape">
                          <wps:wsp>
                            <wps:cNvSpPr txBox="1"/>
                            <wps:spPr>
                              <a:xfrm>
                                <a:off x="3858895" y="2207260"/>
                                <a:ext cx="499745" cy="281305"/>
                              </a:xfrm>
                              <a:prstGeom prst="rect">
                                <a:avLst/>
                              </a:prstGeom>
                              <a:noFill/>
                              <a:ln w="6350">
                                <a:noFill/>
                              </a:ln>
                              <a:effectLst/>
                            </wps:spPr>
                            <wps:txbx>
                              <w:txbxContent>
                                <w:p>
                                  <w:r>
                                    <w:rPr>
                                      <w:rFonts w:hint="eastAsia"/>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5.65pt;margin-top:180.05pt;height:22.15pt;width:39.35pt;z-index:251667456;mso-width-relative:page;mso-height-relative:page;" filled="f" stroked="f" coordsize="21600,21600" o:gfxdata="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56zgXcAAAACwEA&#10;AA8AAAAAAAAAAQAgAAAAIgAAAGRycy9kb3ducmV2LnhtbFBLAQIUABQAAAAIAIdO4kDeqbmfTwIA&#10;AIMEAAAOAAAAAAAAAAEAIAAAACsBAABkcnMvZTJvRG9jLnhtbFBLBQYAAAAABgAGAFkBAADsBQAA&#10;AAA=&#10;">
                      <v:path/>
                      <v:fill on="f" focussize="0,0"/>
                      <v:stroke on="f" weight="0.5pt" joinstyle="miter"/>
                      <v:imagedata o:title=""/>
                      <o:lock v:ext="edit"/>
                      <v:textbox>
                        <w:txbxContent>
                          <w:p>
                            <w:r>
                              <w:rPr>
                                <w:rFonts w:hint="eastAsia"/>
                              </w:rPr>
                              <w:t>噪声</w:t>
                            </w:r>
                          </w:p>
                        </w:txbxContent>
                      </v:textbox>
                    </v:shape>
                  </w:pict>
                </mc:Fallback>
              </mc:AlternateContent>
            </w:r>
          </w:p>
          <w:p>
            <w:pPr>
              <w:pStyle w:val="15"/>
              <w:adjustRightInd w:val="0"/>
              <w:spacing w:before="0" w:after="0" w:line="360" w:lineRule="auto"/>
              <w:ind w:right="0"/>
              <w:jc w:val="center"/>
              <w:rPr>
                <w:b/>
                <w:color w:val="auto"/>
                <w:szCs w:val="21"/>
              </w:rPr>
            </w:pPr>
            <w:r>
              <w:rPr>
                <w:b/>
                <w:color w:val="auto"/>
                <w:sz w:val="21"/>
                <w:szCs w:val="21"/>
              </w:rPr>
              <w:t>2-4  运营期工艺流程及产污环节图</w:t>
            </w:r>
          </w:p>
          <w:p>
            <w:pPr>
              <w:adjustRightInd w:val="0"/>
              <w:snapToGrid w:val="0"/>
              <w:spacing w:line="360" w:lineRule="auto"/>
              <w:ind w:firstLine="482" w:firstLineChars="200"/>
              <w:rPr>
                <w:b/>
                <w:bCs/>
                <w:color w:val="auto"/>
                <w:sz w:val="24"/>
              </w:rPr>
            </w:pPr>
            <w:r>
              <w:rPr>
                <w:b/>
                <w:bCs/>
                <w:color w:val="auto"/>
                <w:sz w:val="24"/>
              </w:rPr>
              <w:t>工艺流程简述：</w:t>
            </w:r>
          </w:p>
          <w:p>
            <w:pPr>
              <w:adjustRightInd w:val="0"/>
              <w:snapToGrid w:val="0"/>
              <w:spacing w:line="360" w:lineRule="auto"/>
              <w:ind w:firstLine="480" w:firstLineChars="200"/>
              <w:jc w:val="left"/>
              <w:rPr>
                <w:color w:val="auto"/>
                <w:sz w:val="24"/>
              </w:rPr>
            </w:pPr>
            <w:r>
              <w:rPr>
                <w:color w:val="auto"/>
                <w:sz w:val="24"/>
              </w:rPr>
              <w:t>（1）砂、碎石储存、传输、计量</w:t>
            </w:r>
          </w:p>
          <w:p>
            <w:pPr>
              <w:adjustRightInd w:val="0"/>
              <w:snapToGrid w:val="0"/>
              <w:spacing w:line="360" w:lineRule="auto"/>
              <w:ind w:firstLine="480" w:firstLineChars="200"/>
              <w:jc w:val="left"/>
              <w:rPr>
                <w:color w:val="auto"/>
                <w:sz w:val="24"/>
              </w:rPr>
            </w:pPr>
            <w:r>
              <w:rPr>
                <w:color w:val="auto"/>
                <w:sz w:val="24"/>
              </w:rPr>
              <w:t>砂、碎石等骨料由供货商用汽车运送至厂区，运输汽车直接驶入堆放仓内卸料，砂、碎石分仓堆放，在卸料过程中会产生卸料扬尘，砂石堆放可能产生风力扬尘。</w:t>
            </w:r>
          </w:p>
          <w:p>
            <w:pPr>
              <w:adjustRightInd w:val="0"/>
              <w:snapToGrid w:val="0"/>
              <w:spacing w:line="360" w:lineRule="auto"/>
              <w:ind w:firstLine="480" w:firstLineChars="200"/>
              <w:jc w:val="left"/>
              <w:rPr>
                <w:color w:val="auto"/>
                <w:sz w:val="24"/>
              </w:rPr>
            </w:pPr>
            <w:r>
              <w:rPr>
                <w:color w:val="auto"/>
                <w:sz w:val="24"/>
              </w:rPr>
              <w:t>生产时用装载机将砂、碎石投入对应的骨料斗，料斗上配有振动器，可有效防止出现物料板结现象。每个料斗下都分别设有一个计量称，砂、碎石经过计量后汇集到一条传输皮带上，然后再经过斜皮带机进入搅拌楼。装载机上料过程会产生输送扬尘及噪声。</w:t>
            </w:r>
          </w:p>
          <w:p>
            <w:pPr>
              <w:adjustRightInd w:val="0"/>
              <w:snapToGrid w:val="0"/>
              <w:spacing w:line="360" w:lineRule="auto"/>
              <w:ind w:firstLine="480" w:firstLineChars="200"/>
              <w:jc w:val="left"/>
              <w:rPr>
                <w:color w:val="auto"/>
                <w:sz w:val="24"/>
              </w:rPr>
            </w:pPr>
            <w:r>
              <w:rPr>
                <w:color w:val="auto"/>
                <w:sz w:val="24"/>
              </w:rPr>
              <w:t>（2）水泥储存、传输、计量</w:t>
            </w:r>
          </w:p>
          <w:p>
            <w:pPr>
              <w:adjustRightInd w:val="0"/>
              <w:snapToGrid w:val="0"/>
              <w:spacing w:line="360" w:lineRule="auto"/>
              <w:ind w:firstLine="480" w:firstLineChars="200"/>
              <w:jc w:val="left"/>
              <w:rPr>
                <w:color w:val="auto"/>
                <w:sz w:val="24"/>
              </w:rPr>
            </w:pPr>
            <w:r>
              <w:rPr>
                <w:color w:val="auto"/>
                <w:sz w:val="24"/>
              </w:rPr>
              <w:t>水泥通过罐车运输到厂区，接驳好卸料管道，通过压缩空气将水泥输送到</w:t>
            </w:r>
            <w:r>
              <w:rPr>
                <w:rFonts w:hint="eastAsia"/>
                <w:color w:val="auto"/>
                <w:sz w:val="24"/>
                <w:lang w:eastAsia="zh-CN"/>
              </w:rPr>
              <w:t>筒仓</w:t>
            </w:r>
            <w:r>
              <w:rPr>
                <w:color w:val="auto"/>
                <w:sz w:val="24"/>
              </w:rPr>
              <w:t>中。卸料原理：汽车发动机的动力经取力器、传动轴等行动装置传递给空气压缩机，由空压机产生的压缩空气进入罐体，经过液化装置把粉粒物料液化，出于罐内外产生的压力差，粉粒物料随空气一起沿卸料管路输送到</w:t>
            </w:r>
            <w:r>
              <w:rPr>
                <w:rFonts w:hint="eastAsia"/>
                <w:color w:val="auto"/>
                <w:sz w:val="24"/>
                <w:lang w:eastAsia="zh-CN"/>
              </w:rPr>
              <w:t>筒仓</w:t>
            </w:r>
            <w:r>
              <w:rPr>
                <w:color w:val="auto"/>
                <w:sz w:val="24"/>
              </w:rPr>
              <w:t>中。粉粒的流态化介绍：当气体从容器下部进入粉料层后，如果气体流速超过一定值时（水泥为0.015m</w:t>
            </w:r>
            <w:r>
              <w:rPr>
                <w:color w:val="auto"/>
                <w:sz w:val="24"/>
                <w:vertAlign w:val="superscript"/>
              </w:rPr>
              <w:t>3</w:t>
            </w:r>
            <w:r>
              <w:rPr>
                <w:color w:val="auto"/>
                <w:sz w:val="24"/>
              </w:rPr>
              <w:t>/s），气体与粉粒体的摩擦力与粉粒体的重量相等，粉粒体不再靠流化床支撑，此时它们可以自由移动，从高处流向低处，使粉料层的上平面保持水平，类似液体的性质。如果此时容器的侧壁开有孔，粉料也可以从孔中喷出。这就叫流态化现象。气体随粉料一起进入</w:t>
            </w:r>
            <w:r>
              <w:rPr>
                <w:rFonts w:hint="eastAsia"/>
                <w:color w:val="auto"/>
                <w:sz w:val="24"/>
                <w:lang w:eastAsia="zh-CN"/>
              </w:rPr>
              <w:t>筒仓</w:t>
            </w:r>
            <w:r>
              <w:rPr>
                <w:color w:val="auto"/>
                <w:sz w:val="24"/>
              </w:rPr>
              <w:t>中，通过</w:t>
            </w:r>
            <w:r>
              <w:rPr>
                <w:rFonts w:hint="eastAsia"/>
                <w:color w:val="auto"/>
                <w:sz w:val="24"/>
                <w:lang w:eastAsia="zh-CN"/>
              </w:rPr>
              <w:t>筒仓</w:t>
            </w:r>
            <w:r>
              <w:rPr>
                <w:color w:val="auto"/>
                <w:sz w:val="24"/>
              </w:rPr>
              <w:t>顶部除尘器除尘后排放。在生产时粉料通过粉泵送至搅拌楼内的称量系统，经过称量后进入搅拌机。水泥从运输、储存到提升过程均在密闭系统中进行，能够有效避免粉尘的产生。在</w:t>
            </w:r>
            <w:r>
              <w:rPr>
                <w:rFonts w:hint="eastAsia"/>
                <w:color w:val="auto"/>
                <w:sz w:val="24"/>
                <w:lang w:eastAsia="zh-CN"/>
              </w:rPr>
              <w:t>筒仓</w:t>
            </w:r>
            <w:r>
              <w:rPr>
                <w:color w:val="auto"/>
                <w:sz w:val="24"/>
              </w:rPr>
              <w:t>进料过程中会从</w:t>
            </w:r>
            <w:r>
              <w:rPr>
                <w:rFonts w:hint="eastAsia"/>
                <w:color w:val="auto"/>
                <w:sz w:val="24"/>
                <w:lang w:eastAsia="zh-CN"/>
              </w:rPr>
              <w:t>筒仓</w:t>
            </w:r>
            <w:r>
              <w:rPr>
                <w:color w:val="auto"/>
                <w:sz w:val="24"/>
              </w:rPr>
              <w:t>呼吸孔排放少量的粉尘及噪声。</w:t>
            </w:r>
          </w:p>
          <w:p>
            <w:pPr>
              <w:adjustRightInd w:val="0"/>
              <w:snapToGrid w:val="0"/>
              <w:spacing w:line="360" w:lineRule="auto"/>
              <w:ind w:firstLine="480" w:firstLineChars="200"/>
              <w:jc w:val="left"/>
              <w:rPr>
                <w:color w:val="auto"/>
                <w:sz w:val="24"/>
              </w:rPr>
            </w:pPr>
            <w:r>
              <w:rPr>
                <w:color w:val="auto"/>
                <w:sz w:val="24"/>
              </w:rPr>
              <w:t>（3）水储存、传输、计量</w:t>
            </w:r>
          </w:p>
          <w:p>
            <w:pPr>
              <w:adjustRightInd w:val="0"/>
              <w:snapToGrid w:val="0"/>
              <w:spacing w:line="360" w:lineRule="auto"/>
              <w:ind w:firstLine="480" w:firstLineChars="200"/>
              <w:jc w:val="left"/>
              <w:rPr>
                <w:color w:val="auto"/>
                <w:sz w:val="24"/>
              </w:rPr>
            </w:pPr>
            <w:r>
              <w:rPr>
                <w:color w:val="auto"/>
                <w:sz w:val="24"/>
              </w:rPr>
              <w:t>在厂区南侧设有总容积为200m</w:t>
            </w:r>
            <w:r>
              <w:rPr>
                <w:color w:val="auto"/>
                <w:sz w:val="24"/>
                <w:vertAlign w:val="superscript"/>
              </w:rPr>
              <w:t>3</w:t>
            </w:r>
            <w:r>
              <w:rPr>
                <w:color w:val="auto"/>
                <w:sz w:val="24"/>
              </w:rPr>
              <w:t>的沉淀池蓄水，在生产过程中使用计量泵输入搅拌机内。</w:t>
            </w:r>
          </w:p>
          <w:p>
            <w:pPr>
              <w:adjustRightInd w:val="0"/>
              <w:snapToGrid w:val="0"/>
              <w:spacing w:line="360" w:lineRule="auto"/>
              <w:ind w:firstLine="480" w:firstLineChars="200"/>
              <w:jc w:val="left"/>
              <w:rPr>
                <w:color w:val="auto"/>
                <w:sz w:val="24"/>
              </w:rPr>
            </w:pPr>
            <w:r>
              <w:rPr>
                <w:color w:val="auto"/>
                <w:sz w:val="24"/>
              </w:rPr>
              <w:t>（4）搅拌、外运</w:t>
            </w:r>
          </w:p>
          <w:p>
            <w:pPr>
              <w:adjustRightInd w:val="0"/>
              <w:snapToGrid w:val="0"/>
              <w:spacing w:line="360" w:lineRule="auto"/>
              <w:ind w:firstLine="480" w:firstLineChars="200"/>
              <w:jc w:val="left"/>
              <w:rPr>
                <w:color w:val="auto"/>
                <w:sz w:val="24"/>
              </w:rPr>
            </w:pPr>
            <w:r>
              <w:rPr>
                <w:color w:val="auto"/>
                <w:sz w:val="24"/>
              </w:rPr>
              <w:t>经过计量后的砂、碎石、水泥、水进入搅拌缸内混合搅拌成水稳层，每一次搅拌时间为45s，产量约为3.5m</w:t>
            </w:r>
            <w:r>
              <w:rPr>
                <w:color w:val="auto"/>
                <w:sz w:val="24"/>
                <w:vertAlign w:val="superscript"/>
              </w:rPr>
              <w:t>3</w:t>
            </w:r>
            <w:r>
              <w:rPr>
                <w:color w:val="auto"/>
                <w:sz w:val="24"/>
              </w:rPr>
              <w:t>/次。混合搅拌好的水稳层从搅拌缸下的出料口落入成品料仓内暂存，成品料仓底部距地面高3.8m，罐车可停至成品料仓底部装料，然后直接运往施工现场。项目搅拌楼封闭搅拌，搅拌机工作时会产生搅拌粉尘及噪声，罐车运输会产生扬尘和噪声。</w:t>
            </w:r>
          </w:p>
          <w:p>
            <w:pPr>
              <w:adjustRightInd w:val="0"/>
              <w:snapToGrid w:val="0"/>
              <w:spacing w:line="360" w:lineRule="auto"/>
              <w:ind w:firstLine="480"/>
              <w:rPr>
                <w:color w:val="auto"/>
                <w:sz w:val="24"/>
              </w:rPr>
            </w:pPr>
            <w:r>
              <w:rPr>
                <w:color w:val="auto"/>
                <w:sz w:val="24"/>
              </w:rPr>
              <w:t>根据建设单位提供资料，本项目生产的水稳层成品委外检验，厂区内不设置实验室。</w:t>
            </w:r>
          </w:p>
          <w:p>
            <w:pPr>
              <w:adjustRightInd w:val="0"/>
              <w:snapToGrid w:val="0"/>
              <w:spacing w:line="360" w:lineRule="auto"/>
              <w:ind w:firstLine="482" w:firstLineChars="200"/>
              <w:rPr>
                <w:b/>
                <w:bCs/>
                <w:color w:val="auto"/>
                <w:sz w:val="24"/>
              </w:rPr>
            </w:pPr>
            <w:r>
              <w:rPr>
                <w:b/>
                <w:bCs/>
                <w:color w:val="auto"/>
                <w:sz w:val="24"/>
              </w:rPr>
              <w:t>（2）运营期主要污染工序：</w:t>
            </w:r>
          </w:p>
          <w:p>
            <w:pPr>
              <w:adjustRightInd w:val="0"/>
              <w:snapToGrid w:val="0"/>
              <w:spacing w:line="360" w:lineRule="auto"/>
              <w:ind w:firstLine="480" w:firstLineChars="200"/>
              <w:jc w:val="left"/>
              <w:rPr>
                <w:b/>
                <w:bCs/>
                <w:color w:val="auto"/>
                <w:sz w:val="24"/>
              </w:rPr>
            </w:pPr>
            <w:r>
              <w:rPr>
                <w:color w:val="auto"/>
                <w:sz w:val="24"/>
              </w:rPr>
              <w:t>根据营运期工艺流程及产污环节图，项目营运期污染物产生情况如下：</w:t>
            </w:r>
          </w:p>
          <w:p>
            <w:pPr>
              <w:adjustRightInd w:val="0"/>
              <w:snapToGrid w:val="0"/>
              <w:spacing w:line="360" w:lineRule="auto"/>
              <w:jc w:val="center"/>
              <w:rPr>
                <w:b/>
                <w:bCs/>
                <w:color w:val="auto"/>
                <w:szCs w:val="21"/>
              </w:rPr>
            </w:pPr>
            <w:r>
              <w:rPr>
                <w:b/>
                <w:bCs/>
                <w:color w:val="auto"/>
                <w:szCs w:val="21"/>
              </w:rPr>
              <w:t>表2-9  营运期污染物产生情况一览表</w:t>
            </w:r>
          </w:p>
          <w:tbl>
            <w:tblPr>
              <w:tblStyle w:val="4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44"/>
              <w:gridCol w:w="1775"/>
              <w:gridCol w:w="1487"/>
              <w:gridCol w:w="2065"/>
              <w:gridCol w:w="17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tcBorders>
                    <w:tl2br w:val="nil"/>
                    <w:tr2bl w:val="nil"/>
                  </w:tcBorders>
                  <w:vAlign w:val="center"/>
                </w:tcPr>
                <w:p>
                  <w:pPr>
                    <w:adjustRightInd w:val="0"/>
                    <w:snapToGrid w:val="0"/>
                    <w:jc w:val="center"/>
                    <w:rPr>
                      <w:b/>
                      <w:bCs/>
                      <w:color w:val="auto"/>
                      <w:szCs w:val="21"/>
                    </w:rPr>
                  </w:pPr>
                  <w:r>
                    <w:rPr>
                      <w:b/>
                      <w:bCs/>
                      <w:color w:val="auto"/>
                      <w:szCs w:val="21"/>
                    </w:rPr>
                    <w:t>类别</w:t>
                  </w:r>
                </w:p>
              </w:tc>
              <w:tc>
                <w:tcPr>
                  <w:tcW w:w="949" w:type="pct"/>
                  <w:tcBorders>
                    <w:tl2br w:val="nil"/>
                    <w:tr2bl w:val="nil"/>
                  </w:tcBorders>
                  <w:vAlign w:val="center"/>
                </w:tcPr>
                <w:p>
                  <w:pPr>
                    <w:adjustRightInd w:val="0"/>
                    <w:snapToGrid w:val="0"/>
                    <w:jc w:val="center"/>
                    <w:rPr>
                      <w:b/>
                      <w:bCs/>
                      <w:color w:val="auto"/>
                      <w:szCs w:val="21"/>
                    </w:rPr>
                  </w:pPr>
                  <w:r>
                    <w:rPr>
                      <w:b/>
                      <w:bCs/>
                      <w:color w:val="auto"/>
                      <w:szCs w:val="21"/>
                    </w:rPr>
                    <w:t>产污位置</w:t>
                  </w:r>
                </w:p>
              </w:tc>
              <w:tc>
                <w:tcPr>
                  <w:tcW w:w="795" w:type="pct"/>
                  <w:tcBorders>
                    <w:tl2br w:val="nil"/>
                    <w:tr2bl w:val="nil"/>
                  </w:tcBorders>
                  <w:vAlign w:val="center"/>
                </w:tcPr>
                <w:p>
                  <w:pPr>
                    <w:adjustRightInd w:val="0"/>
                    <w:snapToGrid w:val="0"/>
                    <w:jc w:val="center"/>
                    <w:rPr>
                      <w:b/>
                      <w:bCs/>
                      <w:color w:val="auto"/>
                      <w:szCs w:val="21"/>
                    </w:rPr>
                  </w:pPr>
                  <w:r>
                    <w:rPr>
                      <w:b/>
                      <w:bCs/>
                      <w:color w:val="auto"/>
                      <w:szCs w:val="21"/>
                    </w:rPr>
                    <w:t>污染工序</w:t>
                  </w:r>
                </w:p>
              </w:tc>
              <w:tc>
                <w:tcPr>
                  <w:tcW w:w="1104" w:type="pct"/>
                  <w:tcBorders>
                    <w:tl2br w:val="nil"/>
                    <w:tr2bl w:val="nil"/>
                  </w:tcBorders>
                  <w:vAlign w:val="center"/>
                </w:tcPr>
                <w:p>
                  <w:pPr>
                    <w:adjustRightInd w:val="0"/>
                    <w:snapToGrid w:val="0"/>
                    <w:jc w:val="center"/>
                    <w:rPr>
                      <w:b/>
                      <w:bCs/>
                      <w:color w:val="auto"/>
                      <w:szCs w:val="21"/>
                    </w:rPr>
                  </w:pPr>
                  <w:r>
                    <w:rPr>
                      <w:b/>
                      <w:bCs/>
                      <w:color w:val="auto"/>
                      <w:szCs w:val="21"/>
                    </w:rPr>
                    <w:t>污染物</w:t>
                  </w:r>
                </w:p>
              </w:tc>
              <w:tc>
                <w:tcPr>
                  <w:tcW w:w="949" w:type="pct"/>
                  <w:tcBorders>
                    <w:tl2br w:val="nil"/>
                    <w:tr2bl w:val="nil"/>
                  </w:tcBorders>
                  <w:vAlign w:val="center"/>
                </w:tcPr>
                <w:p>
                  <w:pPr>
                    <w:adjustRightInd w:val="0"/>
                    <w:snapToGrid w:val="0"/>
                    <w:jc w:val="center"/>
                    <w:rPr>
                      <w:b/>
                      <w:bCs/>
                      <w:color w:val="auto"/>
                      <w:szCs w:val="21"/>
                    </w:rPr>
                  </w:pPr>
                  <w:r>
                    <w:rPr>
                      <w:b/>
                      <w:bCs/>
                      <w:color w:val="auto"/>
                      <w:szCs w:val="21"/>
                    </w:rPr>
                    <w:t>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Merge w:val="restart"/>
                  <w:tcBorders>
                    <w:tl2br w:val="nil"/>
                    <w:tr2bl w:val="nil"/>
                  </w:tcBorders>
                  <w:vAlign w:val="center"/>
                </w:tcPr>
                <w:p>
                  <w:pPr>
                    <w:adjustRightInd w:val="0"/>
                    <w:snapToGrid w:val="0"/>
                    <w:jc w:val="center"/>
                    <w:rPr>
                      <w:color w:val="auto"/>
                      <w:szCs w:val="21"/>
                    </w:rPr>
                  </w:pPr>
                  <w:r>
                    <w:rPr>
                      <w:color w:val="auto"/>
                      <w:szCs w:val="21"/>
                    </w:rPr>
                    <w:t>废水</w:t>
                  </w:r>
                </w:p>
              </w:tc>
              <w:tc>
                <w:tcPr>
                  <w:tcW w:w="949" w:type="pct"/>
                  <w:tcBorders>
                    <w:tl2br w:val="nil"/>
                    <w:tr2bl w:val="nil"/>
                  </w:tcBorders>
                  <w:vAlign w:val="center"/>
                </w:tcPr>
                <w:p>
                  <w:pPr>
                    <w:adjustRightInd w:val="0"/>
                    <w:snapToGrid w:val="0"/>
                    <w:jc w:val="center"/>
                    <w:rPr>
                      <w:color w:val="auto"/>
                      <w:szCs w:val="21"/>
                    </w:rPr>
                  </w:pPr>
                  <w:r>
                    <w:rPr>
                      <w:color w:val="auto"/>
                      <w:szCs w:val="21"/>
                    </w:rPr>
                    <w:t>厂区</w:t>
                  </w:r>
                </w:p>
              </w:tc>
              <w:tc>
                <w:tcPr>
                  <w:tcW w:w="795" w:type="pct"/>
                  <w:tcBorders>
                    <w:tl2br w:val="nil"/>
                    <w:tr2bl w:val="nil"/>
                  </w:tcBorders>
                  <w:vAlign w:val="center"/>
                </w:tcPr>
                <w:p>
                  <w:pPr>
                    <w:adjustRightInd w:val="0"/>
                    <w:snapToGrid w:val="0"/>
                    <w:jc w:val="center"/>
                    <w:rPr>
                      <w:color w:val="auto"/>
                      <w:szCs w:val="21"/>
                    </w:rPr>
                  </w:pPr>
                  <w:r>
                    <w:rPr>
                      <w:color w:val="auto"/>
                      <w:szCs w:val="21"/>
                    </w:rPr>
                    <w:t>降雨</w:t>
                  </w:r>
                </w:p>
              </w:tc>
              <w:tc>
                <w:tcPr>
                  <w:tcW w:w="1104" w:type="pct"/>
                  <w:tcBorders>
                    <w:tl2br w:val="nil"/>
                    <w:tr2bl w:val="nil"/>
                  </w:tcBorders>
                  <w:vAlign w:val="center"/>
                </w:tcPr>
                <w:p>
                  <w:pPr>
                    <w:adjustRightInd w:val="0"/>
                    <w:snapToGrid w:val="0"/>
                    <w:jc w:val="center"/>
                    <w:rPr>
                      <w:rFonts w:eastAsiaTheme="minorEastAsia"/>
                      <w:color w:val="auto"/>
                      <w:szCs w:val="21"/>
                    </w:rPr>
                  </w:pPr>
                  <w:r>
                    <w:rPr>
                      <w:color w:val="auto"/>
                    </w:rPr>
                    <w:t>初期雨水</w:t>
                  </w:r>
                </w:p>
              </w:tc>
              <w:tc>
                <w:tcPr>
                  <w:tcW w:w="949" w:type="pct"/>
                  <w:tcBorders>
                    <w:tl2br w:val="nil"/>
                    <w:tr2bl w:val="nil"/>
                  </w:tcBorders>
                  <w:vAlign w:val="center"/>
                </w:tcPr>
                <w:p>
                  <w:pPr>
                    <w:adjustRightInd w:val="0"/>
                    <w:snapToGrid w:val="0"/>
                    <w:jc w:val="center"/>
                    <w:rPr>
                      <w:color w:val="auto"/>
                      <w:szCs w:val="21"/>
                    </w:rPr>
                  </w:pPr>
                  <w:r>
                    <w:rPr>
                      <w:color w:val="auto"/>
                      <w:szCs w:val="21"/>
                    </w:rPr>
                    <w:t>SS、石油类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Merge w:val="continue"/>
                  <w:tcBorders>
                    <w:tl2br w:val="nil"/>
                    <w:tr2bl w:val="nil"/>
                  </w:tcBorders>
                  <w:vAlign w:val="center"/>
                </w:tcPr>
                <w:p>
                  <w:pPr>
                    <w:adjustRightInd w:val="0"/>
                    <w:snapToGrid w:val="0"/>
                    <w:jc w:val="center"/>
                    <w:rPr>
                      <w:color w:val="auto"/>
                      <w:szCs w:val="21"/>
                    </w:rPr>
                  </w:pPr>
                </w:p>
              </w:tc>
              <w:tc>
                <w:tcPr>
                  <w:tcW w:w="949" w:type="pct"/>
                  <w:tcBorders>
                    <w:tl2br w:val="nil"/>
                    <w:tr2bl w:val="nil"/>
                  </w:tcBorders>
                  <w:vAlign w:val="center"/>
                </w:tcPr>
                <w:p>
                  <w:pPr>
                    <w:adjustRightInd w:val="0"/>
                    <w:snapToGrid w:val="0"/>
                    <w:jc w:val="center"/>
                    <w:rPr>
                      <w:color w:val="auto"/>
                      <w:szCs w:val="21"/>
                    </w:rPr>
                  </w:pPr>
                  <w:r>
                    <w:rPr>
                      <w:color w:val="auto"/>
                      <w:szCs w:val="21"/>
                    </w:rPr>
                    <w:t>厂区</w:t>
                  </w:r>
                </w:p>
              </w:tc>
              <w:tc>
                <w:tcPr>
                  <w:tcW w:w="795" w:type="pct"/>
                  <w:tcBorders>
                    <w:tl2br w:val="nil"/>
                    <w:tr2bl w:val="nil"/>
                  </w:tcBorders>
                  <w:vAlign w:val="center"/>
                </w:tcPr>
                <w:p>
                  <w:pPr>
                    <w:adjustRightInd w:val="0"/>
                    <w:snapToGrid w:val="0"/>
                    <w:jc w:val="center"/>
                    <w:rPr>
                      <w:color w:val="auto"/>
                      <w:szCs w:val="21"/>
                    </w:rPr>
                  </w:pPr>
                  <w:r>
                    <w:rPr>
                      <w:color w:val="auto"/>
                      <w:szCs w:val="21"/>
                    </w:rPr>
                    <w:t>搅拌设备、罐车、地面清洗</w:t>
                  </w:r>
                </w:p>
              </w:tc>
              <w:tc>
                <w:tcPr>
                  <w:tcW w:w="1104" w:type="pct"/>
                  <w:tcBorders>
                    <w:tl2br w:val="nil"/>
                    <w:tr2bl w:val="nil"/>
                  </w:tcBorders>
                  <w:vAlign w:val="center"/>
                </w:tcPr>
                <w:p>
                  <w:pPr>
                    <w:adjustRightInd w:val="0"/>
                    <w:snapToGrid w:val="0"/>
                    <w:jc w:val="center"/>
                    <w:rPr>
                      <w:rFonts w:eastAsiaTheme="minorEastAsia"/>
                      <w:color w:val="auto"/>
                      <w:szCs w:val="21"/>
                    </w:rPr>
                  </w:pPr>
                  <w:r>
                    <w:rPr>
                      <w:color w:val="auto"/>
                    </w:rPr>
                    <w:t>搅拌设备、罐车、地面清洗废水</w:t>
                  </w:r>
                </w:p>
              </w:tc>
              <w:tc>
                <w:tcPr>
                  <w:tcW w:w="949" w:type="pct"/>
                  <w:tcBorders>
                    <w:tl2br w:val="nil"/>
                    <w:tr2bl w:val="nil"/>
                  </w:tcBorders>
                  <w:vAlign w:val="center"/>
                </w:tcPr>
                <w:p>
                  <w:pPr>
                    <w:adjustRightInd w:val="0"/>
                    <w:snapToGrid w:val="0"/>
                    <w:jc w:val="center"/>
                    <w:rPr>
                      <w:color w:val="auto"/>
                      <w:szCs w:val="21"/>
                    </w:rPr>
                  </w:pPr>
                  <w:r>
                    <w:rPr>
                      <w:color w:val="auto"/>
                      <w:szCs w:val="21"/>
                    </w:rPr>
                    <w:t>SS、石油类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Merge w:val="continue"/>
                  <w:tcBorders>
                    <w:tl2br w:val="nil"/>
                    <w:tr2bl w:val="nil"/>
                  </w:tcBorders>
                  <w:vAlign w:val="center"/>
                </w:tcPr>
                <w:p>
                  <w:pPr>
                    <w:adjustRightInd w:val="0"/>
                    <w:snapToGrid w:val="0"/>
                    <w:jc w:val="center"/>
                    <w:rPr>
                      <w:color w:val="auto"/>
                      <w:szCs w:val="21"/>
                    </w:rPr>
                  </w:pPr>
                </w:p>
              </w:tc>
              <w:tc>
                <w:tcPr>
                  <w:tcW w:w="949" w:type="pct"/>
                  <w:tcBorders>
                    <w:tl2br w:val="nil"/>
                    <w:tr2bl w:val="nil"/>
                  </w:tcBorders>
                  <w:vAlign w:val="center"/>
                </w:tcPr>
                <w:p>
                  <w:pPr>
                    <w:adjustRightInd w:val="0"/>
                    <w:snapToGrid w:val="0"/>
                    <w:jc w:val="center"/>
                    <w:rPr>
                      <w:color w:val="auto"/>
                      <w:szCs w:val="21"/>
                    </w:rPr>
                  </w:pPr>
                  <w:r>
                    <w:rPr>
                      <w:color w:val="auto"/>
                      <w:szCs w:val="21"/>
                    </w:rPr>
                    <w:t>厕所、洗手</w:t>
                  </w:r>
                </w:p>
              </w:tc>
              <w:tc>
                <w:tcPr>
                  <w:tcW w:w="795" w:type="pct"/>
                  <w:tcBorders>
                    <w:tl2br w:val="nil"/>
                    <w:tr2bl w:val="nil"/>
                  </w:tcBorders>
                  <w:vAlign w:val="center"/>
                </w:tcPr>
                <w:p>
                  <w:pPr>
                    <w:adjustRightInd w:val="0"/>
                    <w:snapToGrid w:val="0"/>
                    <w:jc w:val="center"/>
                    <w:rPr>
                      <w:color w:val="auto"/>
                      <w:szCs w:val="21"/>
                    </w:rPr>
                  </w:pPr>
                  <w:r>
                    <w:rPr>
                      <w:color w:val="auto"/>
                      <w:szCs w:val="21"/>
                    </w:rPr>
                    <w:t>员工如厕、洗手</w:t>
                  </w:r>
                </w:p>
              </w:tc>
              <w:tc>
                <w:tcPr>
                  <w:tcW w:w="1104" w:type="pct"/>
                  <w:tcBorders>
                    <w:tl2br w:val="nil"/>
                    <w:tr2bl w:val="nil"/>
                  </w:tcBorders>
                  <w:vAlign w:val="center"/>
                </w:tcPr>
                <w:p>
                  <w:pPr>
                    <w:adjustRightInd w:val="0"/>
                    <w:snapToGrid w:val="0"/>
                    <w:jc w:val="center"/>
                    <w:rPr>
                      <w:rFonts w:eastAsiaTheme="minorEastAsia"/>
                      <w:color w:val="auto"/>
                    </w:rPr>
                  </w:pPr>
                  <w:r>
                    <w:rPr>
                      <w:color w:val="auto"/>
                    </w:rPr>
                    <w:t>生活污水</w:t>
                  </w:r>
                </w:p>
              </w:tc>
              <w:tc>
                <w:tcPr>
                  <w:tcW w:w="949" w:type="pct"/>
                  <w:tcBorders>
                    <w:tl2br w:val="nil"/>
                    <w:tr2bl w:val="nil"/>
                  </w:tcBorders>
                  <w:vAlign w:val="center"/>
                </w:tcPr>
                <w:p>
                  <w:pPr>
                    <w:adjustRightInd w:val="0"/>
                    <w:snapToGrid w:val="0"/>
                    <w:jc w:val="center"/>
                    <w:rPr>
                      <w:color w:val="auto"/>
                      <w:szCs w:val="21"/>
                    </w:rPr>
                  </w:pPr>
                  <w:r>
                    <w:rPr>
                      <w:color w:val="auto"/>
                      <w:szCs w:val="21"/>
                    </w:rPr>
                    <w:t>BOD</w:t>
                  </w:r>
                  <w:r>
                    <w:rPr>
                      <w:color w:val="auto"/>
                      <w:szCs w:val="21"/>
                      <w:vertAlign w:val="subscript"/>
                    </w:rPr>
                    <w:t>5</w:t>
                  </w:r>
                  <w:r>
                    <w:rPr>
                      <w:color w:val="auto"/>
                      <w:szCs w:val="21"/>
                    </w:rPr>
                    <w:t>、COD</w:t>
                  </w:r>
                  <w:r>
                    <w:rPr>
                      <w:color w:val="auto"/>
                      <w:szCs w:val="21"/>
                      <w:vertAlign w:val="subscript"/>
                    </w:rPr>
                    <w:t>Cr</w:t>
                  </w:r>
                  <w:r>
                    <w:rPr>
                      <w:color w:val="auto"/>
                      <w:szCs w:val="21"/>
                    </w:rPr>
                    <w:t>、NH</w:t>
                  </w:r>
                  <w:r>
                    <w:rPr>
                      <w:color w:val="auto"/>
                      <w:szCs w:val="21"/>
                      <w:vertAlign w:val="subscript"/>
                    </w:rPr>
                    <w:t>3</w:t>
                  </w:r>
                  <w:r>
                    <w:rPr>
                      <w:color w:val="auto"/>
                      <w:szCs w:val="21"/>
                    </w:rPr>
                    <w:t>-N、SS、石油类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Merge w:val="restart"/>
                  <w:tcBorders>
                    <w:tl2br w:val="nil"/>
                    <w:tr2bl w:val="nil"/>
                  </w:tcBorders>
                  <w:vAlign w:val="center"/>
                </w:tcPr>
                <w:p>
                  <w:pPr>
                    <w:adjustRightInd w:val="0"/>
                    <w:snapToGrid w:val="0"/>
                    <w:jc w:val="center"/>
                    <w:rPr>
                      <w:color w:val="auto"/>
                      <w:szCs w:val="21"/>
                    </w:rPr>
                  </w:pPr>
                  <w:r>
                    <w:rPr>
                      <w:color w:val="auto"/>
                      <w:szCs w:val="21"/>
                    </w:rPr>
                    <w:t>废气</w:t>
                  </w:r>
                </w:p>
              </w:tc>
              <w:tc>
                <w:tcPr>
                  <w:tcW w:w="949" w:type="pct"/>
                  <w:tcBorders>
                    <w:tl2br w:val="nil"/>
                    <w:tr2bl w:val="nil"/>
                  </w:tcBorders>
                  <w:vAlign w:val="center"/>
                </w:tcPr>
                <w:p>
                  <w:pPr>
                    <w:adjustRightInd w:val="0"/>
                    <w:snapToGrid w:val="0"/>
                    <w:jc w:val="center"/>
                    <w:rPr>
                      <w:color w:val="auto"/>
                      <w:szCs w:val="21"/>
                    </w:rPr>
                  </w:pPr>
                  <w:r>
                    <w:rPr>
                      <w:color w:val="auto"/>
                    </w:rPr>
                    <w:t>生产区</w:t>
                  </w:r>
                </w:p>
              </w:tc>
              <w:tc>
                <w:tcPr>
                  <w:tcW w:w="795" w:type="pct"/>
                  <w:tcBorders>
                    <w:tl2br w:val="nil"/>
                    <w:tr2bl w:val="nil"/>
                  </w:tcBorders>
                  <w:vAlign w:val="center"/>
                </w:tcPr>
                <w:p>
                  <w:pPr>
                    <w:adjustRightInd w:val="0"/>
                    <w:snapToGrid w:val="0"/>
                    <w:jc w:val="center"/>
                    <w:rPr>
                      <w:color w:val="auto"/>
                      <w:szCs w:val="21"/>
                    </w:rPr>
                  </w:pPr>
                  <w:r>
                    <w:rPr>
                      <w:color w:val="auto"/>
                      <w:szCs w:val="21"/>
                    </w:rPr>
                    <w:t>水稳层生产</w:t>
                  </w:r>
                </w:p>
              </w:tc>
              <w:tc>
                <w:tcPr>
                  <w:tcW w:w="1104" w:type="pct"/>
                  <w:tcBorders>
                    <w:tl2br w:val="nil"/>
                    <w:tr2bl w:val="nil"/>
                  </w:tcBorders>
                  <w:vAlign w:val="center"/>
                </w:tcPr>
                <w:p>
                  <w:pPr>
                    <w:adjustRightInd w:val="0"/>
                    <w:snapToGrid w:val="0"/>
                    <w:jc w:val="center"/>
                    <w:rPr>
                      <w:rFonts w:eastAsiaTheme="minorEastAsia"/>
                      <w:color w:val="auto"/>
                    </w:rPr>
                  </w:pPr>
                  <w:r>
                    <w:rPr>
                      <w:color w:val="auto"/>
                    </w:rPr>
                    <w:t>运输车辆的动力起尘、砂石堆料场起尘、铲车投料粉尘、物料输送粉尘、筒仓呼吸粉尘、搅拌机拌料粉尘</w:t>
                  </w:r>
                </w:p>
              </w:tc>
              <w:tc>
                <w:tcPr>
                  <w:tcW w:w="949" w:type="pct"/>
                  <w:tcBorders>
                    <w:tl2br w:val="nil"/>
                    <w:tr2bl w:val="nil"/>
                  </w:tcBorders>
                  <w:vAlign w:val="center"/>
                </w:tcPr>
                <w:p>
                  <w:pPr>
                    <w:adjustRightInd w:val="0"/>
                    <w:snapToGrid w:val="0"/>
                    <w:jc w:val="center"/>
                    <w:rPr>
                      <w:color w:val="auto"/>
                      <w:szCs w:val="21"/>
                    </w:rPr>
                  </w:pPr>
                  <w:r>
                    <w:rPr>
                      <w:color w:val="auto"/>
                      <w:szCs w:val="21"/>
                    </w:rPr>
                    <w:t>TSP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Merge w:val="continue"/>
                  <w:tcBorders>
                    <w:tl2br w:val="nil"/>
                    <w:tr2bl w:val="nil"/>
                  </w:tcBorders>
                  <w:vAlign w:val="center"/>
                </w:tcPr>
                <w:p>
                  <w:pPr>
                    <w:adjustRightInd w:val="0"/>
                    <w:snapToGrid w:val="0"/>
                    <w:jc w:val="center"/>
                    <w:rPr>
                      <w:color w:val="auto"/>
                      <w:szCs w:val="21"/>
                    </w:rPr>
                  </w:pPr>
                </w:p>
              </w:tc>
              <w:tc>
                <w:tcPr>
                  <w:tcW w:w="949" w:type="pct"/>
                  <w:tcBorders>
                    <w:tl2br w:val="nil"/>
                    <w:tr2bl w:val="nil"/>
                  </w:tcBorders>
                  <w:vAlign w:val="center"/>
                </w:tcPr>
                <w:p>
                  <w:pPr>
                    <w:adjustRightInd w:val="0"/>
                    <w:snapToGrid w:val="0"/>
                    <w:jc w:val="center"/>
                    <w:rPr>
                      <w:color w:val="auto"/>
                      <w:szCs w:val="21"/>
                    </w:rPr>
                  </w:pPr>
                  <w:r>
                    <w:rPr>
                      <w:color w:val="auto"/>
                    </w:rPr>
                    <w:t>生产区</w:t>
                  </w:r>
                </w:p>
              </w:tc>
              <w:tc>
                <w:tcPr>
                  <w:tcW w:w="795" w:type="pct"/>
                  <w:tcBorders>
                    <w:tl2br w:val="nil"/>
                    <w:tr2bl w:val="nil"/>
                  </w:tcBorders>
                  <w:vAlign w:val="center"/>
                </w:tcPr>
                <w:p>
                  <w:pPr>
                    <w:adjustRightInd w:val="0"/>
                    <w:snapToGrid w:val="0"/>
                    <w:jc w:val="center"/>
                    <w:rPr>
                      <w:color w:val="auto"/>
                      <w:szCs w:val="21"/>
                    </w:rPr>
                  </w:pPr>
                  <w:r>
                    <w:rPr>
                      <w:color w:val="auto"/>
                      <w:szCs w:val="21"/>
                    </w:rPr>
                    <w:t>设备运行、车辆运输</w:t>
                  </w:r>
                </w:p>
              </w:tc>
              <w:tc>
                <w:tcPr>
                  <w:tcW w:w="1104" w:type="pct"/>
                  <w:tcBorders>
                    <w:tl2br w:val="nil"/>
                    <w:tr2bl w:val="nil"/>
                  </w:tcBorders>
                  <w:vAlign w:val="center"/>
                </w:tcPr>
                <w:p>
                  <w:pPr>
                    <w:adjustRightInd w:val="0"/>
                    <w:snapToGrid w:val="0"/>
                    <w:jc w:val="center"/>
                    <w:rPr>
                      <w:rFonts w:eastAsiaTheme="minorEastAsia"/>
                      <w:color w:val="auto"/>
                    </w:rPr>
                  </w:pPr>
                  <w:r>
                    <w:rPr>
                      <w:color w:val="auto"/>
                    </w:rPr>
                    <w:t>燃油废气、汽车尾气</w:t>
                  </w:r>
                </w:p>
              </w:tc>
              <w:tc>
                <w:tcPr>
                  <w:tcW w:w="949" w:type="pct"/>
                  <w:tcBorders>
                    <w:tl2br w:val="nil"/>
                    <w:tr2bl w:val="nil"/>
                  </w:tcBorders>
                  <w:vAlign w:val="center"/>
                </w:tcPr>
                <w:p>
                  <w:pPr>
                    <w:adjustRightInd w:val="0"/>
                    <w:snapToGrid w:val="0"/>
                    <w:jc w:val="center"/>
                    <w:rPr>
                      <w:color w:val="auto"/>
                      <w:szCs w:val="21"/>
                    </w:rPr>
                  </w:pPr>
                  <w:r>
                    <w:rPr>
                      <w:color w:val="auto"/>
                      <w:szCs w:val="21"/>
                    </w:rPr>
                    <w:t>SO</w:t>
                  </w:r>
                  <w:r>
                    <w:rPr>
                      <w:color w:val="auto"/>
                      <w:szCs w:val="21"/>
                      <w:vertAlign w:val="subscript"/>
                    </w:rPr>
                    <w:t>2</w:t>
                  </w:r>
                  <w:r>
                    <w:rPr>
                      <w:color w:val="auto"/>
                      <w:szCs w:val="21"/>
                    </w:rPr>
                    <w:t>、NO</w:t>
                  </w:r>
                  <w:r>
                    <w:rPr>
                      <w:color w:val="auto"/>
                      <w:szCs w:val="21"/>
                      <w:vertAlign w:val="subscript"/>
                    </w:rPr>
                    <w:t>2</w:t>
                  </w:r>
                  <w:r>
                    <w:rPr>
                      <w:color w:val="auto"/>
                      <w:szCs w:val="21"/>
                    </w:rPr>
                    <w:t>、CO、烃类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Merge w:val="restart"/>
                  <w:tcBorders>
                    <w:tl2br w:val="nil"/>
                    <w:tr2bl w:val="nil"/>
                  </w:tcBorders>
                  <w:vAlign w:val="center"/>
                </w:tcPr>
                <w:p>
                  <w:pPr>
                    <w:adjustRightInd w:val="0"/>
                    <w:snapToGrid w:val="0"/>
                    <w:jc w:val="center"/>
                    <w:rPr>
                      <w:color w:val="auto"/>
                      <w:szCs w:val="21"/>
                    </w:rPr>
                  </w:pPr>
                  <w:r>
                    <w:rPr>
                      <w:color w:val="auto"/>
                      <w:szCs w:val="21"/>
                    </w:rPr>
                    <w:t>噪声</w:t>
                  </w:r>
                </w:p>
              </w:tc>
              <w:tc>
                <w:tcPr>
                  <w:tcW w:w="949" w:type="pct"/>
                  <w:tcBorders>
                    <w:tl2br w:val="nil"/>
                    <w:tr2bl w:val="nil"/>
                  </w:tcBorders>
                  <w:vAlign w:val="center"/>
                </w:tcPr>
                <w:p>
                  <w:pPr>
                    <w:adjustRightInd w:val="0"/>
                    <w:snapToGrid w:val="0"/>
                    <w:jc w:val="center"/>
                    <w:rPr>
                      <w:color w:val="auto"/>
                      <w:szCs w:val="21"/>
                    </w:rPr>
                  </w:pPr>
                  <w:r>
                    <w:rPr>
                      <w:color w:val="auto"/>
                    </w:rPr>
                    <w:t>生产区</w:t>
                  </w:r>
                </w:p>
              </w:tc>
              <w:tc>
                <w:tcPr>
                  <w:tcW w:w="795" w:type="pct"/>
                  <w:tcBorders>
                    <w:tl2br w:val="nil"/>
                    <w:tr2bl w:val="nil"/>
                  </w:tcBorders>
                  <w:vAlign w:val="center"/>
                </w:tcPr>
                <w:p>
                  <w:pPr>
                    <w:adjustRightInd w:val="0"/>
                    <w:snapToGrid w:val="0"/>
                    <w:jc w:val="center"/>
                    <w:rPr>
                      <w:color w:val="auto"/>
                      <w:szCs w:val="21"/>
                    </w:rPr>
                  </w:pPr>
                  <w:r>
                    <w:rPr>
                      <w:color w:val="auto"/>
                      <w:szCs w:val="21"/>
                    </w:rPr>
                    <w:t>设备运行</w:t>
                  </w:r>
                </w:p>
              </w:tc>
              <w:tc>
                <w:tcPr>
                  <w:tcW w:w="1104" w:type="pct"/>
                  <w:tcBorders>
                    <w:tl2br w:val="nil"/>
                    <w:tr2bl w:val="nil"/>
                  </w:tcBorders>
                  <w:vAlign w:val="center"/>
                </w:tcPr>
                <w:p>
                  <w:pPr>
                    <w:adjustRightInd w:val="0"/>
                    <w:snapToGrid w:val="0"/>
                    <w:jc w:val="center"/>
                    <w:rPr>
                      <w:rFonts w:eastAsiaTheme="minorEastAsia"/>
                      <w:color w:val="auto"/>
                    </w:rPr>
                  </w:pPr>
                  <w:r>
                    <w:rPr>
                      <w:color w:val="auto"/>
                    </w:rPr>
                    <w:t>设备运行噪声</w:t>
                  </w:r>
                </w:p>
              </w:tc>
              <w:tc>
                <w:tcPr>
                  <w:tcW w:w="949" w:type="pct"/>
                  <w:tcBorders>
                    <w:tl2br w:val="nil"/>
                    <w:tr2bl w:val="nil"/>
                  </w:tcBorders>
                  <w:vAlign w:val="center"/>
                </w:tcPr>
                <w:p>
                  <w:pPr>
                    <w:adjustRightInd w:val="0"/>
                    <w:snapToGrid w:val="0"/>
                    <w:jc w:val="center"/>
                    <w:rPr>
                      <w:color w:val="auto"/>
                      <w:szCs w:val="21"/>
                    </w:rPr>
                  </w:pPr>
                  <w:r>
                    <w:rPr>
                      <w:color w:val="auto"/>
                      <w:szCs w:val="21"/>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Merge w:val="continue"/>
                  <w:tcBorders>
                    <w:tl2br w:val="nil"/>
                    <w:tr2bl w:val="nil"/>
                  </w:tcBorders>
                  <w:vAlign w:val="center"/>
                </w:tcPr>
                <w:p>
                  <w:pPr>
                    <w:adjustRightInd w:val="0"/>
                    <w:snapToGrid w:val="0"/>
                    <w:jc w:val="center"/>
                    <w:rPr>
                      <w:color w:val="auto"/>
                      <w:szCs w:val="21"/>
                    </w:rPr>
                  </w:pPr>
                </w:p>
              </w:tc>
              <w:tc>
                <w:tcPr>
                  <w:tcW w:w="949" w:type="pct"/>
                  <w:tcBorders>
                    <w:tl2br w:val="nil"/>
                    <w:tr2bl w:val="nil"/>
                  </w:tcBorders>
                  <w:vAlign w:val="center"/>
                </w:tcPr>
                <w:p>
                  <w:pPr>
                    <w:adjustRightInd w:val="0"/>
                    <w:snapToGrid w:val="0"/>
                    <w:jc w:val="center"/>
                    <w:rPr>
                      <w:color w:val="auto"/>
                      <w:szCs w:val="21"/>
                    </w:rPr>
                  </w:pPr>
                  <w:r>
                    <w:rPr>
                      <w:color w:val="auto"/>
                    </w:rPr>
                    <w:t>厂区</w:t>
                  </w:r>
                </w:p>
              </w:tc>
              <w:tc>
                <w:tcPr>
                  <w:tcW w:w="795" w:type="pct"/>
                  <w:tcBorders>
                    <w:tl2br w:val="nil"/>
                    <w:tr2bl w:val="nil"/>
                  </w:tcBorders>
                  <w:vAlign w:val="center"/>
                </w:tcPr>
                <w:p>
                  <w:pPr>
                    <w:adjustRightInd w:val="0"/>
                    <w:snapToGrid w:val="0"/>
                    <w:jc w:val="center"/>
                    <w:rPr>
                      <w:color w:val="auto"/>
                      <w:szCs w:val="21"/>
                    </w:rPr>
                  </w:pPr>
                  <w:r>
                    <w:rPr>
                      <w:color w:val="auto"/>
                      <w:szCs w:val="21"/>
                    </w:rPr>
                    <w:t>车辆运输</w:t>
                  </w:r>
                </w:p>
              </w:tc>
              <w:tc>
                <w:tcPr>
                  <w:tcW w:w="1104" w:type="pct"/>
                  <w:tcBorders>
                    <w:tl2br w:val="nil"/>
                    <w:tr2bl w:val="nil"/>
                  </w:tcBorders>
                  <w:vAlign w:val="center"/>
                </w:tcPr>
                <w:p>
                  <w:pPr>
                    <w:adjustRightInd w:val="0"/>
                    <w:snapToGrid w:val="0"/>
                    <w:jc w:val="center"/>
                    <w:rPr>
                      <w:rFonts w:eastAsiaTheme="minorEastAsia"/>
                      <w:color w:val="auto"/>
                    </w:rPr>
                  </w:pPr>
                  <w:r>
                    <w:rPr>
                      <w:color w:val="auto"/>
                    </w:rPr>
                    <w:t>运输车辆噪声</w:t>
                  </w:r>
                </w:p>
              </w:tc>
              <w:tc>
                <w:tcPr>
                  <w:tcW w:w="949" w:type="pct"/>
                  <w:tcBorders>
                    <w:tl2br w:val="nil"/>
                    <w:tr2bl w:val="nil"/>
                  </w:tcBorders>
                  <w:vAlign w:val="center"/>
                </w:tcPr>
                <w:p>
                  <w:pPr>
                    <w:adjustRightInd w:val="0"/>
                    <w:snapToGrid w:val="0"/>
                    <w:jc w:val="center"/>
                    <w:rPr>
                      <w:color w:val="auto"/>
                      <w:szCs w:val="21"/>
                    </w:rPr>
                  </w:pPr>
                  <w:r>
                    <w:rPr>
                      <w:color w:val="auto"/>
                      <w:szCs w:val="21"/>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Merge w:val="restart"/>
                  <w:tcBorders>
                    <w:tl2br w:val="nil"/>
                    <w:tr2bl w:val="nil"/>
                  </w:tcBorders>
                  <w:vAlign w:val="center"/>
                </w:tcPr>
                <w:p>
                  <w:pPr>
                    <w:adjustRightInd w:val="0"/>
                    <w:snapToGrid w:val="0"/>
                    <w:jc w:val="center"/>
                    <w:rPr>
                      <w:color w:val="auto"/>
                      <w:szCs w:val="21"/>
                    </w:rPr>
                  </w:pPr>
                  <w:r>
                    <w:rPr>
                      <w:color w:val="auto"/>
                      <w:szCs w:val="21"/>
                    </w:rPr>
                    <w:t>固废</w:t>
                  </w:r>
                </w:p>
              </w:tc>
              <w:tc>
                <w:tcPr>
                  <w:tcW w:w="949" w:type="pct"/>
                  <w:tcBorders>
                    <w:tl2br w:val="nil"/>
                    <w:tr2bl w:val="nil"/>
                  </w:tcBorders>
                  <w:vAlign w:val="center"/>
                </w:tcPr>
                <w:p>
                  <w:pPr>
                    <w:adjustRightInd w:val="0"/>
                    <w:snapToGrid w:val="0"/>
                    <w:jc w:val="center"/>
                    <w:rPr>
                      <w:color w:val="auto"/>
                      <w:szCs w:val="21"/>
                    </w:rPr>
                  </w:pPr>
                  <w:r>
                    <w:rPr>
                      <w:color w:val="auto"/>
                    </w:rPr>
                    <w:t>沉淀池</w:t>
                  </w:r>
                </w:p>
              </w:tc>
              <w:tc>
                <w:tcPr>
                  <w:tcW w:w="795" w:type="pct"/>
                  <w:tcBorders>
                    <w:tl2br w:val="nil"/>
                    <w:tr2bl w:val="nil"/>
                  </w:tcBorders>
                  <w:vAlign w:val="center"/>
                </w:tcPr>
                <w:p>
                  <w:pPr>
                    <w:adjustRightInd w:val="0"/>
                    <w:snapToGrid w:val="0"/>
                    <w:jc w:val="center"/>
                    <w:rPr>
                      <w:color w:val="auto"/>
                      <w:szCs w:val="21"/>
                    </w:rPr>
                  </w:pPr>
                  <w:r>
                    <w:rPr>
                      <w:color w:val="auto"/>
                      <w:szCs w:val="21"/>
                    </w:rPr>
                    <w:t>废水沉淀</w:t>
                  </w:r>
                </w:p>
              </w:tc>
              <w:tc>
                <w:tcPr>
                  <w:tcW w:w="1104" w:type="pct"/>
                  <w:tcBorders>
                    <w:tl2br w:val="nil"/>
                    <w:tr2bl w:val="nil"/>
                  </w:tcBorders>
                  <w:vAlign w:val="center"/>
                </w:tcPr>
                <w:p>
                  <w:pPr>
                    <w:adjustRightInd w:val="0"/>
                    <w:snapToGrid w:val="0"/>
                    <w:jc w:val="center"/>
                    <w:rPr>
                      <w:rFonts w:eastAsiaTheme="minorEastAsia"/>
                      <w:color w:val="auto"/>
                    </w:rPr>
                  </w:pPr>
                  <w:r>
                    <w:rPr>
                      <w:color w:val="auto"/>
                    </w:rPr>
                    <w:t>沉淀池沉渣</w:t>
                  </w:r>
                </w:p>
              </w:tc>
              <w:tc>
                <w:tcPr>
                  <w:tcW w:w="949" w:type="pct"/>
                  <w:tcBorders>
                    <w:tl2br w:val="nil"/>
                    <w:tr2bl w:val="nil"/>
                  </w:tcBorders>
                  <w:vAlign w:val="center"/>
                </w:tcPr>
                <w:p>
                  <w:pPr>
                    <w:adjustRightInd w:val="0"/>
                    <w:snapToGrid w:val="0"/>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Merge w:val="continue"/>
                  <w:tcBorders>
                    <w:tl2br w:val="nil"/>
                    <w:tr2bl w:val="nil"/>
                  </w:tcBorders>
                  <w:vAlign w:val="center"/>
                </w:tcPr>
                <w:p>
                  <w:pPr>
                    <w:adjustRightInd w:val="0"/>
                    <w:snapToGrid w:val="0"/>
                    <w:jc w:val="center"/>
                    <w:rPr>
                      <w:color w:val="auto"/>
                      <w:szCs w:val="21"/>
                    </w:rPr>
                  </w:pPr>
                </w:p>
              </w:tc>
              <w:tc>
                <w:tcPr>
                  <w:tcW w:w="949" w:type="pct"/>
                  <w:tcBorders>
                    <w:tl2br w:val="nil"/>
                    <w:tr2bl w:val="nil"/>
                  </w:tcBorders>
                  <w:vAlign w:val="center"/>
                </w:tcPr>
                <w:p>
                  <w:pPr>
                    <w:adjustRightInd w:val="0"/>
                    <w:snapToGrid w:val="0"/>
                    <w:jc w:val="center"/>
                    <w:rPr>
                      <w:color w:val="auto"/>
                      <w:szCs w:val="21"/>
                    </w:rPr>
                  </w:pPr>
                  <w:r>
                    <w:rPr>
                      <w:color w:val="auto"/>
                    </w:rPr>
                    <w:t>生产区</w:t>
                  </w:r>
                </w:p>
              </w:tc>
              <w:tc>
                <w:tcPr>
                  <w:tcW w:w="795" w:type="pct"/>
                  <w:tcBorders>
                    <w:tl2br w:val="nil"/>
                    <w:tr2bl w:val="nil"/>
                  </w:tcBorders>
                  <w:vAlign w:val="center"/>
                </w:tcPr>
                <w:p>
                  <w:pPr>
                    <w:adjustRightInd w:val="0"/>
                    <w:snapToGrid w:val="0"/>
                    <w:jc w:val="center"/>
                    <w:rPr>
                      <w:color w:val="auto"/>
                      <w:szCs w:val="21"/>
                    </w:rPr>
                  </w:pPr>
                  <w:r>
                    <w:rPr>
                      <w:color w:val="auto"/>
                      <w:szCs w:val="21"/>
                    </w:rPr>
                    <w:t>筒仓</w:t>
                  </w:r>
                </w:p>
              </w:tc>
              <w:tc>
                <w:tcPr>
                  <w:tcW w:w="1104" w:type="pct"/>
                  <w:tcBorders>
                    <w:tl2br w:val="nil"/>
                    <w:tr2bl w:val="nil"/>
                  </w:tcBorders>
                  <w:vAlign w:val="center"/>
                </w:tcPr>
                <w:p>
                  <w:pPr>
                    <w:adjustRightInd w:val="0"/>
                    <w:snapToGrid w:val="0"/>
                    <w:jc w:val="center"/>
                    <w:rPr>
                      <w:color w:val="auto"/>
                      <w:szCs w:val="21"/>
                    </w:rPr>
                  </w:pPr>
                  <w:r>
                    <w:rPr>
                      <w:color w:val="auto"/>
                    </w:rPr>
                    <w:t>袋式除尘器下灰</w:t>
                  </w:r>
                </w:p>
              </w:tc>
              <w:tc>
                <w:tcPr>
                  <w:tcW w:w="949" w:type="pct"/>
                  <w:tcBorders>
                    <w:tl2br w:val="nil"/>
                    <w:tr2bl w:val="nil"/>
                  </w:tcBorders>
                  <w:vAlign w:val="center"/>
                </w:tcPr>
                <w:p>
                  <w:pPr>
                    <w:adjustRightInd w:val="0"/>
                    <w:snapToGrid w:val="0"/>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200" w:type="pct"/>
                  <w:vMerge w:val="continue"/>
                  <w:tcBorders>
                    <w:tl2br w:val="nil"/>
                    <w:tr2bl w:val="nil"/>
                  </w:tcBorders>
                  <w:vAlign w:val="center"/>
                </w:tcPr>
                <w:p>
                  <w:pPr>
                    <w:adjustRightInd w:val="0"/>
                    <w:snapToGrid w:val="0"/>
                    <w:jc w:val="center"/>
                    <w:rPr>
                      <w:color w:val="auto"/>
                      <w:szCs w:val="21"/>
                    </w:rPr>
                  </w:pPr>
                </w:p>
              </w:tc>
              <w:tc>
                <w:tcPr>
                  <w:tcW w:w="949" w:type="pct"/>
                  <w:vMerge w:val="restart"/>
                  <w:tcBorders>
                    <w:tl2br w:val="nil"/>
                    <w:tr2bl w:val="nil"/>
                  </w:tcBorders>
                  <w:vAlign w:val="center"/>
                </w:tcPr>
                <w:p>
                  <w:pPr>
                    <w:adjustRightInd w:val="0"/>
                    <w:snapToGrid w:val="0"/>
                    <w:jc w:val="center"/>
                    <w:rPr>
                      <w:color w:val="auto"/>
                      <w:szCs w:val="21"/>
                    </w:rPr>
                  </w:pPr>
                  <w:r>
                    <w:rPr>
                      <w:color w:val="auto"/>
                    </w:rPr>
                    <w:t>厂区</w:t>
                  </w:r>
                </w:p>
              </w:tc>
              <w:tc>
                <w:tcPr>
                  <w:tcW w:w="795" w:type="pct"/>
                  <w:vMerge w:val="restart"/>
                  <w:tcBorders>
                    <w:tl2br w:val="nil"/>
                    <w:tr2bl w:val="nil"/>
                  </w:tcBorders>
                  <w:vAlign w:val="center"/>
                </w:tcPr>
                <w:p>
                  <w:pPr>
                    <w:adjustRightInd w:val="0"/>
                    <w:snapToGrid w:val="0"/>
                    <w:jc w:val="center"/>
                    <w:rPr>
                      <w:color w:val="auto"/>
                      <w:szCs w:val="21"/>
                    </w:rPr>
                  </w:pPr>
                  <w:r>
                    <w:rPr>
                      <w:color w:val="auto"/>
                      <w:szCs w:val="21"/>
                    </w:rPr>
                    <w:t>员工日常活动</w:t>
                  </w:r>
                </w:p>
              </w:tc>
              <w:tc>
                <w:tcPr>
                  <w:tcW w:w="1104" w:type="pct"/>
                  <w:tcBorders>
                    <w:tl2br w:val="nil"/>
                    <w:tr2bl w:val="nil"/>
                  </w:tcBorders>
                  <w:vAlign w:val="center"/>
                </w:tcPr>
                <w:p>
                  <w:pPr>
                    <w:adjustRightInd w:val="0"/>
                    <w:snapToGrid w:val="0"/>
                    <w:jc w:val="center"/>
                    <w:rPr>
                      <w:rFonts w:eastAsiaTheme="minorEastAsia"/>
                      <w:color w:val="auto"/>
                    </w:rPr>
                  </w:pPr>
                  <w:r>
                    <w:rPr>
                      <w:color w:val="auto"/>
                    </w:rPr>
                    <w:t>生活垃圾</w:t>
                  </w:r>
                </w:p>
              </w:tc>
              <w:tc>
                <w:tcPr>
                  <w:tcW w:w="949" w:type="pct"/>
                  <w:tcBorders>
                    <w:tl2br w:val="nil"/>
                    <w:tr2bl w:val="nil"/>
                  </w:tcBorders>
                  <w:vAlign w:val="center"/>
                </w:tcPr>
                <w:p>
                  <w:pPr>
                    <w:adjustRightInd w:val="0"/>
                    <w:snapToGrid w:val="0"/>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200" w:type="pct"/>
                  <w:vMerge w:val="continue"/>
                  <w:tcBorders>
                    <w:tl2br w:val="nil"/>
                    <w:tr2bl w:val="nil"/>
                  </w:tcBorders>
                  <w:vAlign w:val="center"/>
                </w:tcPr>
                <w:p>
                  <w:pPr>
                    <w:adjustRightInd w:val="0"/>
                    <w:snapToGrid w:val="0"/>
                    <w:jc w:val="center"/>
                    <w:rPr>
                      <w:color w:val="auto"/>
                    </w:rPr>
                  </w:pPr>
                </w:p>
              </w:tc>
              <w:tc>
                <w:tcPr>
                  <w:tcW w:w="949" w:type="pct"/>
                  <w:vMerge w:val="continue"/>
                  <w:tcBorders>
                    <w:tl2br w:val="nil"/>
                    <w:tr2bl w:val="nil"/>
                  </w:tcBorders>
                  <w:vAlign w:val="center"/>
                </w:tcPr>
                <w:p>
                  <w:pPr>
                    <w:adjustRightInd w:val="0"/>
                    <w:snapToGrid w:val="0"/>
                    <w:jc w:val="center"/>
                    <w:rPr>
                      <w:color w:val="auto"/>
                    </w:rPr>
                  </w:pPr>
                </w:p>
              </w:tc>
              <w:tc>
                <w:tcPr>
                  <w:tcW w:w="795" w:type="pct"/>
                  <w:vMerge w:val="continue"/>
                  <w:tcBorders>
                    <w:tl2br w:val="nil"/>
                    <w:tr2bl w:val="nil"/>
                  </w:tcBorders>
                  <w:vAlign w:val="center"/>
                </w:tcPr>
                <w:p>
                  <w:pPr>
                    <w:adjustRightInd w:val="0"/>
                    <w:snapToGrid w:val="0"/>
                    <w:jc w:val="center"/>
                    <w:rPr>
                      <w:color w:val="auto"/>
                    </w:rPr>
                  </w:pPr>
                </w:p>
              </w:tc>
              <w:tc>
                <w:tcPr>
                  <w:tcW w:w="1104" w:type="pct"/>
                  <w:tcBorders>
                    <w:tl2br w:val="nil"/>
                    <w:tr2bl w:val="nil"/>
                  </w:tcBorders>
                  <w:vAlign w:val="center"/>
                </w:tcPr>
                <w:p>
                  <w:pPr>
                    <w:adjustRightInd w:val="0"/>
                    <w:snapToGrid w:val="0"/>
                    <w:jc w:val="center"/>
                    <w:rPr>
                      <w:color w:val="auto"/>
                    </w:rPr>
                  </w:pPr>
                  <w:r>
                    <w:rPr>
                      <w:color w:val="auto"/>
                    </w:rPr>
                    <w:t>化粪池污泥</w:t>
                  </w:r>
                </w:p>
              </w:tc>
              <w:tc>
                <w:tcPr>
                  <w:tcW w:w="949" w:type="pct"/>
                  <w:tcBorders>
                    <w:tl2br w:val="nil"/>
                    <w:tr2bl w:val="nil"/>
                  </w:tcBorders>
                  <w:vAlign w:val="center"/>
                </w:tcPr>
                <w:p>
                  <w:pPr>
                    <w:adjustRightInd w:val="0"/>
                    <w:snapToGrid w:val="0"/>
                    <w:jc w:val="center"/>
                    <w:rPr>
                      <w:color w:val="auto"/>
                    </w:rPr>
                  </w:pPr>
                  <w:r>
                    <w:rPr>
                      <w:color w:val="auto"/>
                      <w:szCs w:val="21"/>
                    </w:rPr>
                    <w:t>/</w:t>
                  </w:r>
                </w:p>
              </w:tc>
            </w:tr>
          </w:tbl>
          <w:p>
            <w:pPr>
              <w:adjustRightInd w:val="0"/>
              <w:snapToGrid w:val="0"/>
              <w:spacing w:line="360" w:lineRule="auto"/>
              <w:ind w:firstLine="482" w:firstLineChars="200"/>
              <w:rPr>
                <w:color w:val="auto"/>
                <w:sz w:val="24"/>
              </w:rPr>
            </w:pPr>
            <w:r>
              <w:rPr>
                <w:b/>
                <w:bCs/>
                <w:color w:val="auto"/>
                <w:sz w:val="24"/>
              </w:rPr>
              <w:t>（3）物料平衡</w:t>
            </w:r>
          </w:p>
          <w:p>
            <w:pPr>
              <w:adjustRightInd w:val="0"/>
              <w:snapToGrid w:val="0"/>
              <w:spacing w:line="360" w:lineRule="auto"/>
              <w:ind w:firstLine="482" w:firstLineChars="200"/>
              <w:jc w:val="center"/>
              <w:rPr>
                <w:b/>
                <w:bCs/>
                <w:color w:val="auto"/>
                <w:szCs w:val="21"/>
              </w:rPr>
            </w:pPr>
            <w:r>
              <w:rPr>
                <w:b/>
                <w:bCs/>
                <w:color w:val="auto"/>
                <w:szCs w:val="21"/>
              </w:rPr>
              <w:t>表2-10  项目物料平衡表</w:t>
            </w:r>
          </w:p>
          <w:tbl>
            <w:tblPr>
              <w:tblStyle w:val="4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1"/>
              <w:gridCol w:w="2338"/>
              <w:gridCol w:w="2332"/>
              <w:gridCol w:w="23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64" w:type="dxa"/>
                  <w:tcBorders>
                    <w:tl2br w:val="nil"/>
                    <w:tr2bl w:val="nil"/>
                  </w:tcBorders>
                  <w:vAlign w:val="center"/>
                </w:tcPr>
                <w:p>
                  <w:pPr>
                    <w:jc w:val="center"/>
                    <w:rPr>
                      <w:b/>
                      <w:bCs/>
                      <w:color w:val="auto"/>
                      <w:szCs w:val="21"/>
                    </w:rPr>
                  </w:pPr>
                  <w:r>
                    <w:rPr>
                      <w:rFonts w:hint="default" w:ascii="Times New Roman" w:hAnsi="Times New Roman" w:eastAsia="宋体" w:cs="Times New Roman"/>
                      <w:b/>
                      <w:bCs/>
                      <w:color w:val="auto"/>
                      <w:szCs w:val="21"/>
                    </w:rPr>
                    <w:t>原辅料名称</w:t>
                  </w:r>
                </w:p>
              </w:tc>
              <w:tc>
                <w:tcPr>
                  <w:tcW w:w="2365" w:type="dxa"/>
                  <w:tcBorders>
                    <w:tl2br w:val="nil"/>
                    <w:tr2bl w:val="nil"/>
                  </w:tcBorders>
                  <w:vAlign w:val="center"/>
                </w:tcPr>
                <w:p>
                  <w:pPr>
                    <w:jc w:val="center"/>
                    <w:rPr>
                      <w:b/>
                      <w:bCs/>
                      <w:color w:val="auto"/>
                      <w:szCs w:val="21"/>
                    </w:rPr>
                  </w:pPr>
                  <w:r>
                    <w:rPr>
                      <w:rFonts w:hint="default" w:ascii="Times New Roman" w:hAnsi="Times New Roman" w:eastAsia="宋体" w:cs="Times New Roman"/>
                      <w:b/>
                      <w:bCs/>
                      <w:color w:val="auto"/>
                      <w:szCs w:val="21"/>
                    </w:rPr>
                    <w:t>t/a</w:t>
                  </w:r>
                </w:p>
              </w:tc>
              <w:tc>
                <w:tcPr>
                  <w:tcW w:w="2365" w:type="dxa"/>
                  <w:tcBorders>
                    <w:tl2br w:val="nil"/>
                    <w:tr2bl w:val="nil"/>
                  </w:tcBorders>
                  <w:vAlign w:val="center"/>
                </w:tcPr>
                <w:p>
                  <w:pPr>
                    <w:jc w:val="center"/>
                    <w:rPr>
                      <w:b/>
                      <w:bCs/>
                      <w:color w:val="auto"/>
                      <w:szCs w:val="21"/>
                    </w:rPr>
                  </w:pPr>
                  <w:r>
                    <w:rPr>
                      <w:rFonts w:hint="default" w:ascii="Times New Roman" w:hAnsi="Times New Roman" w:eastAsia="宋体" w:cs="Times New Roman"/>
                      <w:b/>
                      <w:bCs/>
                      <w:color w:val="auto"/>
                      <w:szCs w:val="21"/>
                    </w:rPr>
                    <w:t>物料产出</w:t>
                  </w:r>
                </w:p>
              </w:tc>
              <w:tc>
                <w:tcPr>
                  <w:tcW w:w="2365" w:type="dxa"/>
                  <w:tcBorders>
                    <w:tl2br w:val="nil"/>
                    <w:tr2bl w:val="nil"/>
                  </w:tcBorders>
                  <w:vAlign w:val="center"/>
                </w:tcPr>
                <w:p>
                  <w:pPr>
                    <w:jc w:val="center"/>
                    <w:rPr>
                      <w:b/>
                      <w:bCs/>
                      <w:color w:val="auto"/>
                      <w:szCs w:val="21"/>
                    </w:rPr>
                  </w:pPr>
                  <w:r>
                    <w:rPr>
                      <w:rFonts w:hint="default" w:ascii="Times New Roman" w:hAnsi="Times New Roman" w:eastAsia="宋体" w:cs="Times New Roman"/>
                      <w:b/>
                      <w:bCs/>
                      <w:color w:val="auto"/>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64" w:type="dxa"/>
                  <w:tcBorders>
                    <w:tl2br w:val="nil"/>
                    <w:tr2bl w:val="nil"/>
                  </w:tcBorders>
                  <w:vAlign w:val="center"/>
                </w:tcPr>
                <w:p>
                  <w:pPr>
                    <w:adjustRightInd w:val="0"/>
                    <w:snapToGrid w:val="0"/>
                    <w:jc w:val="center"/>
                    <w:rPr>
                      <w:color w:val="auto"/>
                      <w:szCs w:val="21"/>
                    </w:rPr>
                  </w:pPr>
                  <w:r>
                    <w:rPr>
                      <w:color w:val="auto"/>
                      <w:szCs w:val="21"/>
                    </w:rPr>
                    <w:t>水泥</w:t>
                  </w:r>
                </w:p>
              </w:tc>
              <w:tc>
                <w:tcPr>
                  <w:tcW w:w="2365" w:type="dxa"/>
                  <w:tcBorders>
                    <w:tl2br w:val="nil"/>
                    <w:tr2bl w:val="nil"/>
                  </w:tcBorders>
                  <w:vAlign w:val="center"/>
                </w:tcPr>
                <w:p>
                  <w:pPr>
                    <w:adjustRightInd w:val="0"/>
                    <w:snapToGrid w:val="0"/>
                    <w:jc w:val="center"/>
                    <w:rPr>
                      <w:color w:val="auto"/>
                      <w:szCs w:val="21"/>
                    </w:rPr>
                  </w:pPr>
                  <w:r>
                    <w:rPr>
                      <w:color w:val="auto"/>
                      <w:szCs w:val="21"/>
                    </w:rPr>
                    <w:t>3200</w:t>
                  </w:r>
                </w:p>
              </w:tc>
              <w:tc>
                <w:tcPr>
                  <w:tcW w:w="2365" w:type="dxa"/>
                  <w:tcBorders>
                    <w:tl2br w:val="nil"/>
                    <w:tr2bl w:val="nil"/>
                  </w:tcBorders>
                  <w:vAlign w:val="center"/>
                </w:tcPr>
                <w:p>
                  <w:pPr>
                    <w:adjustRightInd w:val="0"/>
                    <w:snapToGrid w:val="0"/>
                    <w:jc w:val="center"/>
                    <w:rPr>
                      <w:color w:val="auto"/>
                      <w:szCs w:val="21"/>
                    </w:rPr>
                  </w:pPr>
                  <w:r>
                    <w:rPr>
                      <w:color w:val="auto"/>
                      <w:szCs w:val="21"/>
                    </w:rPr>
                    <w:t>水稳层</w:t>
                  </w:r>
                </w:p>
              </w:tc>
              <w:tc>
                <w:tcPr>
                  <w:tcW w:w="2365" w:type="dxa"/>
                  <w:tcBorders>
                    <w:tl2br w:val="nil"/>
                    <w:tr2bl w:val="nil"/>
                  </w:tcBorders>
                  <w:vAlign w:val="center"/>
                </w:tcPr>
                <w:p>
                  <w:pPr>
                    <w:adjustRightInd w:val="0"/>
                    <w:snapToGrid w:val="0"/>
                    <w:jc w:val="center"/>
                    <w:rPr>
                      <w:rFonts w:hint="default" w:eastAsia="宋体"/>
                      <w:color w:val="auto"/>
                      <w:szCs w:val="21"/>
                      <w:lang w:val="en-US" w:eastAsia="zh-CN"/>
                    </w:rPr>
                  </w:pPr>
                  <w:r>
                    <w:rPr>
                      <w:color w:val="auto"/>
                      <w:szCs w:val="21"/>
                    </w:rPr>
                    <w:t>7999</w:t>
                  </w:r>
                  <w:r>
                    <w:rPr>
                      <w:rFonts w:hint="eastAsia"/>
                      <w:color w:val="auto"/>
                      <w:szCs w:val="21"/>
                      <w:lang w:val="en-US" w:eastAsia="zh-CN"/>
                    </w:rPr>
                    <w:t>8.54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2364" w:type="dxa"/>
                  <w:tcBorders>
                    <w:tl2br w:val="nil"/>
                    <w:tr2bl w:val="nil"/>
                  </w:tcBorders>
                  <w:vAlign w:val="center"/>
                </w:tcPr>
                <w:p>
                  <w:pPr>
                    <w:adjustRightInd w:val="0"/>
                    <w:snapToGrid w:val="0"/>
                    <w:jc w:val="center"/>
                    <w:rPr>
                      <w:color w:val="auto"/>
                      <w:szCs w:val="21"/>
                    </w:rPr>
                  </w:pPr>
                  <w:r>
                    <w:rPr>
                      <w:color w:val="auto"/>
                      <w:szCs w:val="21"/>
                    </w:rPr>
                    <w:t>砂</w:t>
                  </w:r>
                </w:p>
              </w:tc>
              <w:tc>
                <w:tcPr>
                  <w:tcW w:w="2365" w:type="dxa"/>
                  <w:tcBorders>
                    <w:tl2br w:val="nil"/>
                    <w:tr2bl w:val="nil"/>
                  </w:tcBorders>
                  <w:vAlign w:val="center"/>
                </w:tcPr>
                <w:p>
                  <w:pPr>
                    <w:adjustRightInd w:val="0"/>
                    <w:snapToGrid w:val="0"/>
                    <w:jc w:val="center"/>
                    <w:rPr>
                      <w:color w:val="auto"/>
                      <w:szCs w:val="21"/>
                    </w:rPr>
                  </w:pPr>
                  <w:r>
                    <w:rPr>
                      <w:color w:val="auto"/>
                      <w:szCs w:val="21"/>
                    </w:rPr>
                    <w:t>32800</w:t>
                  </w:r>
                </w:p>
              </w:tc>
              <w:tc>
                <w:tcPr>
                  <w:tcW w:w="2365" w:type="dxa"/>
                  <w:tcBorders>
                    <w:tl2br w:val="nil"/>
                    <w:tr2bl w:val="nil"/>
                  </w:tcBorders>
                  <w:vAlign w:val="center"/>
                </w:tcPr>
                <w:p>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无组织排放粉尘</w:t>
                  </w:r>
                </w:p>
              </w:tc>
              <w:tc>
                <w:tcPr>
                  <w:tcW w:w="2365"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64" w:type="dxa"/>
                  <w:tcBorders>
                    <w:tl2br w:val="nil"/>
                    <w:tr2bl w:val="nil"/>
                  </w:tcBorders>
                  <w:vAlign w:val="center"/>
                </w:tcPr>
                <w:p>
                  <w:pPr>
                    <w:adjustRightInd w:val="0"/>
                    <w:snapToGrid w:val="0"/>
                    <w:jc w:val="center"/>
                    <w:rPr>
                      <w:color w:val="auto"/>
                      <w:szCs w:val="21"/>
                    </w:rPr>
                  </w:pPr>
                  <w:r>
                    <w:rPr>
                      <w:color w:val="auto"/>
                      <w:szCs w:val="21"/>
                    </w:rPr>
                    <w:t>碎石</w:t>
                  </w:r>
                </w:p>
              </w:tc>
              <w:tc>
                <w:tcPr>
                  <w:tcW w:w="2365" w:type="dxa"/>
                  <w:tcBorders>
                    <w:tl2br w:val="nil"/>
                    <w:tr2bl w:val="nil"/>
                  </w:tcBorders>
                  <w:vAlign w:val="center"/>
                </w:tcPr>
                <w:p>
                  <w:pPr>
                    <w:adjustRightInd w:val="0"/>
                    <w:snapToGrid w:val="0"/>
                    <w:jc w:val="center"/>
                    <w:rPr>
                      <w:color w:val="auto"/>
                      <w:szCs w:val="21"/>
                    </w:rPr>
                  </w:pPr>
                  <w:r>
                    <w:rPr>
                      <w:color w:val="auto"/>
                      <w:szCs w:val="21"/>
                    </w:rPr>
                    <w:t>41600</w:t>
                  </w:r>
                </w:p>
              </w:tc>
              <w:tc>
                <w:tcPr>
                  <w:tcW w:w="2365" w:type="dxa"/>
                  <w:tcBorders>
                    <w:tl2br w:val="nil"/>
                    <w:tr2bl w:val="nil"/>
                  </w:tcBorders>
                  <w:vAlign w:val="center"/>
                </w:tcPr>
                <w:p>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袋式除尘器下灰</w:t>
                  </w:r>
                </w:p>
              </w:tc>
              <w:tc>
                <w:tcPr>
                  <w:tcW w:w="2365"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0.61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64" w:type="dxa"/>
                  <w:tcBorders>
                    <w:tl2br w:val="nil"/>
                    <w:tr2bl w:val="nil"/>
                  </w:tcBorders>
                  <w:vAlign w:val="center"/>
                </w:tcPr>
                <w:p>
                  <w:pPr>
                    <w:adjustRightInd w:val="0"/>
                    <w:snapToGrid w:val="0"/>
                    <w:jc w:val="center"/>
                    <w:rPr>
                      <w:color w:val="auto"/>
                      <w:szCs w:val="21"/>
                    </w:rPr>
                  </w:pPr>
                  <w:r>
                    <w:rPr>
                      <w:color w:val="auto"/>
                      <w:szCs w:val="21"/>
                    </w:rPr>
                    <w:t>水</w:t>
                  </w:r>
                </w:p>
              </w:tc>
              <w:tc>
                <w:tcPr>
                  <w:tcW w:w="2365" w:type="dxa"/>
                  <w:tcBorders>
                    <w:tl2br w:val="nil"/>
                    <w:tr2bl w:val="nil"/>
                  </w:tcBorders>
                  <w:vAlign w:val="center"/>
                </w:tcPr>
                <w:p>
                  <w:pPr>
                    <w:adjustRightInd w:val="0"/>
                    <w:snapToGrid w:val="0"/>
                    <w:jc w:val="center"/>
                    <w:rPr>
                      <w:color w:val="auto"/>
                      <w:szCs w:val="21"/>
                    </w:rPr>
                  </w:pPr>
                  <w:r>
                    <w:rPr>
                      <w:color w:val="auto"/>
                      <w:szCs w:val="21"/>
                    </w:rPr>
                    <w:t>2400</w:t>
                  </w:r>
                </w:p>
              </w:tc>
              <w:tc>
                <w:tcPr>
                  <w:tcW w:w="2365" w:type="dxa"/>
                  <w:tcBorders>
                    <w:tl2br w:val="nil"/>
                    <w:tr2bl w:val="nil"/>
                  </w:tcBorders>
                  <w:vAlign w:val="center"/>
                </w:tcPr>
                <w:p>
                  <w:pPr>
                    <w:adjustRightInd w:val="0"/>
                    <w:snapToGrid w:val="0"/>
                    <w:jc w:val="center"/>
                    <w:rPr>
                      <w:color w:val="auto"/>
                      <w:szCs w:val="21"/>
                    </w:rPr>
                  </w:pPr>
                </w:p>
              </w:tc>
              <w:tc>
                <w:tcPr>
                  <w:tcW w:w="2365" w:type="dxa"/>
                  <w:tcBorders>
                    <w:tl2br w:val="nil"/>
                    <w:tr2bl w:val="nil"/>
                  </w:tcBorders>
                  <w:vAlign w:val="center"/>
                </w:tcPr>
                <w:p>
                  <w:pPr>
                    <w:adjustRightInd w:val="0"/>
                    <w:snapToGrid w:val="0"/>
                    <w:jc w:val="center"/>
                    <w:rPr>
                      <w:rFonts w:hint="default" w:eastAsia="宋体"/>
                      <w:color w:val="auto"/>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64" w:type="dxa"/>
                  <w:tcBorders>
                    <w:tl2br w:val="nil"/>
                    <w:tr2bl w:val="nil"/>
                  </w:tcBorders>
                  <w:vAlign w:val="center"/>
                </w:tcPr>
                <w:p>
                  <w:pPr>
                    <w:adjustRightInd w:val="0"/>
                    <w:snapToGrid w:val="0"/>
                    <w:jc w:val="center"/>
                    <w:rPr>
                      <w:color w:val="auto"/>
                      <w:szCs w:val="21"/>
                    </w:rPr>
                  </w:pPr>
                  <w:r>
                    <w:rPr>
                      <w:color w:val="auto"/>
                      <w:szCs w:val="21"/>
                    </w:rPr>
                    <w:t>合计</w:t>
                  </w:r>
                </w:p>
              </w:tc>
              <w:tc>
                <w:tcPr>
                  <w:tcW w:w="2365" w:type="dxa"/>
                  <w:tcBorders>
                    <w:tl2br w:val="nil"/>
                    <w:tr2bl w:val="nil"/>
                  </w:tcBorders>
                  <w:vAlign w:val="center"/>
                </w:tcPr>
                <w:p>
                  <w:pPr>
                    <w:adjustRightInd w:val="0"/>
                    <w:snapToGrid w:val="0"/>
                    <w:jc w:val="center"/>
                    <w:rPr>
                      <w:color w:val="auto"/>
                      <w:szCs w:val="21"/>
                    </w:rPr>
                  </w:pPr>
                  <w:r>
                    <w:rPr>
                      <w:color w:val="auto"/>
                      <w:szCs w:val="21"/>
                    </w:rPr>
                    <w:t>80000</w:t>
                  </w:r>
                </w:p>
              </w:tc>
              <w:tc>
                <w:tcPr>
                  <w:tcW w:w="2365" w:type="dxa"/>
                  <w:tcBorders>
                    <w:tl2br w:val="nil"/>
                    <w:tr2bl w:val="nil"/>
                  </w:tcBorders>
                  <w:vAlign w:val="center"/>
                </w:tcPr>
                <w:p>
                  <w:pPr>
                    <w:adjustRightInd w:val="0"/>
                    <w:snapToGrid w:val="0"/>
                    <w:jc w:val="center"/>
                    <w:rPr>
                      <w:color w:val="auto"/>
                      <w:szCs w:val="21"/>
                    </w:rPr>
                  </w:pPr>
                  <w:r>
                    <w:rPr>
                      <w:color w:val="auto"/>
                      <w:szCs w:val="21"/>
                    </w:rPr>
                    <w:t>合计</w:t>
                  </w:r>
                </w:p>
              </w:tc>
              <w:tc>
                <w:tcPr>
                  <w:tcW w:w="2365" w:type="dxa"/>
                  <w:tcBorders>
                    <w:tl2br w:val="nil"/>
                    <w:tr2bl w:val="nil"/>
                  </w:tcBorders>
                  <w:vAlign w:val="center"/>
                </w:tcPr>
                <w:p>
                  <w:pPr>
                    <w:adjustRightInd w:val="0"/>
                    <w:snapToGrid w:val="0"/>
                    <w:jc w:val="center"/>
                    <w:rPr>
                      <w:color w:val="auto"/>
                      <w:szCs w:val="21"/>
                    </w:rPr>
                  </w:pPr>
                  <w:r>
                    <w:rPr>
                      <w:color w:val="auto"/>
                      <w:szCs w:val="21"/>
                    </w:rPr>
                    <w:t>80000</w:t>
                  </w:r>
                </w:p>
              </w:tc>
            </w:tr>
          </w:tbl>
          <w:p>
            <w:pPr>
              <w:pStyle w:val="39"/>
              <w:ind w:firstLine="0" w:firstLineChars="0"/>
              <w:rPr>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77" w:type="pct"/>
            <w:tcMar>
              <w:top w:w="16" w:type="dxa"/>
              <w:left w:w="16" w:type="dxa"/>
              <w:right w:w="16" w:type="dxa"/>
            </w:tcMar>
            <w:vAlign w:val="center"/>
          </w:tcPr>
          <w:p>
            <w:pPr>
              <w:adjustRightInd w:val="0"/>
              <w:snapToGrid w:val="0"/>
              <w:jc w:val="center"/>
              <w:rPr>
                <w:color w:val="auto"/>
                <w:sz w:val="24"/>
              </w:rPr>
            </w:pPr>
            <w:r>
              <w:rPr>
                <w:color w:val="auto"/>
                <w:sz w:val="24"/>
              </w:rPr>
              <w:t>与项目有关的原有环境污染问题</w:t>
            </w:r>
          </w:p>
        </w:tc>
        <w:tc>
          <w:tcPr>
            <w:tcW w:w="4422" w:type="pct"/>
            <w:vAlign w:val="center"/>
          </w:tcPr>
          <w:p>
            <w:pPr>
              <w:adjustRightInd w:val="0"/>
              <w:snapToGrid w:val="0"/>
              <w:spacing w:line="360" w:lineRule="auto"/>
              <w:ind w:firstLine="480" w:firstLineChars="200"/>
              <w:rPr>
                <w:color w:val="auto"/>
                <w:sz w:val="24"/>
              </w:rPr>
            </w:pPr>
            <w:r>
              <w:rPr>
                <w:color w:val="auto"/>
                <w:sz w:val="24"/>
              </w:rPr>
              <w:t>本项目位于乐山市市中区悦来镇龙岩村，租用场地建设本项目，根据现场调查，该场地为乐山市交通投资开发有限公司拥有</w:t>
            </w:r>
            <w:r>
              <w:rPr>
                <w:rFonts w:hint="eastAsia"/>
                <w:color w:val="auto"/>
                <w:sz w:val="24"/>
                <w:lang w:eastAsia="zh-CN"/>
              </w:rPr>
              <w:t>，原建设混凝土拌合站</w:t>
            </w:r>
            <w:r>
              <w:rPr>
                <w:color w:val="auto"/>
                <w:sz w:val="24"/>
              </w:rPr>
              <w:t>，现已停止使用，</w:t>
            </w:r>
            <w:r>
              <w:rPr>
                <w:rFonts w:hint="eastAsia"/>
                <w:color w:val="auto"/>
                <w:sz w:val="24"/>
                <w:lang w:eastAsia="zh-CN"/>
              </w:rPr>
              <w:t>目前实际生产单位为乐山铁匠世家手工刀具有限公司，未建设有危废暂存间、油类暂存设备、化学品仓库等敏感单元，</w:t>
            </w:r>
            <w:r>
              <w:rPr>
                <w:color w:val="auto"/>
                <w:sz w:val="24"/>
              </w:rPr>
              <w:t>本项目建设前对</w:t>
            </w:r>
            <w:r>
              <w:rPr>
                <w:rFonts w:hint="eastAsia"/>
                <w:color w:val="auto"/>
                <w:sz w:val="24"/>
                <w:lang w:eastAsia="zh-CN"/>
              </w:rPr>
              <w:t>本项目建设</w:t>
            </w:r>
            <w:r>
              <w:rPr>
                <w:color w:val="auto"/>
                <w:sz w:val="24"/>
              </w:rPr>
              <w:t>该地块内存在建筑及垃圾进行拆除清理后建设本项目，清理后无相关环境问题。</w:t>
            </w:r>
          </w:p>
        </w:tc>
      </w:tr>
    </w:tbl>
    <w:p>
      <w:pPr>
        <w:rPr>
          <w:color w:val="auto"/>
        </w:rPr>
      </w:pPr>
      <w:r>
        <w:rPr>
          <w:color w:val="auto"/>
        </w:rPr>
        <w:br w:type="page"/>
      </w:r>
    </w:p>
    <w:p>
      <w:pPr>
        <w:jc w:val="center"/>
        <w:outlineLvl w:val="0"/>
        <w:rPr>
          <w:b/>
          <w:bCs/>
          <w:color w:val="auto"/>
        </w:rPr>
      </w:pPr>
      <w:r>
        <w:rPr>
          <w:b/>
          <w:bCs/>
          <w:snapToGrid w:val="0"/>
          <w:color w:val="auto"/>
          <w:sz w:val="30"/>
          <w:szCs w:val="30"/>
        </w:rPr>
        <w:t>三、区域环境质量现状、环境保护目标及评价标准</w:t>
      </w:r>
    </w:p>
    <w:tbl>
      <w:tblPr>
        <w:tblStyle w:val="41"/>
        <w:tblW w:w="504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885"/>
        <w:gridCol w:w="901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97" w:hRule="atLeast"/>
          <w:jc w:val="center"/>
        </w:trPr>
        <w:tc>
          <w:tcPr>
            <w:tcW w:w="447" w:type="pct"/>
            <w:tcMar>
              <w:top w:w="16" w:type="dxa"/>
              <w:left w:w="16" w:type="dxa"/>
              <w:right w:w="16" w:type="dxa"/>
            </w:tcMar>
            <w:vAlign w:val="center"/>
          </w:tcPr>
          <w:p>
            <w:pPr>
              <w:adjustRightInd w:val="0"/>
              <w:snapToGrid w:val="0"/>
              <w:jc w:val="center"/>
              <w:rPr>
                <w:color w:val="auto"/>
                <w:kern w:val="0"/>
                <w:sz w:val="24"/>
              </w:rPr>
            </w:pPr>
            <w:r>
              <w:rPr>
                <w:color w:val="auto"/>
                <w:kern w:val="0"/>
                <w:sz w:val="24"/>
              </w:rPr>
              <w:t>区域</w:t>
            </w:r>
          </w:p>
          <w:p>
            <w:pPr>
              <w:adjustRightInd w:val="0"/>
              <w:snapToGrid w:val="0"/>
              <w:jc w:val="center"/>
              <w:rPr>
                <w:color w:val="auto"/>
                <w:kern w:val="0"/>
                <w:sz w:val="24"/>
              </w:rPr>
            </w:pPr>
            <w:r>
              <w:rPr>
                <w:color w:val="auto"/>
                <w:kern w:val="0"/>
                <w:sz w:val="24"/>
              </w:rPr>
              <w:t>环境</w:t>
            </w:r>
          </w:p>
          <w:p>
            <w:pPr>
              <w:adjustRightInd w:val="0"/>
              <w:snapToGrid w:val="0"/>
              <w:jc w:val="center"/>
              <w:rPr>
                <w:color w:val="auto"/>
                <w:kern w:val="0"/>
                <w:sz w:val="24"/>
              </w:rPr>
            </w:pPr>
            <w:r>
              <w:rPr>
                <w:color w:val="auto"/>
                <w:kern w:val="0"/>
                <w:sz w:val="24"/>
              </w:rPr>
              <w:t>质量</w:t>
            </w:r>
          </w:p>
          <w:p>
            <w:pPr>
              <w:adjustRightInd w:val="0"/>
              <w:snapToGrid w:val="0"/>
              <w:jc w:val="center"/>
              <w:rPr>
                <w:color w:val="auto"/>
                <w:sz w:val="24"/>
              </w:rPr>
            </w:pPr>
            <w:r>
              <w:rPr>
                <w:color w:val="auto"/>
                <w:kern w:val="0"/>
                <w:sz w:val="24"/>
              </w:rPr>
              <w:t>现状</w:t>
            </w:r>
          </w:p>
        </w:tc>
        <w:tc>
          <w:tcPr>
            <w:tcW w:w="4552" w:type="pct"/>
            <w:vAlign w:val="center"/>
          </w:tcPr>
          <w:p>
            <w:pPr>
              <w:adjustRightInd w:val="0"/>
              <w:snapToGrid w:val="0"/>
              <w:spacing w:line="360" w:lineRule="auto"/>
              <w:ind w:firstLine="482" w:firstLineChars="200"/>
              <w:rPr>
                <w:bCs/>
                <w:color w:val="auto"/>
                <w:sz w:val="24"/>
              </w:rPr>
            </w:pPr>
            <w:r>
              <w:rPr>
                <w:b/>
                <w:color w:val="auto"/>
                <w:sz w:val="24"/>
              </w:rPr>
              <w:t>1</w:t>
            </w:r>
            <w:r>
              <w:rPr>
                <w:bCs/>
                <w:color w:val="auto"/>
                <w:sz w:val="24"/>
              </w:rPr>
              <w:t>、</w:t>
            </w:r>
            <w:r>
              <w:rPr>
                <w:b/>
                <w:color w:val="auto"/>
                <w:sz w:val="24"/>
              </w:rPr>
              <w:t>环境空气质量现状评价</w:t>
            </w:r>
          </w:p>
          <w:p>
            <w:pPr>
              <w:adjustRightInd w:val="0"/>
              <w:snapToGrid w:val="0"/>
              <w:spacing w:line="360" w:lineRule="auto"/>
              <w:ind w:firstLine="480" w:firstLineChars="200"/>
              <w:rPr>
                <w:bCs/>
                <w:color w:val="auto"/>
                <w:sz w:val="24"/>
              </w:rPr>
            </w:pPr>
            <w:r>
              <w:rPr>
                <w:bCs/>
                <w:color w:val="auto"/>
                <w:sz w:val="24"/>
              </w:rPr>
              <w:t>（1）达标区判定</w:t>
            </w:r>
          </w:p>
          <w:p>
            <w:pPr>
              <w:keepNext w:val="0"/>
              <w:keepLines w:val="0"/>
              <w:pageBreakBefore w:val="0"/>
              <w:widowControl/>
              <w:kinsoku/>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rPr>
              <w:t>本项目位于乐山市</w:t>
            </w:r>
            <w:r>
              <w:rPr>
                <w:rFonts w:hint="eastAsia" w:ascii="Times New Roman" w:hAnsi="Times New Roman" w:eastAsia="宋体" w:cs="Times New Roman"/>
                <w:color w:val="auto"/>
                <w:kern w:val="0"/>
                <w:sz w:val="24"/>
                <w:szCs w:val="24"/>
                <w:lang w:eastAsia="zh-CN"/>
              </w:rPr>
              <w:t>市中区</w:t>
            </w:r>
            <w:r>
              <w:rPr>
                <w:rFonts w:hint="default" w:ascii="Times New Roman" w:hAnsi="Times New Roman" w:eastAsia="宋体" w:cs="Times New Roman"/>
                <w:color w:val="auto"/>
                <w:kern w:val="0"/>
                <w:sz w:val="24"/>
                <w:szCs w:val="24"/>
              </w:rPr>
              <w:t>，根据《环境影响评价技术导则大气环境》（HJ2.2-2018）中有关基本污染物环境质量现状数据的规定，可优先采用国家或地方生态环境主管部门公布的评价基准年（近3年中1个完整日历年）环境质量公告或环境质量报告中的数据或结论。</w:t>
            </w:r>
          </w:p>
          <w:p>
            <w:pPr>
              <w:keepNext w:val="0"/>
              <w:keepLines w:val="0"/>
              <w:pageBreakBefore w:val="0"/>
              <w:widowControl/>
              <w:kinsoku/>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项目大气环境现状调查引用《乐山市污染防治攻坚战工作通报》202</w:t>
            </w:r>
            <w:r>
              <w:rPr>
                <w:rFonts w:hint="default" w:ascii="Times New Roman" w:hAnsi="Times New Roman" w:eastAsia="宋体" w:cs="Times New Roman"/>
                <w:color w:val="auto"/>
                <w:kern w:val="0"/>
                <w:sz w:val="24"/>
                <w:szCs w:val="24"/>
                <w:lang w:val="en-US" w:eastAsia="zh-CN"/>
              </w:rPr>
              <w:t>3</w:t>
            </w:r>
            <w:r>
              <w:rPr>
                <w:rFonts w:hint="default" w:ascii="Times New Roman" w:hAnsi="Times New Roman" w:eastAsia="宋体" w:cs="Times New Roman"/>
                <w:color w:val="auto"/>
                <w:kern w:val="0"/>
                <w:sz w:val="24"/>
                <w:szCs w:val="24"/>
              </w:rPr>
              <w:t>年第2期，2022年</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1月1日-12月31日</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，乐山市主城区空气质量综合指数为3.95，全省排名第16位，综合指数同比上升5.1%。优良天数为302天，同比减少12大，优良天数率为82</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rPr>
              <w:t>7%</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PM</w:t>
            </w:r>
            <w:r>
              <w:rPr>
                <w:rFonts w:hint="default" w:ascii="Times New Roman" w:hAnsi="Times New Roman" w:eastAsia="宋体" w:cs="Times New Roman"/>
                <w:color w:val="auto"/>
                <w:kern w:val="0"/>
                <w:sz w:val="24"/>
                <w:szCs w:val="24"/>
                <w:vertAlign w:val="subscript"/>
                <w:lang w:val="en-US" w:eastAsia="zh-CN"/>
              </w:rPr>
              <w:t>2.5</w:t>
            </w:r>
            <w:r>
              <w:rPr>
                <w:rFonts w:hint="default" w:ascii="Times New Roman" w:hAnsi="Times New Roman" w:eastAsia="宋体" w:cs="Times New Roman"/>
                <w:color w:val="auto"/>
                <w:kern w:val="0"/>
                <w:sz w:val="24"/>
                <w:szCs w:val="24"/>
              </w:rPr>
              <w:t>均值浓度40.3微克/立方米，同比上升8.3%</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全省排名第19位</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PM</w:t>
            </w:r>
            <w:r>
              <w:rPr>
                <w:rFonts w:hint="default" w:ascii="Times New Roman" w:hAnsi="Times New Roman" w:eastAsia="宋体" w:cs="Times New Roman"/>
                <w:color w:val="auto"/>
                <w:kern w:val="0"/>
                <w:sz w:val="24"/>
                <w:szCs w:val="24"/>
                <w:vertAlign w:val="subscript"/>
                <w:lang w:val="en-US" w:eastAsia="zh-CN"/>
              </w:rPr>
              <w:t>10</w:t>
            </w:r>
            <w:r>
              <w:rPr>
                <w:rFonts w:hint="default" w:ascii="Times New Roman" w:hAnsi="Times New Roman" w:eastAsia="宋体" w:cs="Times New Roman"/>
                <w:color w:val="auto"/>
                <w:kern w:val="0"/>
                <w:sz w:val="24"/>
                <w:szCs w:val="24"/>
              </w:rPr>
              <w:t>均值浓度57.6微克/立方米，同比上升4.5%</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全省排名第16位。</w:t>
            </w:r>
          </w:p>
          <w:p>
            <w:pPr>
              <w:adjustRightInd w:val="0"/>
              <w:snapToGrid w:val="0"/>
              <w:spacing w:line="360" w:lineRule="auto"/>
              <w:ind w:firstLine="480" w:firstLineChars="200"/>
              <w:rPr>
                <w:bCs/>
                <w:color w:val="auto"/>
                <w:sz w:val="24"/>
                <w:szCs w:val="24"/>
              </w:rPr>
            </w:pPr>
            <w:r>
              <w:rPr>
                <w:rFonts w:hint="default" w:ascii="Times New Roman" w:hAnsi="Times New Roman" w:eastAsia="宋体" w:cs="Times New Roman"/>
                <w:color w:val="auto"/>
                <w:kern w:val="0"/>
                <w:sz w:val="24"/>
                <w:szCs w:val="24"/>
                <w:lang w:eastAsia="zh-CN"/>
              </w:rPr>
              <w:t>市中区</w:t>
            </w:r>
            <w:r>
              <w:rPr>
                <w:rFonts w:hint="default" w:ascii="Times New Roman" w:hAnsi="Times New Roman" w:eastAsia="宋体" w:cs="Times New Roman"/>
                <w:color w:val="auto"/>
                <w:kern w:val="0"/>
                <w:sz w:val="24"/>
                <w:szCs w:val="24"/>
              </w:rPr>
              <w:t>环境空气质量报告数据见下表：</w:t>
            </w:r>
          </w:p>
          <w:p>
            <w:pPr>
              <w:adjustRightInd w:val="0"/>
              <w:snapToGrid w:val="0"/>
              <w:spacing w:line="360" w:lineRule="auto"/>
              <w:jc w:val="center"/>
              <w:rPr>
                <w:b/>
                <w:bCs/>
                <w:color w:val="auto"/>
                <w:szCs w:val="21"/>
              </w:rPr>
            </w:pPr>
            <w:r>
              <w:rPr>
                <w:b/>
                <w:bCs/>
                <w:color w:val="auto"/>
                <w:szCs w:val="21"/>
              </w:rPr>
              <w:t>表3-1  区域空气质量达标判断结果</w:t>
            </w:r>
          </w:p>
          <w:tbl>
            <w:tblPr>
              <w:tblStyle w:val="42"/>
              <w:tblW w:w="8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4"/>
              <w:gridCol w:w="1948"/>
              <w:gridCol w:w="1519"/>
              <w:gridCol w:w="1578"/>
              <w:gridCol w:w="1339"/>
              <w:gridCol w:w="13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8" w:hRule="atLeast"/>
              </w:trPr>
              <w:tc>
                <w:tcPr>
                  <w:tcW w:w="1164" w:type="dxa"/>
                  <w:vAlign w:val="center"/>
                </w:tcPr>
                <w:p>
                  <w:pPr>
                    <w:adjustRightInd w:val="0"/>
                    <w:snapToGrid w:val="0"/>
                    <w:jc w:val="center"/>
                    <w:rPr>
                      <w:rFonts w:hint="default" w:ascii="Times New Roman" w:hAnsi="Times New Roman" w:eastAsia="宋体" w:cs="Times New Roman"/>
                      <w:b/>
                      <w:bCs/>
                      <w:color w:val="auto"/>
                      <w:szCs w:val="21"/>
                      <w:shd w:val="clear" w:color="auto" w:fill="FFFFFF"/>
                    </w:rPr>
                  </w:pPr>
                  <w:r>
                    <w:rPr>
                      <w:rFonts w:hint="default" w:ascii="Times New Roman" w:hAnsi="Times New Roman" w:eastAsia="宋体" w:cs="Times New Roman"/>
                      <w:b/>
                      <w:bCs/>
                      <w:color w:val="auto"/>
                      <w:sz w:val="21"/>
                      <w:szCs w:val="21"/>
                      <w:shd w:val="clear" w:color="auto" w:fill="FFFFFF"/>
                    </w:rPr>
                    <w:t>污染物</w:t>
                  </w:r>
                </w:p>
              </w:tc>
              <w:tc>
                <w:tcPr>
                  <w:tcW w:w="1948" w:type="dxa"/>
                  <w:vAlign w:val="center"/>
                </w:tcPr>
                <w:p>
                  <w:pPr>
                    <w:adjustRightInd w:val="0"/>
                    <w:snapToGrid w:val="0"/>
                    <w:jc w:val="center"/>
                    <w:rPr>
                      <w:rFonts w:hint="default" w:ascii="Times New Roman" w:hAnsi="Times New Roman" w:eastAsia="宋体" w:cs="Times New Roman"/>
                      <w:b/>
                      <w:bCs/>
                      <w:color w:val="auto"/>
                      <w:szCs w:val="21"/>
                      <w:shd w:val="clear" w:color="auto" w:fill="FFFFFF"/>
                    </w:rPr>
                  </w:pPr>
                  <w:r>
                    <w:rPr>
                      <w:rFonts w:hint="default" w:ascii="Times New Roman" w:hAnsi="Times New Roman" w:eastAsia="宋体" w:cs="Times New Roman"/>
                      <w:b/>
                      <w:bCs/>
                      <w:color w:val="auto"/>
                      <w:sz w:val="21"/>
                      <w:szCs w:val="21"/>
                      <w:shd w:val="clear" w:color="auto" w:fill="FFFFFF"/>
                    </w:rPr>
                    <w:t>年评价指标</w:t>
                  </w:r>
                </w:p>
              </w:tc>
              <w:tc>
                <w:tcPr>
                  <w:tcW w:w="1519" w:type="dxa"/>
                  <w:vAlign w:val="center"/>
                </w:tcPr>
                <w:p>
                  <w:pPr>
                    <w:widowControl/>
                    <w:jc w:val="center"/>
                    <w:rPr>
                      <w:rFonts w:hint="default" w:ascii="Times New Roman" w:hAnsi="Times New Roman" w:eastAsia="宋体" w:cs="Times New Roman"/>
                      <w:b/>
                      <w:bCs/>
                      <w:color w:val="auto"/>
                      <w:szCs w:val="21"/>
                      <w:shd w:val="clear" w:color="auto" w:fill="FFFFFF"/>
                    </w:rPr>
                  </w:pPr>
                  <w:r>
                    <w:rPr>
                      <w:rFonts w:hint="default" w:ascii="Times New Roman" w:hAnsi="Times New Roman" w:eastAsia="宋体" w:cs="Times New Roman"/>
                      <w:b/>
                      <w:bCs/>
                      <w:color w:val="auto"/>
                      <w:sz w:val="21"/>
                      <w:szCs w:val="21"/>
                      <w:shd w:val="clear" w:color="auto" w:fill="FFFFFF"/>
                    </w:rPr>
                    <w:t>现状浓度（</w:t>
                  </w:r>
                  <w:r>
                    <w:rPr>
                      <w:rFonts w:hint="default" w:ascii="Times New Roman" w:hAnsi="Times New Roman" w:eastAsia="宋体" w:cs="Times New Roman"/>
                      <w:b/>
                      <w:bCs/>
                      <w:color w:val="auto"/>
                      <w:kern w:val="0"/>
                      <w:sz w:val="21"/>
                      <w:szCs w:val="21"/>
                    </w:rPr>
                    <w:t>ug/m³</w:t>
                  </w:r>
                  <w:r>
                    <w:rPr>
                      <w:rFonts w:hint="default" w:ascii="Times New Roman" w:hAnsi="Times New Roman" w:eastAsia="宋体" w:cs="Times New Roman"/>
                      <w:b/>
                      <w:bCs/>
                      <w:color w:val="auto"/>
                      <w:sz w:val="21"/>
                      <w:szCs w:val="21"/>
                      <w:shd w:val="clear" w:color="auto" w:fill="FFFFFF"/>
                    </w:rPr>
                    <w:t>）</w:t>
                  </w:r>
                </w:p>
              </w:tc>
              <w:tc>
                <w:tcPr>
                  <w:tcW w:w="1578" w:type="dxa"/>
                  <w:vAlign w:val="center"/>
                </w:tcPr>
                <w:p>
                  <w:pPr>
                    <w:widowControl/>
                    <w:jc w:val="center"/>
                    <w:rPr>
                      <w:rFonts w:hint="default" w:ascii="Times New Roman" w:hAnsi="Times New Roman" w:eastAsia="宋体" w:cs="Times New Roman"/>
                      <w:b/>
                      <w:bCs/>
                      <w:color w:val="auto"/>
                      <w:szCs w:val="21"/>
                      <w:shd w:val="clear" w:color="auto" w:fill="FFFFFF"/>
                    </w:rPr>
                  </w:pPr>
                  <w:r>
                    <w:rPr>
                      <w:rFonts w:hint="default" w:ascii="Times New Roman" w:hAnsi="Times New Roman" w:eastAsia="宋体" w:cs="Times New Roman"/>
                      <w:b/>
                      <w:bCs/>
                      <w:color w:val="auto"/>
                      <w:sz w:val="21"/>
                      <w:szCs w:val="21"/>
                      <w:shd w:val="clear" w:color="auto" w:fill="FFFFFF"/>
                    </w:rPr>
                    <w:t>标准值（</w:t>
                  </w:r>
                  <w:r>
                    <w:rPr>
                      <w:rFonts w:hint="default" w:ascii="Times New Roman" w:hAnsi="Times New Roman" w:eastAsia="宋体" w:cs="Times New Roman"/>
                      <w:b/>
                      <w:bCs/>
                      <w:color w:val="auto"/>
                      <w:kern w:val="0"/>
                      <w:sz w:val="21"/>
                      <w:szCs w:val="21"/>
                    </w:rPr>
                    <w:t>ug/m³</w:t>
                  </w:r>
                  <w:r>
                    <w:rPr>
                      <w:rFonts w:hint="default" w:ascii="Times New Roman" w:hAnsi="Times New Roman" w:eastAsia="宋体" w:cs="Times New Roman"/>
                      <w:b/>
                      <w:bCs/>
                      <w:color w:val="auto"/>
                      <w:sz w:val="21"/>
                      <w:szCs w:val="21"/>
                      <w:shd w:val="clear" w:color="auto" w:fill="FFFFFF"/>
                    </w:rPr>
                    <w:t>）</w:t>
                  </w:r>
                </w:p>
              </w:tc>
              <w:tc>
                <w:tcPr>
                  <w:tcW w:w="1339" w:type="dxa"/>
                  <w:vAlign w:val="center"/>
                </w:tcPr>
                <w:p>
                  <w:pPr>
                    <w:adjustRightInd w:val="0"/>
                    <w:snapToGrid w:val="0"/>
                    <w:jc w:val="center"/>
                    <w:rPr>
                      <w:rFonts w:hint="default" w:ascii="Times New Roman" w:hAnsi="Times New Roman" w:eastAsia="宋体" w:cs="Times New Roman"/>
                      <w:b/>
                      <w:bCs/>
                      <w:color w:val="auto"/>
                      <w:szCs w:val="21"/>
                      <w:shd w:val="clear" w:color="auto" w:fill="FFFFFF"/>
                    </w:rPr>
                  </w:pPr>
                  <w:r>
                    <w:rPr>
                      <w:rFonts w:hint="default" w:ascii="Times New Roman" w:hAnsi="Times New Roman" w:eastAsia="宋体" w:cs="Times New Roman"/>
                      <w:b/>
                      <w:bCs/>
                      <w:color w:val="auto"/>
                      <w:sz w:val="21"/>
                      <w:szCs w:val="21"/>
                      <w:shd w:val="clear" w:color="auto" w:fill="FFFFFF"/>
                    </w:rPr>
                    <w:t>占标率%</w:t>
                  </w:r>
                </w:p>
              </w:tc>
              <w:tc>
                <w:tcPr>
                  <w:tcW w:w="1350" w:type="dxa"/>
                  <w:vAlign w:val="center"/>
                </w:tcPr>
                <w:p>
                  <w:pPr>
                    <w:adjustRightInd w:val="0"/>
                    <w:snapToGrid w:val="0"/>
                    <w:jc w:val="center"/>
                    <w:rPr>
                      <w:rFonts w:hint="default" w:ascii="Times New Roman" w:hAnsi="Times New Roman" w:eastAsia="宋体" w:cs="Times New Roman"/>
                      <w:b/>
                      <w:bCs/>
                      <w:color w:val="auto"/>
                      <w:szCs w:val="21"/>
                      <w:shd w:val="clear" w:color="auto" w:fill="FFFFFF"/>
                    </w:rPr>
                  </w:pPr>
                  <w:r>
                    <w:rPr>
                      <w:rFonts w:hint="default" w:ascii="Times New Roman" w:hAnsi="Times New Roman" w:eastAsia="宋体" w:cs="Times New Roman"/>
                      <w:b/>
                      <w:bCs/>
                      <w:color w:val="auto"/>
                      <w:sz w:val="21"/>
                      <w:szCs w:val="21"/>
                      <w:shd w:val="clear" w:color="auto" w:fill="FFFFFF"/>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4"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SO</w:t>
                  </w:r>
                  <w:r>
                    <w:rPr>
                      <w:rFonts w:hint="default" w:ascii="Times New Roman" w:hAnsi="Times New Roman" w:eastAsia="宋体" w:cs="Times New Roman"/>
                      <w:color w:val="auto"/>
                      <w:sz w:val="21"/>
                      <w:szCs w:val="21"/>
                      <w:shd w:val="clear" w:color="auto" w:fill="FFFFFF"/>
                      <w:vertAlign w:val="subscript"/>
                    </w:rPr>
                    <w:t>2</w:t>
                  </w:r>
                </w:p>
              </w:tc>
              <w:tc>
                <w:tcPr>
                  <w:tcW w:w="1948"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年平均浓度</w:t>
                  </w:r>
                </w:p>
              </w:tc>
              <w:tc>
                <w:tcPr>
                  <w:tcW w:w="1519" w:type="dxa"/>
                  <w:vAlign w:val="center"/>
                </w:tcPr>
                <w:p>
                  <w:pPr>
                    <w:adjustRightInd w:val="0"/>
                    <w:snapToGrid w:val="0"/>
                    <w:jc w:val="center"/>
                    <w:rPr>
                      <w:rFonts w:hint="default" w:ascii="Times New Roman" w:hAnsi="Times New Roman" w:eastAsia="宋体" w:cs="Times New Roman"/>
                      <w:color w:val="auto"/>
                      <w:szCs w:val="21"/>
                      <w:shd w:val="clear" w:color="auto" w:fill="FFFFFF"/>
                      <w:lang w:val="en-US" w:eastAsia="zh-CN"/>
                    </w:rPr>
                  </w:pPr>
                  <w:r>
                    <w:rPr>
                      <w:rFonts w:hint="default" w:ascii="Times New Roman" w:hAnsi="Times New Roman" w:eastAsia="宋体" w:cs="Times New Roman"/>
                      <w:color w:val="auto"/>
                      <w:sz w:val="21"/>
                      <w:szCs w:val="21"/>
                      <w:shd w:val="clear" w:color="auto" w:fill="FFFFFF"/>
                      <w:lang w:val="en-US" w:eastAsia="zh-CN"/>
                    </w:rPr>
                    <w:t>6.9</w:t>
                  </w:r>
                </w:p>
              </w:tc>
              <w:tc>
                <w:tcPr>
                  <w:tcW w:w="1578"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60</w:t>
                  </w:r>
                </w:p>
              </w:tc>
              <w:tc>
                <w:tcPr>
                  <w:tcW w:w="1339" w:type="dxa"/>
                  <w:vAlign w:val="center"/>
                </w:tcPr>
                <w:p>
                  <w:pPr>
                    <w:adjustRightInd w:val="0"/>
                    <w:snapToGrid w:val="0"/>
                    <w:jc w:val="center"/>
                    <w:rPr>
                      <w:rFonts w:hint="default" w:ascii="Times New Roman" w:hAnsi="Times New Roman" w:eastAsia="宋体" w:cs="Times New Roman"/>
                      <w:color w:val="auto"/>
                      <w:sz w:val="21"/>
                      <w:szCs w:val="21"/>
                      <w:shd w:val="clear" w:color="auto" w:fill="FFFFFF"/>
                    </w:rPr>
                  </w:pPr>
                  <w:r>
                    <w:rPr>
                      <w:rFonts w:hint="default" w:ascii="Times New Roman" w:hAnsi="Times New Roman" w:eastAsia="宋体" w:cs="Times New Roman"/>
                      <w:color w:val="auto"/>
                      <w:sz w:val="21"/>
                      <w:szCs w:val="21"/>
                      <w:shd w:val="clear" w:color="auto" w:fill="FFFFFF"/>
                      <w:lang w:val="en-US" w:eastAsia="zh-CN"/>
                    </w:rPr>
                    <w:t>11.5</w:t>
                  </w:r>
                </w:p>
              </w:tc>
              <w:tc>
                <w:tcPr>
                  <w:tcW w:w="1350"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4"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NO</w:t>
                  </w:r>
                  <w:r>
                    <w:rPr>
                      <w:rFonts w:hint="default" w:ascii="Times New Roman" w:hAnsi="Times New Roman" w:eastAsia="宋体" w:cs="Times New Roman"/>
                      <w:color w:val="auto"/>
                      <w:sz w:val="21"/>
                      <w:szCs w:val="21"/>
                      <w:shd w:val="clear" w:color="auto" w:fill="FFFFFF"/>
                      <w:vertAlign w:val="subscript"/>
                    </w:rPr>
                    <w:t>2</w:t>
                  </w:r>
                </w:p>
              </w:tc>
              <w:tc>
                <w:tcPr>
                  <w:tcW w:w="1948"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年平均浓度</w:t>
                  </w:r>
                </w:p>
              </w:tc>
              <w:tc>
                <w:tcPr>
                  <w:tcW w:w="1519" w:type="dxa"/>
                  <w:vAlign w:val="center"/>
                </w:tcPr>
                <w:p>
                  <w:pPr>
                    <w:adjustRightInd w:val="0"/>
                    <w:snapToGrid w:val="0"/>
                    <w:jc w:val="center"/>
                    <w:rPr>
                      <w:rFonts w:hint="default" w:ascii="Times New Roman" w:hAnsi="Times New Roman" w:eastAsia="宋体" w:cs="Times New Roman"/>
                      <w:color w:val="auto"/>
                      <w:szCs w:val="21"/>
                      <w:shd w:val="clear" w:color="auto" w:fill="FFFFFF"/>
                      <w:lang w:val="en-US" w:eastAsia="zh-CN"/>
                    </w:rPr>
                  </w:pPr>
                  <w:r>
                    <w:rPr>
                      <w:rFonts w:hint="default" w:ascii="Times New Roman" w:hAnsi="Times New Roman" w:eastAsia="宋体" w:cs="Times New Roman"/>
                      <w:color w:val="auto"/>
                      <w:sz w:val="21"/>
                      <w:szCs w:val="21"/>
                      <w:shd w:val="clear" w:color="auto" w:fill="FFFFFF"/>
                      <w:lang w:val="en-US" w:eastAsia="zh-CN"/>
                    </w:rPr>
                    <w:t>24.3</w:t>
                  </w:r>
                </w:p>
              </w:tc>
              <w:tc>
                <w:tcPr>
                  <w:tcW w:w="1578"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40</w:t>
                  </w:r>
                </w:p>
              </w:tc>
              <w:tc>
                <w:tcPr>
                  <w:tcW w:w="1339" w:type="dxa"/>
                  <w:vAlign w:val="center"/>
                </w:tcPr>
                <w:p>
                  <w:pPr>
                    <w:adjustRightInd w:val="0"/>
                    <w:snapToGrid w:val="0"/>
                    <w:jc w:val="center"/>
                    <w:rPr>
                      <w:rFonts w:hint="default" w:ascii="Times New Roman" w:hAnsi="Times New Roman" w:eastAsia="宋体" w:cs="Times New Roman"/>
                      <w:color w:val="auto"/>
                      <w:sz w:val="21"/>
                      <w:szCs w:val="21"/>
                      <w:shd w:val="clear" w:color="auto" w:fill="FFFFFF"/>
                    </w:rPr>
                  </w:pPr>
                  <w:r>
                    <w:rPr>
                      <w:rFonts w:hint="default" w:ascii="Times New Roman" w:hAnsi="Times New Roman" w:eastAsia="宋体" w:cs="Times New Roman"/>
                      <w:color w:val="auto"/>
                      <w:sz w:val="21"/>
                      <w:szCs w:val="21"/>
                      <w:shd w:val="clear" w:color="auto" w:fill="FFFFFF"/>
                      <w:lang w:val="en-US" w:eastAsia="zh-CN"/>
                    </w:rPr>
                    <w:t>60.8</w:t>
                  </w:r>
                </w:p>
              </w:tc>
              <w:tc>
                <w:tcPr>
                  <w:tcW w:w="1350"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4"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PM</w:t>
                  </w:r>
                  <w:r>
                    <w:rPr>
                      <w:rFonts w:hint="default" w:ascii="Times New Roman" w:hAnsi="Times New Roman" w:eastAsia="宋体" w:cs="Times New Roman"/>
                      <w:color w:val="auto"/>
                      <w:sz w:val="21"/>
                      <w:szCs w:val="21"/>
                      <w:shd w:val="clear" w:color="auto" w:fill="FFFFFF"/>
                      <w:vertAlign w:val="subscript"/>
                    </w:rPr>
                    <w:t>10</w:t>
                  </w:r>
                </w:p>
              </w:tc>
              <w:tc>
                <w:tcPr>
                  <w:tcW w:w="1948"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年平均浓度</w:t>
                  </w:r>
                </w:p>
              </w:tc>
              <w:tc>
                <w:tcPr>
                  <w:tcW w:w="1519" w:type="dxa"/>
                  <w:vAlign w:val="center"/>
                </w:tcPr>
                <w:p>
                  <w:pPr>
                    <w:adjustRightInd w:val="0"/>
                    <w:snapToGrid w:val="0"/>
                    <w:jc w:val="center"/>
                    <w:rPr>
                      <w:rFonts w:hint="default" w:ascii="Times New Roman" w:hAnsi="Times New Roman" w:eastAsia="宋体" w:cs="Times New Roman"/>
                      <w:color w:val="auto"/>
                      <w:szCs w:val="21"/>
                      <w:shd w:val="clear" w:color="auto" w:fill="FFFFFF"/>
                      <w:lang w:val="en-US" w:eastAsia="zh-CN"/>
                    </w:rPr>
                  </w:pPr>
                  <w:r>
                    <w:rPr>
                      <w:rFonts w:hint="default" w:ascii="Times New Roman" w:hAnsi="Times New Roman" w:eastAsia="宋体" w:cs="Times New Roman"/>
                      <w:color w:val="auto"/>
                      <w:sz w:val="21"/>
                      <w:szCs w:val="21"/>
                      <w:shd w:val="clear" w:color="auto" w:fill="FFFFFF"/>
                      <w:lang w:val="en-US" w:eastAsia="zh-CN"/>
                    </w:rPr>
                    <w:t>57.6</w:t>
                  </w:r>
                </w:p>
              </w:tc>
              <w:tc>
                <w:tcPr>
                  <w:tcW w:w="1578"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70</w:t>
                  </w:r>
                </w:p>
              </w:tc>
              <w:tc>
                <w:tcPr>
                  <w:tcW w:w="1339" w:type="dxa"/>
                  <w:vAlign w:val="center"/>
                </w:tcPr>
                <w:p>
                  <w:pPr>
                    <w:adjustRightInd w:val="0"/>
                    <w:snapToGrid w:val="0"/>
                    <w:jc w:val="center"/>
                    <w:rPr>
                      <w:rFonts w:hint="default" w:ascii="Times New Roman" w:hAnsi="Times New Roman" w:eastAsia="宋体" w:cs="Times New Roman"/>
                      <w:color w:val="auto"/>
                      <w:sz w:val="21"/>
                      <w:szCs w:val="21"/>
                      <w:shd w:val="clear" w:color="auto" w:fill="FFFFFF"/>
                    </w:rPr>
                  </w:pPr>
                  <w:r>
                    <w:rPr>
                      <w:rFonts w:hint="default" w:ascii="Times New Roman" w:hAnsi="Times New Roman" w:eastAsia="宋体" w:cs="Times New Roman"/>
                      <w:color w:val="auto"/>
                      <w:sz w:val="21"/>
                      <w:szCs w:val="21"/>
                      <w:shd w:val="clear" w:color="auto" w:fill="FFFFFF"/>
                      <w:lang w:val="en-US" w:eastAsia="zh-CN"/>
                    </w:rPr>
                    <w:t>82.3</w:t>
                  </w:r>
                </w:p>
              </w:tc>
              <w:tc>
                <w:tcPr>
                  <w:tcW w:w="1350"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4"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PM</w:t>
                  </w:r>
                  <w:r>
                    <w:rPr>
                      <w:rFonts w:hint="default" w:ascii="Times New Roman" w:hAnsi="Times New Roman" w:eastAsia="宋体" w:cs="Times New Roman"/>
                      <w:color w:val="auto"/>
                      <w:sz w:val="21"/>
                      <w:szCs w:val="21"/>
                      <w:shd w:val="clear" w:color="auto" w:fill="FFFFFF"/>
                      <w:vertAlign w:val="subscript"/>
                    </w:rPr>
                    <w:t>2.5</w:t>
                  </w:r>
                </w:p>
              </w:tc>
              <w:tc>
                <w:tcPr>
                  <w:tcW w:w="1948"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年平均浓度</w:t>
                  </w:r>
                </w:p>
              </w:tc>
              <w:tc>
                <w:tcPr>
                  <w:tcW w:w="1519" w:type="dxa"/>
                  <w:vAlign w:val="center"/>
                </w:tcPr>
                <w:p>
                  <w:pPr>
                    <w:adjustRightInd w:val="0"/>
                    <w:snapToGrid w:val="0"/>
                    <w:jc w:val="center"/>
                    <w:rPr>
                      <w:rFonts w:hint="default" w:ascii="Times New Roman" w:hAnsi="Times New Roman" w:eastAsia="宋体" w:cs="Times New Roman"/>
                      <w:color w:val="auto"/>
                      <w:szCs w:val="21"/>
                      <w:shd w:val="clear" w:color="auto" w:fill="FFFFFF"/>
                      <w:lang w:val="en-US" w:eastAsia="zh-CN"/>
                    </w:rPr>
                  </w:pPr>
                  <w:r>
                    <w:rPr>
                      <w:rFonts w:hint="default" w:ascii="Times New Roman" w:hAnsi="Times New Roman" w:eastAsia="宋体" w:cs="Times New Roman"/>
                      <w:color w:val="auto"/>
                      <w:sz w:val="21"/>
                      <w:szCs w:val="21"/>
                      <w:shd w:val="clear" w:color="auto" w:fill="FFFFFF"/>
                      <w:lang w:val="en-US" w:eastAsia="zh-CN"/>
                    </w:rPr>
                    <w:t>40.3</w:t>
                  </w:r>
                </w:p>
              </w:tc>
              <w:tc>
                <w:tcPr>
                  <w:tcW w:w="1578"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35</w:t>
                  </w:r>
                </w:p>
              </w:tc>
              <w:tc>
                <w:tcPr>
                  <w:tcW w:w="1339" w:type="dxa"/>
                  <w:vAlign w:val="center"/>
                </w:tcPr>
                <w:p>
                  <w:pPr>
                    <w:adjustRightInd w:val="0"/>
                    <w:snapToGrid w:val="0"/>
                    <w:jc w:val="center"/>
                    <w:rPr>
                      <w:rFonts w:hint="default" w:ascii="Times New Roman" w:hAnsi="Times New Roman" w:eastAsia="宋体" w:cs="Times New Roman"/>
                      <w:b/>
                      <w:bCs/>
                      <w:color w:val="auto"/>
                      <w:sz w:val="21"/>
                      <w:szCs w:val="21"/>
                      <w:shd w:val="clear" w:color="auto" w:fill="FFFFFF"/>
                    </w:rPr>
                  </w:pPr>
                  <w:r>
                    <w:rPr>
                      <w:rFonts w:hint="default" w:ascii="Times New Roman" w:hAnsi="Times New Roman" w:eastAsia="宋体" w:cs="Times New Roman"/>
                      <w:b/>
                      <w:bCs/>
                      <w:color w:val="auto"/>
                      <w:sz w:val="21"/>
                      <w:szCs w:val="21"/>
                      <w:shd w:val="clear" w:color="auto" w:fill="FFFFFF"/>
                      <w:lang w:val="en-US" w:eastAsia="zh-CN"/>
                    </w:rPr>
                    <w:t>115.1</w:t>
                  </w:r>
                </w:p>
              </w:tc>
              <w:tc>
                <w:tcPr>
                  <w:tcW w:w="1350" w:type="dxa"/>
                  <w:vAlign w:val="center"/>
                </w:tcPr>
                <w:p>
                  <w:pPr>
                    <w:adjustRightInd w:val="0"/>
                    <w:snapToGrid w:val="0"/>
                    <w:jc w:val="center"/>
                    <w:rPr>
                      <w:rFonts w:hint="default" w:ascii="Times New Roman" w:hAnsi="Times New Roman" w:eastAsia="宋体" w:cs="Times New Roman"/>
                      <w:b/>
                      <w:bCs/>
                      <w:color w:val="auto"/>
                      <w:szCs w:val="21"/>
                      <w:shd w:val="clear" w:color="auto" w:fill="FFFFFF"/>
                    </w:rPr>
                  </w:pPr>
                  <w:r>
                    <w:rPr>
                      <w:rFonts w:hint="default" w:ascii="Times New Roman" w:hAnsi="Times New Roman" w:eastAsia="宋体" w:cs="Times New Roman"/>
                      <w:b/>
                      <w:bCs/>
                      <w:color w:val="auto"/>
                      <w:sz w:val="21"/>
                      <w:szCs w:val="21"/>
                      <w:shd w:val="clear" w:color="auto" w:fill="FFFFFF"/>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164"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CO</w:t>
                  </w:r>
                </w:p>
              </w:tc>
              <w:tc>
                <w:tcPr>
                  <w:tcW w:w="1948"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24小时平均第95百分位数浓度值</w:t>
                  </w:r>
                </w:p>
              </w:tc>
              <w:tc>
                <w:tcPr>
                  <w:tcW w:w="1519"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1100</w:t>
                  </w:r>
                </w:p>
              </w:tc>
              <w:tc>
                <w:tcPr>
                  <w:tcW w:w="1578"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4000</w:t>
                  </w:r>
                </w:p>
              </w:tc>
              <w:tc>
                <w:tcPr>
                  <w:tcW w:w="1339" w:type="dxa"/>
                  <w:vAlign w:val="center"/>
                </w:tcPr>
                <w:p>
                  <w:pPr>
                    <w:adjustRightInd w:val="0"/>
                    <w:snapToGrid w:val="0"/>
                    <w:jc w:val="center"/>
                    <w:rPr>
                      <w:rFonts w:hint="default" w:ascii="Times New Roman" w:hAnsi="Times New Roman" w:eastAsia="宋体" w:cs="Times New Roman"/>
                      <w:color w:val="auto"/>
                      <w:sz w:val="21"/>
                      <w:szCs w:val="21"/>
                      <w:shd w:val="clear" w:color="auto" w:fill="FFFFFF"/>
                    </w:rPr>
                  </w:pPr>
                  <w:r>
                    <w:rPr>
                      <w:rFonts w:hint="default" w:ascii="Times New Roman" w:hAnsi="Times New Roman" w:eastAsia="宋体" w:cs="Times New Roman"/>
                      <w:color w:val="auto"/>
                      <w:sz w:val="21"/>
                      <w:szCs w:val="21"/>
                      <w:shd w:val="clear" w:color="auto" w:fill="FFFFFF"/>
                      <w:lang w:val="en-US" w:eastAsia="zh-CN"/>
                    </w:rPr>
                    <w:t>27.5</w:t>
                  </w:r>
                </w:p>
              </w:tc>
              <w:tc>
                <w:tcPr>
                  <w:tcW w:w="1350"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trPr>
              <w:tc>
                <w:tcPr>
                  <w:tcW w:w="1164"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O</w:t>
                  </w:r>
                  <w:r>
                    <w:rPr>
                      <w:rFonts w:hint="default" w:ascii="Times New Roman" w:hAnsi="Times New Roman" w:eastAsia="宋体" w:cs="Times New Roman"/>
                      <w:color w:val="auto"/>
                      <w:sz w:val="21"/>
                      <w:szCs w:val="21"/>
                      <w:shd w:val="clear" w:color="auto" w:fill="FFFFFF"/>
                      <w:vertAlign w:val="subscript"/>
                    </w:rPr>
                    <w:t>3</w:t>
                  </w:r>
                </w:p>
              </w:tc>
              <w:tc>
                <w:tcPr>
                  <w:tcW w:w="1948"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最大8小时滑动平均浓度值</w:t>
                  </w:r>
                </w:p>
              </w:tc>
              <w:tc>
                <w:tcPr>
                  <w:tcW w:w="1519" w:type="dxa"/>
                  <w:vAlign w:val="center"/>
                </w:tcPr>
                <w:p>
                  <w:pPr>
                    <w:adjustRightInd w:val="0"/>
                    <w:snapToGrid w:val="0"/>
                    <w:jc w:val="center"/>
                    <w:rPr>
                      <w:rFonts w:hint="default" w:ascii="Times New Roman" w:hAnsi="Times New Roman" w:eastAsia="宋体" w:cs="Times New Roman"/>
                      <w:color w:val="auto"/>
                      <w:szCs w:val="21"/>
                      <w:shd w:val="clear" w:color="auto" w:fill="FFFFFF"/>
                      <w:lang w:val="en-US" w:eastAsia="zh-CN"/>
                    </w:rPr>
                  </w:pPr>
                  <w:r>
                    <w:rPr>
                      <w:rFonts w:hint="default" w:ascii="Times New Roman" w:hAnsi="Times New Roman" w:eastAsia="宋体" w:cs="Times New Roman"/>
                      <w:color w:val="auto"/>
                      <w:sz w:val="21"/>
                      <w:szCs w:val="21"/>
                      <w:shd w:val="clear" w:color="auto" w:fill="FFFFFF"/>
                      <w:lang w:val="en-US" w:eastAsia="zh-CN"/>
                    </w:rPr>
                    <w:t>162.2</w:t>
                  </w:r>
                </w:p>
              </w:tc>
              <w:tc>
                <w:tcPr>
                  <w:tcW w:w="1578" w:type="dxa"/>
                  <w:vAlign w:val="center"/>
                </w:tcPr>
                <w:p>
                  <w:pPr>
                    <w:adjustRightInd w:val="0"/>
                    <w:snapToGrid w:val="0"/>
                    <w:jc w:val="center"/>
                    <w:rPr>
                      <w:rFonts w:hint="default" w:ascii="Times New Roman" w:hAnsi="Times New Roman" w:eastAsia="宋体" w:cs="Times New Roman"/>
                      <w:color w:val="auto"/>
                      <w:szCs w:val="21"/>
                      <w:shd w:val="clear" w:color="auto" w:fill="FFFFFF"/>
                    </w:rPr>
                  </w:pPr>
                  <w:r>
                    <w:rPr>
                      <w:rFonts w:hint="default" w:ascii="Times New Roman" w:hAnsi="Times New Roman" w:eastAsia="宋体" w:cs="Times New Roman"/>
                      <w:color w:val="auto"/>
                      <w:sz w:val="21"/>
                      <w:szCs w:val="21"/>
                      <w:shd w:val="clear" w:color="auto" w:fill="FFFFFF"/>
                    </w:rPr>
                    <w:t>160</w:t>
                  </w:r>
                </w:p>
              </w:tc>
              <w:tc>
                <w:tcPr>
                  <w:tcW w:w="1339" w:type="dxa"/>
                  <w:vAlign w:val="center"/>
                </w:tcPr>
                <w:p>
                  <w:pPr>
                    <w:adjustRightInd w:val="0"/>
                    <w:snapToGrid w:val="0"/>
                    <w:jc w:val="center"/>
                    <w:rPr>
                      <w:rFonts w:hint="default" w:ascii="Times New Roman" w:hAnsi="Times New Roman" w:eastAsia="宋体" w:cs="Times New Roman"/>
                      <w:b/>
                      <w:bCs/>
                      <w:color w:val="auto"/>
                      <w:sz w:val="21"/>
                      <w:szCs w:val="21"/>
                      <w:shd w:val="clear" w:color="auto" w:fill="FFFFFF"/>
                    </w:rPr>
                  </w:pPr>
                  <w:r>
                    <w:rPr>
                      <w:rFonts w:hint="default" w:ascii="Times New Roman" w:hAnsi="Times New Roman" w:eastAsia="宋体" w:cs="Times New Roman"/>
                      <w:b/>
                      <w:bCs/>
                      <w:color w:val="auto"/>
                      <w:sz w:val="21"/>
                      <w:szCs w:val="21"/>
                      <w:shd w:val="clear" w:color="auto" w:fill="FFFFFF"/>
                      <w:lang w:val="en-US" w:eastAsia="zh-CN"/>
                    </w:rPr>
                    <w:t>101.4</w:t>
                  </w:r>
                </w:p>
              </w:tc>
              <w:tc>
                <w:tcPr>
                  <w:tcW w:w="1350" w:type="dxa"/>
                  <w:vAlign w:val="center"/>
                </w:tcPr>
                <w:p>
                  <w:pPr>
                    <w:adjustRightInd w:val="0"/>
                    <w:snapToGrid w:val="0"/>
                    <w:jc w:val="center"/>
                    <w:rPr>
                      <w:rFonts w:hint="default" w:ascii="Times New Roman" w:hAnsi="Times New Roman" w:eastAsia="宋体" w:cs="Times New Roman"/>
                      <w:b/>
                      <w:bCs/>
                      <w:color w:val="auto"/>
                      <w:szCs w:val="21"/>
                      <w:shd w:val="clear" w:color="auto" w:fill="FFFFFF"/>
                    </w:rPr>
                  </w:pPr>
                  <w:r>
                    <w:rPr>
                      <w:rFonts w:hint="default" w:ascii="Times New Roman" w:hAnsi="Times New Roman" w:eastAsia="宋体" w:cs="Times New Roman"/>
                      <w:b/>
                      <w:bCs/>
                      <w:color w:val="auto"/>
                      <w:sz w:val="21"/>
                      <w:szCs w:val="21"/>
                      <w:shd w:val="clear" w:color="auto" w:fill="FFFFFF"/>
                    </w:rPr>
                    <w:t>不达标</w:t>
                  </w:r>
                </w:p>
              </w:tc>
            </w:tr>
          </w:tbl>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rPr>
              <w:t>项目区域为不达标区，不达标污染物为PM</w:t>
            </w:r>
            <w:r>
              <w:rPr>
                <w:rFonts w:hint="default" w:ascii="Times New Roman" w:hAnsi="Times New Roman" w:eastAsia="宋体" w:cs="Times New Roman"/>
                <w:color w:val="auto"/>
                <w:kern w:val="0"/>
                <w:sz w:val="24"/>
                <w:szCs w:val="24"/>
                <w:vertAlign w:val="subscript"/>
              </w:rPr>
              <w:t>2.5</w:t>
            </w:r>
            <w:r>
              <w:rPr>
                <w:rFonts w:hint="default" w:ascii="Times New Roman" w:hAnsi="Times New Roman" w:eastAsia="宋体" w:cs="Times New Roman"/>
                <w:color w:val="auto"/>
                <w:kern w:val="0"/>
                <w:sz w:val="24"/>
                <w:szCs w:val="24"/>
                <w:vertAlign w:val="baseline"/>
                <w:lang w:eastAsia="zh-CN"/>
              </w:rPr>
              <w:t>及</w:t>
            </w:r>
            <w:r>
              <w:rPr>
                <w:rFonts w:hint="default" w:ascii="Times New Roman" w:hAnsi="Times New Roman" w:eastAsia="宋体" w:cs="Times New Roman"/>
                <w:color w:val="auto"/>
                <w:kern w:val="0"/>
                <w:sz w:val="24"/>
                <w:szCs w:val="24"/>
                <w:vertAlign w:val="baseline"/>
                <w:lang w:val="en-US" w:eastAsia="zh-CN"/>
              </w:rPr>
              <w:t>O</w:t>
            </w:r>
            <w:r>
              <w:rPr>
                <w:rFonts w:hint="default" w:ascii="Times New Roman" w:hAnsi="Times New Roman" w:eastAsia="宋体" w:cs="Times New Roman"/>
                <w:color w:val="auto"/>
                <w:kern w:val="0"/>
                <w:sz w:val="24"/>
                <w:szCs w:val="24"/>
                <w:vertAlign w:val="subscript"/>
                <w:lang w:val="en-US" w:eastAsia="zh-CN"/>
              </w:rPr>
              <w:t>3</w:t>
            </w:r>
            <w:r>
              <w:rPr>
                <w:rFonts w:hint="default" w:ascii="Times New Roman" w:hAnsi="Times New Roman" w:eastAsia="宋体" w:cs="Times New Roman"/>
                <w:color w:val="auto"/>
                <w:kern w:val="0"/>
                <w:sz w:val="24"/>
                <w:szCs w:val="24"/>
              </w:rPr>
              <w:t>，乐山市制定了乐山市大气环境质量限期达标规划（2016年-2025年），明确大气污染防治措施，力争在2025年底前实现空气质量全面达标。</w:t>
            </w:r>
          </w:p>
          <w:p>
            <w:pPr>
              <w:keepNext w:val="0"/>
              <w:keepLines w:val="0"/>
              <w:pageBreakBefore w:val="0"/>
              <w:widowControl/>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rPr>
            </w:pPr>
            <w:r>
              <w:rPr>
                <w:rFonts w:hint="eastAsia" w:ascii="Times New Roman" w:hAnsi="Times New Roman" w:eastAsia="宋体" w:cs="Times New Roman"/>
                <w:b/>
                <w:bCs/>
                <w:color w:val="auto"/>
                <w:kern w:val="0"/>
                <w:sz w:val="24"/>
                <w:szCs w:val="24"/>
                <w:lang w:eastAsia="zh-CN"/>
              </w:rPr>
              <w:t>（</w:t>
            </w:r>
            <w:r>
              <w:rPr>
                <w:rFonts w:hint="eastAsia" w:ascii="Times New Roman" w:hAnsi="Times New Roman" w:eastAsia="宋体" w:cs="Times New Roman"/>
                <w:b/>
                <w:bCs/>
                <w:color w:val="auto"/>
                <w:kern w:val="0"/>
                <w:sz w:val="24"/>
                <w:szCs w:val="24"/>
                <w:lang w:val="en-US" w:eastAsia="zh-CN"/>
              </w:rPr>
              <w:t>2</w:t>
            </w:r>
            <w:r>
              <w:rPr>
                <w:rFonts w:hint="eastAsia" w:ascii="Times New Roman" w:hAnsi="Times New Roman" w:eastAsia="宋体" w:cs="Times New Roman"/>
                <w:b/>
                <w:bCs/>
                <w:color w:val="auto"/>
                <w:kern w:val="0"/>
                <w:sz w:val="24"/>
                <w:szCs w:val="24"/>
                <w:lang w:eastAsia="zh-CN"/>
              </w:rPr>
              <w:t>）</w:t>
            </w:r>
            <w:r>
              <w:rPr>
                <w:rFonts w:hint="default" w:ascii="Times New Roman" w:hAnsi="Times New Roman" w:eastAsia="宋体" w:cs="Times New Roman"/>
                <w:b/>
                <w:bCs/>
                <w:color w:val="auto"/>
                <w:kern w:val="0"/>
                <w:sz w:val="24"/>
                <w:szCs w:val="24"/>
              </w:rPr>
              <w:t>大气污染防治措施与行动</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乐山市制定了乐山市大气环境质量限期达标规划（2016年-2025年），明确大气污染防治措施，力争在2025年底前实现空气质量全面达标。</w:t>
            </w:r>
          </w:p>
          <w:p>
            <w:pPr>
              <w:keepNext w:val="0"/>
              <w:keepLines w:val="0"/>
              <w:pageBreakBefore w:val="0"/>
              <w:widowControl/>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0"/>
                <w:sz w:val="24"/>
                <w:szCs w:val="24"/>
              </w:rPr>
              <w:t>1）近期（2017-2020）——以减排促改善</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十三五”期间，通过控煤、控车、控尘以及调工业布局、调产业结构、调能源结构和成都平原经济区、各县（市、区）、市级部门联动“三控三调三联动”，集中攻坚削减大气污染物排放总量。严格执行大气污染物排放限值标准，强力实施产业和能源结构调整、工业污染整治、燃煤和餐饮油烟整治、城市和道路扬尘整治、机动车污染整治、露天焚烧污染整治等六大专项行动，努力解决灰霾问题。针对当前乐山市产业以第二产业为主，末端治理水平有待提升的特点，近期乐山市空气质量达标措施以落后产能淘汰、重点行业企业末端治理为重要抓手，实现多污染物减排。大力实施煤改电、煤改气；以重点企业末端治理为抓手，提升水泥、钢铁、陶瓷、化工等重点行业污染物治理效率；通过淘汰黄标车、油品升级、机动车排放标准升级等综合管理措施，提升机动车综合管理水平。</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rPr>
              <w:t>通过控制扬尘污染、控制秸秆露天焚烧、控制餐饮污染等手段深化面源治理。综合上述措施切实有效减少多种污染物排放量，初步实现环境空气质量改善</w:t>
            </w:r>
          </w:p>
          <w:p>
            <w:pPr>
              <w:keepNext w:val="0"/>
              <w:keepLines w:val="0"/>
              <w:pageBreakBefore w:val="0"/>
              <w:widowControl/>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rPr>
              <w:t>2）中长期（2021-2025）——调结构促转变、强化源头控制，实现战略转型</w:t>
            </w:r>
          </w:p>
          <w:p>
            <w:pPr>
              <w:adjustRightInd w:val="0"/>
              <w:snapToGrid w:val="0"/>
              <w:spacing w:line="360" w:lineRule="auto"/>
              <w:ind w:firstLine="480"/>
              <w:rPr>
                <w:bCs/>
                <w:color w:val="auto"/>
                <w:sz w:val="24"/>
                <w:szCs w:val="24"/>
              </w:rPr>
            </w:pPr>
            <w:r>
              <w:rPr>
                <w:rFonts w:hint="default" w:ascii="Times New Roman" w:hAnsi="Times New Roman" w:eastAsia="宋体" w:cs="Times New Roman"/>
                <w:color w:val="auto"/>
                <w:sz w:val="24"/>
                <w:szCs w:val="24"/>
              </w:rPr>
              <w:t>逐步调整产业结构，以大气环境达标倒逼产业转型，逐步实现大气污染控制从末端治理到源头控制过渡，加快工业发展绿色化进程。这一时期大气污染排放量控制的重点将是强化源头的全控制过程。以空间格局及产业布局优化为切入点，通过严格环境准入、企业搬迁、产能淘汰等差异化的空间管理要求，引导经济发展格局有序发展；通过提高环境准入门槛、淘汰落后产能等方式倒逼能源结构和产业结构的优化升级。综合通过资源能源消费总量控制、调整产业结构、优化空间布局等手段从源头控制污染物排放。</w:t>
            </w:r>
          </w:p>
          <w:p>
            <w:pPr>
              <w:adjustRightInd w:val="0"/>
              <w:snapToGrid w:val="0"/>
              <w:spacing w:line="360" w:lineRule="auto"/>
              <w:ind w:firstLine="480" w:firstLineChars="200"/>
              <w:rPr>
                <w:color w:val="auto"/>
                <w:kern w:val="0"/>
                <w:sz w:val="24"/>
              </w:rPr>
            </w:pPr>
            <w:r>
              <w:rPr>
                <w:color w:val="auto"/>
                <w:kern w:val="0"/>
                <w:sz w:val="24"/>
              </w:rPr>
              <w:t>（2）其他污染物</w:t>
            </w:r>
          </w:p>
          <w:p>
            <w:pPr>
              <w:adjustRightInd w:val="0"/>
              <w:snapToGrid w:val="0"/>
              <w:spacing w:line="360" w:lineRule="auto"/>
              <w:ind w:firstLine="480" w:firstLineChars="200"/>
              <w:rPr>
                <w:color w:val="auto"/>
                <w:sz w:val="24"/>
              </w:rPr>
            </w:pPr>
            <w:r>
              <w:rPr>
                <w:color w:val="auto"/>
                <w:kern w:val="0"/>
                <w:sz w:val="24"/>
              </w:rPr>
              <w:t>为了解本项目所在地其他大气污染物环境质量现状，本项目委托四川铁环检测技术有限公司对</w:t>
            </w:r>
            <w:r>
              <w:rPr>
                <w:color w:val="auto"/>
                <w:sz w:val="24"/>
              </w:rPr>
              <w:t>项目所在地的环境空气（总悬浮颗粒物）进行了采样分析，其结果如下：</w:t>
            </w:r>
          </w:p>
          <w:p>
            <w:pPr>
              <w:adjustRightInd w:val="0"/>
              <w:snapToGrid w:val="0"/>
              <w:spacing w:line="360" w:lineRule="auto"/>
              <w:ind w:firstLine="480" w:firstLineChars="200"/>
              <w:rPr>
                <w:color w:val="auto"/>
                <w:sz w:val="24"/>
              </w:rPr>
            </w:pPr>
            <w:r>
              <w:rPr>
                <w:color w:val="auto"/>
                <w:sz w:val="24"/>
              </w:rPr>
              <w:t>1）监测项目</w:t>
            </w:r>
          </w:p>
          <w:p>
            <w:pPr>
              <w:adjustRightInd w:val="0"/>
              <w:snapToGrid w:val="0"/>
              <w:spacing w:line="360" w:lineRule="auto"/>
              <w:ind w:firstLine="480" w:firstLineChars="200"/>
              <w:rPr>
                <w:color w:val="auto"/>
                <w:sz w:val="24"/>
              </w:rPr>
            </w:pPr>
            <w:r>
              <w:rPr>
                <w:color w:val="auto"/>
                <w:sz w:val="24"/>
              </w:rPr>
              <w:t>根据本项目特点，确定本项目特征因子为总悬浮颗粒物。</w:t>
            </w:r>
          </w:p>
          <w:p>
            <w:pPr>
              <w:adjustRightInd w:val="0"/>
              <w:snapToGrid w:val="0"/>
              <w:spacing w:line="360" w:lineRule="auto"/>
              <w:ind w:firstLine="480" w:firstLineChars="200"/>
              <w:rPr>
                <w:color w:val="auto"/>
                <w:sz w:val="24"/>
              </w:rPr>
            </w:pPr>
            <w:r>
              <w:rPr>
                <w:color w:val="auto"/>
                <w:sz w:val="24"/>
              </w:rPr>
              <w:t>2）监测布点</w:t>
            </w:r>
          </w:p>
          <w:p>
            <w:pPr>
              <w:adjustRightInd w:val="0"/>
              <w:snapToGrid w:val="0"/>
              <w:spacing w:line="360" w:lineRule="auto"/>
              <w:ind w:firstLine="480" w:firstLineChars="200"/>
              <w:rPr>
                <w:rFonts w:hint="eastAsia" w:eastAsia="宋体"/>
                <w:color w:val="auto"/>
                <w:sz w:val="24"/>
                <w:lang w:eastAsia="zh-CN"/>
              </w:rPr>
            </w:pPr>
            <w:r>
              <w:rPr>
                <w:color w:val="auto"/>
                <w:sz w:val="24"/>
              </w:rPr>
              <w:t>监测点位：项目拟建地下风向东南面10m处</w:t>
            </w:r>
            <w:r>
              <w:rPr>
                <w:rFonts w:hint="eastAsia"/>
                <w:color w:val="auto"/>
                <w:sz w:val="24"/>
                <w:lang w:eastAsia="zh-CN"/>
              </w:rPr>
              <w:t>。</w:t>
            </w:r>
          </w:p>
          <w:p>
            <w:pPr>
              <w:adjustRightInd w:val="0"/>
              <w:snapToGrid w:val="0"/>
              <w:spacing w:line="360" w:lineRule="auto"/>
              <w:ind w:firstLine="480" w:firstLineChars="200"/>
              <w:rPr>
                <w:color w:val="auto"/>
                <w:sz w:val="24"/>
              </w:rPr>
            </w:pPr>
            <w:r>
              <w:rPr>
                <w:color w:val="auto"/>
                <w:sz w:val="24"/>
              </w:rPr>
              <w:t>3）监测采样周期、时段和频次</w:t>
            </w:r>
          </w:p>
          <w:p>
            <w:pPr>
              <w:adjustRightInd w:val="0"/>
              <w:snapToGrid w:val="0"/>
              <w:spacing w:line="360" w:lineRule="auto"/>
              <w:ind w:firstLine="480" w:firstLineChars="200"/>
              <w:rPr>
                <w:color w:val="auto"/>
                <w:sz w:val="24"/>
              </w:rPr>
            </w:pPr>
            <w:r>
              <w:rPr>
                <w:color w:val="auto"/>
                <w:sz w:val="24"/>
              </w:rPr>
              <w:t>监测时间及频率：2023年4月1日-2023年4月3日，每天1次，采样3天。</w:t>
            </w:r>
          </w:p>
          <w:p>
            <w:pPr>
              <w:adjustRightInd w:val="0"/>
              <w:snapToGrid w:val="0"/>
              <w:spacing w:line="360" w:lineRule="auto"/>
              <w:ind w:firstLine="480" w:firstLineChars="200"/>
              <w:rPr>
                <w:color w:val="auto"/>
                <w:sz w:val="24"/>
              </w:rPr>
            </w:pPr>
            <w:r>
              <w:rPr>
                <w:color w:val="auto"/>
                <w:sz w:val="24"/>
              </w:rPr>
              <w:t>4）评价标准</w:t>
            </w:r>
          </w:p>
          <w:p>
            <w:pPr>
              <w:adjustRightInd w:val="0"/>
              <w:snapToGrid w:val="0"/>
              <w:spacing w:line="360" w:lineRule="auto"/>
              <w:ind w:firstLine="480" w:firstLineChars="200"/>
              <w:rPr>
                <w:color w:val="auto"/>
                <w:sz w:val="24"/>
              </w:rPr>
            </w:pPr>
            <w:r>
              <w:rPr>
                <w:color w:val="auto"/>
                <w:sz w:val="24"/>
              </w:rPr>
              <w:t>总悬浮颗粒物执行《环境空气质量标准》（GB3095-2012）中二级标准。</w:t>
            </w:r>
          </w:p>
          <w:p>
            <w:pPr>
              <w:adjustRightInd w:val="0"/>
              <w:snapToGrid w:val="0"/>
              <w:spacing w:line="360" w:lineRule="auto"/>
              <w:ind w:firstLine="480" w:firstLineChars="200"/>
              <w:rPr>
                <w:color w:val="auto"/>
                <w:sz w:val="24"/>
              </w:rPr>
            </w:pPr>
            <w:r>
              <w:rPr>
                <w:color w:val="auto"/>
                <w:sz w:val="24"/>
              </w:rPr>
              <w:t>5）评价方法</w:t>
            </w:r>
          </w:p>
          <w:p>
            <w:pPr>
              <w:adjustRightInd w:val="0"/>
              <w:snapToGrid w:val="0"/>
              <w:spacing w:line="360" w:lineRule="auto"/>
              <w:ind w:firstLine="480" w:firstLineChars="200"/>
              <w:rPr>
                <w:color w:val="auto"/>
                <w:sz w:val="24"/>
              </w:rPr>
            </w:pPr>
            <w:r>
              <w:rPr>
                <w:color w:val="auto"/>
                <w:sz w:val="24"/>
              </w:rPr>
              <w:t>根据《环境影响评价技术导则—大气环境》（HJ2.2-2018），环境空气质量现状评价通过计算取值时间最大浓度值占相应标准浓度限值的百分比和超标率，来分析其达标情况，当取值时间最大浓度值占相应标准浓度限值的百分比大于或等于100%时，表明环境空气质量超标。计算公式如下：</w:t>
            </w:r>
          </w:p>
          <w:p>
            <w:pPr>
              <w:adjustRightInd w:val="0"/>
              <w:snapToGrid w:val="0"/>
              <w:spacing w:line="360" w:lineRule="auto"/>
              <w:jc w:val="center"/>
              <w:rPr>
                <w:color w:val="auto"/>
                <w:sz w:val="24"/>
              </w:rPr>
            </w:pPr>
            <w:r>
              <w:rPr>
                <w:color w:val="auto"/>
                <w:sz w:val="24"/>
              </w:rPr>
              <w:object>
                <v:shape id="_x0000_i1065" o:spt="75" type="#_x0000_t75" style="height:35.35pt;width:81pt;" o:ole="t" filled="f" o:preferrelative="t" stroked="f" coordsize="21600,21600">
                  <v:path/>
                  <v:fill on="f" focussize="0,0"/>
                  <v:stroke on="f" joinstyle="miter"/>
                  <v:imagedata r:id="rId54" o:title=""/>
                  <o:lock v:ext="edit" aspectratio="t"/>
                  <w10:wrap type="none"/>
                  <w10:anchorlock/>
                </v:shape>
                <o:OLEObject Type="Embed" ProgID="Equation.3" ShapeID="_x0000_i1065" DrawAspect="Content" ObjectID="_1468075726" r:id="rId53">
                  <o:LockedField>false</o:LockedField>
                </o:OLEObject>
              </w:object>
            </w:r>
          </w:p>
          <w:p>
            <w:pPr>
              <w:adjustRightInd w:val="0"/>
              <w:snapToGrid w:val="0"/>
              <w:spacing w:line="360" w:lineRule="auto"/>
              <w:ind w:firstLine="480" w:firstLineChars="200"/>
              <w:jc w:val="left"/>
              <w:rPr>
                <w:color w:val="auto"/>
                <w:sz w:val="24"/>
              </w:rPr>
            </w:pPr>
            <w:r>
              <w:rPr>
                <w:color w:val="auto"/>
                <w:sz w:val="24"/>
              </w:rPr>
              <w:t>式中：P</w:t>
            </w:r>
            <w:r>
              <w:rPr>
                <w:color w:val="auto"/>
                <w:sz w:val="24"/>
                <w:vertAlign w:val="subscript"/>
              </w:rPr>
              <w:t>i</w:t>
            </w:r>
            <w:r>
              <w:rPr>
                <w:color w:val="auto"/>
                <w:sz w:val="24"/>
              </w:rPr>
              <w:t>——第i个污染物的监测最大浓度占相应标准浓度限值的百分比，%；</w:t>
            </w:r>
          </w:p>
          <w:p>
            <w:pPr>
              <w:adjustRightInd w:val="0"/>
              <w:snapToGrid w:val="0"/>
              <w:spacing w:line="360" w:lineRule="auto"/>
              <w:jc w:val="left"/>
              <w:rPr>
                <w:color w:val="auto"/>
                <w:sz w:val="24"/>
              </w:rPr>
            </w:pPr>
            <w:r>
              <w:rPr>
                <w:color w:val="auto"/>
                <w:sz w:val="24"/>
              </w:rPr>
              <w:t xml:space="preserve">          C</w:t>
            </w:r>
            <w:r>
              <w:rPr>
                <w:color w:val="auto"/>
                <w:sz w:val="24"/>
                <w:vertAlign w:val="subscript"/>
              </w:rPr>
              <w:t>i</w:t>
            </w:r>
            <w:r>
              <w:rPr>
                <w:color w:val="auto"/>
                <w:sz w:val="24"/>
              </w:rPr>
              <w:t>——第i个污染物的监测浓度值，mg/m</w:t>
            </w:r>
            <w:r>
              <w:rPr>
                <w:color w:val="auto"/>
                <w:sz w:val="24"/>
                <w:vertAlign w:val="superscript"/>
              </w:rPr>
              <w:t>3</w:t>
            </w:r>
            <w:r>
              <w:rPr>
                <w:color w:val="auto"/>
                <w:sz w:val="24"/>
              </w:rPr>
              <w:t>；</w:t>
            </w:r>
          </w:p>
          <w:p>
            <w:pPr>
              <w:adjustRightInd w:val="0"/>
              <w:snapToGrid w:val="0"/>
              <w:spacing w:line="360" w:lineRule="auto"/>
              <w:ind w:firstLine="1200" w:firstLineChars="500"/>
              <w:jc w:val="left"/>
              <w:rPr>
                <w:color w:val="auto"/>
                <w:sz w:val="24"/>
              </w:rPr>
            </w:pPr>
            <w:r>
              <w:rPr>
                <w:color w:val="auto"/>
                <w:sz w:val="24"/>
              </w:rPr>
              <w:t>C</w:t>
            </w:r>
            <w:r>
              <w:rPr>
                <w:color w:val="auto"/>
                <w:sz w:val="24"/>
                <w:vertAlign w:val="subscript"/>
              </w:rPr>
              <w:t>0i</w:t>
            </w:r>
            <w:r>
              <w:rPr>
                <w:color w:val="auto"/>
                <w:sz w:val="24"/>
              </w:rPr>
              <w:t>——第i个污染物的环境空气质量标准，mg/m</w:t>
            </w:r>
            <w:r>
              <w:rPr>
                <w:color w:val="auto"/>
                <w:sz w:val="24"/>
                <w:vertAlign w:val="superscript"/>
              </w:rPr>
              <w:t>3</w:t>
            </w:r>
            <w:r>
              <w:rPr>
                <w:color w:val="auto"/>
                <w:sz w:val="24"/>
              </w:rPr>
              <w:t>。</w:t>
            </w:r>
          </w:p>
          <w:p>
            <w:pPr>
              <w:adjustRightInd w:val="0"/>
              <w:snapToGrid w:val="0"/>
              <w:spacing w:line="360" w:lineRule="auto"/>
              <w:ind w:firstLine="480" w:firstLineChars="200"/>
              <w:rPr>
                <w:bCs/>
                <w:color w:val="auto"/>
                <w:sz w:val="24"/>
              </w:rPr>
            </w:pPr>
            <w:r>
              <w:rPr>
                <w:color w:val="auto"/>
                <w:sz w:val="24"/>
              </w:rPr>
              <w:t>6）监测结果</w:t>
            </w:r>
          </w:p>
          <w:p>
            <w:pPr>
              <w:widowControl/>
              <w:adjustRightInd w:val="0"/>
              <w:snapToGrid w:val="0"/>
              <w:spacing w:line="360" w:lineRule="auto"/>
              <w:ind w:right="113" w:firstLine="482" w:firstLineChars="200"/>
              <w:jc w:val="center"/>
              <w:rPr>
                <w:b/>
                <w:color w:val="auto"/>
                <w:kern w:val="0"/>
                <w:szCs w:val="21"/>
              </w:rPr>
            </w:pPr>
            <w:r>
              <w:rPr>
                <w:b/>
                <w:color w:val="auto"/>
                <w:kern w:val="0"/>
                <w:szCs w:val="21"/>
              </w:rPr>
              <w:t>表3-2  环境空气检测结果表</w:t>
            </w:r>
          </w:p>
          <w:tbl>
            <w:tblPr>
              <w:tblStyle w:val="41"/>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790"/>
              <w:gridCol w:w="1622"/>
              <w:gridCol w:w="3222"/>
              <w:gridCol w:w="225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38" w:hRule="atLeast"/>
                <w:tblHeader/>
                <w:jc w:val="center"/>
              </w:trPr>
              <w:tc>
                <w:tcPr>
                  <w:tcW w:w="3730" w:type="pct"/>
                  <w:gridSpan w:val="3"/>
                  <w:vAlign w:val="center"/>
                </w:tcPr>
                <w:p>
                  <w:pPr>
                    <w:widowControl/>
                    <w:adjustRightInd w:val="0"/>
                    <w:snapToGrid w:val="0"/>
                    <w:jc w:val="right"/>
                    <w:rPr>
                      <w:b/>
                      <w:bCs/>
                      <w:color w:val="auto"/>
                      <w:szCs w:val="21"/>
                    </w:rPr>
                  </w:pPr>
                  <w:r>
                    <w:rPr>
                      <w:b/>
                      <w:bCs/>
                      <w:color w:val="auto"/>
                      <w:szCs w:val="21"/>
                    </w:rPr>
                    <mc:AlternateContent>
                      <mc:Choice Requires="wps">
                        <w:drawing>
                          <wp:anchor distT="0" distB="0" distL="114300" distR="114300" simplePos="0" relativeHeight="251665408" behindDoc="0" locked="0" layoutInCell="1" allowOverlap="1">
                            <wp:simplePos x="0" y="0"/>
                            <wp:positionH relativeFrom="column">
                              <wp:posOffset>-52705</wp:posOffset>
                            </wp:positionH>
                            <wp:positionV relativeFrom="paragraph">
                              <wp:posOffset>47625</wp:posOffset>
                            </wp:positionV>
                            <wp:extent cx="4229735" cy="292100"/>
                            <wp:effectExtent l="635" t="4445" r="17780" b="8255"/>
                            <wp:wrapNone/>
                            <wp:docPr id="183" name="直接连接符 183"/>
                            <wp:cNvGraphicFramePr/>
                            <a:graphic xmlns:a="http://schemas.openxmlformats.org/drawingml/2006/main">
                              <a:graphicData uri="http://schemas.microsoft.com/office/word/2010/wordprocessingShape">
                                <wps:wsp>
                                  <wps:cNvCnPr/>
                                  <wps:spPr>
                                    <a:xfrm>
                                      <a:off x="0" y="0"/>
                                      <a:ext cx="4229735" cy="292100"/>
                                    </a:xfrm>
                                    <a:prstGeom prst="line">
                                      <a:avLst/>
                                    </a:prstGeom>
                                    <a:ln w="6350"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4.15pt;margin-top:3.75pt;height:23pt;width:333.05pt;z-index:251665408;mso-width-relative:page;mso-height-relative:page;" coordsize="21600,21600" o:gfxdata="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KfOBY1AAAAAcBAAAPAAAAAAAAAAEAIAAAACIAAABkcnMvZG93bnJldi54bWxQ&#10;SwECFAAUAAAACACHTuJAUVbsG/sBAADvAwAADgAAAAAAAAABACAAAAAjAQAAZHJzL2Uyb0RvYy54&#10;bWxQSwUGAAAAAAYABgBZAQAAkAUAAAAA&#10;">
                            <v:path arrowok="t"/>
                            <v:fill focussize="0,0"/>
                            <v:stroke weight="0.5pt"/>
                            <v:imagedata o:title=""/>
                            <o:lock v:ext="edit"/>
                          </v:line>
                        </w:pict>
                      </mc:Fallback>
                    </mc:AlternateContent>
                  </w:r>
                  <w:r>
                    <w:rPr>
                      <w:b/>
                      <w:bCs/>
                      <w:color w:val="auto"/>
                      <w:kern w:val="0"/>
                      <w:szCs w:val="21"/>
                    </w:rPr>
                    <w:t xml:space="preserve">           次数及结果值</w:t>
                  </w:r>
                </w:p>
                <w:p>
                  <w:pPr>
                    <w:widowControl/>
                    <w:adjustRightInd w:val="0"/>
                    <w:snapToGrid w:val="0"/>
                    <w:jc w:val="left"/>
                    <w:rPr>
                      <w:b/>
                      <w:bCs/>
                      <w:color w:val="auto"/>
                      <w:kern w:val="0"/>
                      <w:szCs w:val="21"/>
                    </w:rPr>
                  </w:pPr>
                  <w:r>
                    <w:rPr>
                      <w:b/>
                      <w:bCs/>
                      <w:color w:val="auto"/>
                      <w:kern w:val="0"/>
                      <w:szCs w:val="21"/>
                    </w:rPr>
                    <w:t>项目、点位、日期</w:t>
                  </w:r>
                </w:p>
              </w:tc>
              <w:tc>
                <w:tcPr>
                  <w:tcW w:w="1269" w:type="pct"/>
                  <w:vAlign w:val="center"/>
                </w:tcPr>
                <w:p>
                  <w:pPr>
                    <w:widowControl/>
                    <w:adjustRightInd w:val="0"/>
                    <w:snapToGrid w:val="0"/>
                    <w:ind w:left="-120" w:leftChars="-50" w:right="-120" w:rightChars="-50"/>
                    <w:jc w:val="center"/>
                    <w:rPr>
                      <w:b/>
                      <w:bCs/>
                      <w:color w:val="auto"/>
                      <w:kern w:val="0"/>
                      <w:szCs w:val="21"/>
                    </w:rPr>
                  </w:pPr>
                  <w:r>
                    <w:rPr>
                      <w:b/>
                      <w:bCs/>
                      <w:color w:val="auto"/>
                      <w:kern w:val="0"/>
                      <w:szCs w:val="21"/>
                    </w:rPr>
                    <w:t>检测结果</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72" w:hRule="atLeast"/>
                <w:jc w:val="center"/>
              </w:trPr>
              <w:tc>
                <w:tcPr>
                  <w:tcW w:w="1006" w:type="pct"/>
                  <w:vMerge w:val="restart"/>
                  <w:vAlign w:val="center"/>
                </w:tcPr>
                <w:p>
                  <w:pPr>
                    <w:adjustRightInd w:val="0"/>
                    <w:snapToGrid w:val="0"/>
                    <w:jc w:val="center"/>
                    <w:rPr>
                      <w:color w:val="auto"/>
                      <w:szCs w:val="21"/>
                    </w:rPr>
                  </w:pPr>
                  <w:r>
                    <w:rPr>
                      <w:color w:val="auto"/>
                      <w:kern w:val="0"/>
                      <w:szCs w:val="21"/>
                    </w:rPr>
                    <w:t>总悬浮颗粒物（mg</w:t>
                  </w:r>
                  <w:r>
                    <w:rPr>
                      <w:bCs/>
                      <w:color w:val="auto"/>
                      <w:szCs w:val="21"/>
                    </w:rPr>
                    <w:t>/m</w:t>
                  </w:r>
                  <w:r>
                    <w:rPr>
                      <w:bCs/>
                      <w:color w:val="auto"/>
                      <w:szCs w:val="21"/>
                      <w:vertAlign w:val="superscript"/>
                    </w:rPr>
                    <w:t>3</w:t>
                  </w:r>
                  <w:r>
                    <w:rPr>
                      <w:color w:val="auto"/>
                      <w:kern w:val="0"/>
                      <w:szCs w:val="21"/>
                    </w:rPr>
                    <w:t>）</w:t>
                  </w:r>
                </w:p>
              </w:tc>
              <w:tc>
                <w:tcPr>
                  <w:tcW w:w="912" w:type="pct"/>
                  <w:vMerge w:val="restart"/>
                  <w:vAlign w:val="center"/>
                </w:tcPr>
                <w:p>
                  <w:pPr>
                    <w:adjustRightInd w:val="0"/>
                    <w:snapToGrid w:val="0"/>
                    <w:jc w:val="center"/>
                    <w:rPr>
                      <w:color w:val="auto"/>
                      <w:szCs w:val="21"/>
                    </w:rPr>
                  </w:pPr>
                  <w:r>
                    <w:rPr>
                      <w:color w:val="auto"/>
                      <w:szCs w:val="21"/>
                    </w:rPr>
                    <w:t>项目拟建地下风向东南面10m处</w:t>
                  </w:r>
                </w:p>
              </w:tc>
              <w:tc>
                <w:tcPr>
                  <w:tcW w:w="3223" w:type="dxa"/>
                  <w:vAlign w:val="center"/>
                </w:tcPr>
                <w:p>
                  <w:pPr>
                    <w:ind w:left="-50" w:right="-120" w:rightChars="-50"/>
                    <w:jc w:val="center"/>
                    <w:rPr>
                      <w:color w:val="auto"/>
                      <w:szCs w:val="21"/>
                    </w:rPr>
                  </w:pPr>
                  <w:r>
                    <w:rPr>
                      <w:color w:val="auto"/>
                      <w:szCs w:val="21"/>
                    </w:rPr>
                    <w:t>2023.04.01（17:07~次日17:07）</w:t>
                  </w:r>
                </w:p>
              </w:tc>
              <w:tc>
                <w:tcPr>
                  <w:tcW w:w="1269" w:type="pct"/>
                  <w:vAlign w:val="center"/>
                </w:tcPr>
                <w:p>
                  <w:pPr>
                    <w:jc w:val="center"/>
                    <w:rPr>
                      <w:color w:val="auto"/>
                      <w:kern w:val="0"/>
                      <w:szCs w:val="21"/>
                    </w:rPr>
                  </w:pPr>
                  <w:r>
                    <w:rPr>
                      <w:color w:val="auto"/>
                      <w:szCs w:val="21"/>
                    </w:rPr>
                    <w:t>0.026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72" w:hRule="atLeast"/>
                <w:jc w:val="center"/>
              </w:trPr>
              <w:tc>
                <w:tcPr>
                  <w:tcW w:w="1006" w:type="pct"/>
                  <w:vMerge w:val="continue"/>
                  <w:vAlign w:val="center"/>
                </w:tcPr>
                <w:p>
                  <w:pPr>
                    <w:widowControl/>
                    <w:adjustRightInd w:val="0"/>
                    <w:snapToGrid w:val="0"/>
                    <w:ind w:left="-120" w:leftChars="-50" w:right="-120" w:rightChars="-50"/>
                    <w:jc w:val="center"/>
                    <w:rPr>
                      <w:color w:val="auto"/>
                      <w:szCs w:val="21"/>
                    </w:rPr>
                  </w:pPr>
                </w:p>
              </w:tc>
              <w:tc>
                <w:tcPr>
                  <w:tcW w:w="912" w:type="pct"/>
                  <w:vMerge w:val="continue"/>
                  <w:vAlign w:val="center"/>
                </w:tcPr>
                <w:p>
                  <w:pPr>
                    <w:adjustRightInd w:val="0"/>
                    <w:snapToGrid w:val="0"/>
                    <w:jc w:val="center"/>
                    <w:rPr>
                      <w:color w:val="auto"/>
                      <w:szCs w:val="21"/>
                    </w:rPr>
                  </w:pPr>
                </w:p>
              </w:tc>
              <w:tc>
                <w:tcPr>
                  <w:tcW w:w="3223" w:type="dxa"/>
                  <w:vAlign w:val="center"/>
                </w:tcPr>
                <w:p>
                  <w:pPr>
                    <w:ind w:left="-50" w:right="-120" w:rightChars="-50"/>
                    <w:jc w:val="center"/>
                    <w:rPr>
                      <w:color w:val="auto"/>
                      <w:szCs w:val="21"/>
                    </w:rPr>
                  </w:pPr>
                  <w:r>
                    <w:rPr>
                      <w:color w:val="auto"/>
                      <w:szCs w:val="21"/>
                    </w:rPr>
                    <w:t>2023.04.02（17:07~次日17:07）</w:t>
                  </w:r>
                </w:p>
              </w:tc>
              <w:tc>
                <w:tcPr>
                  <w:tcW w:w="1269" w:type="pct"/>
                  <w:vAlign w:val="center"/>
                </w:tcPr>
                <w:p>
                  <w:pPr>
                    <w:jc w:val="center"/>
                    <w:rPr>
                      <w:color w:val="auto"/>
                      <w:kern w:val="0"/>
                      <w:szCs w:val="21"/>
                    </w:rPr>
                  </w:pPr>
                  <w:r>
                    <w:rPr>
                      <w:color w:val="auto"/>
                      <w:szCs w:val="21"/>
                    </w:rPr>
                    <w:t>0.092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72" w:hRule="atLeast"/>
                <w:jc w:val="center"/>
              </w:trPr>
              <w:tc>
                <w:tcPr>
                  <w:tcW w:w="1006" w:type="pct"/>
                  <w:vMerge w:val="continue"/>
                  <w:vAlign w:val="center"/>
                </w:tcPr>
                <w:p>
                  <w:pPr>
                    <w:widowControl/>
                    <w:adjustRightInd w:val="0"/>
                    <w:snapToGrid w:val="0"/>
                    <w:ind w:left="-120" w:leftChars="-50" w:right="-120" w:rightChars="-50"/>
                    <w:jc w:val="center"/>
                    <w:rPr>
                      <w:color w:val="auto"/>
                      <w:szCs w:val="21"/>
                    </w:rPr>
                  </w:pPr>
                </w:p>
              </w:tc>
              <w:tc>
                <w:tcPr>
                  <w:tcW w:w="912" w:type="pct"/>
                  <w:vMerge w:val="continue"/>
                  <w:vAlign w:val="center"/>
                </w:tcPr>
                <w:p>
                  <w:pPr>
                    <w:adjustRightInd w:val="0"/>
                    <w:snapToGrid w:val="0"/>
                    <w:jc w:val="center"/>
                    <w:rPr>
                      <w:color w:val="auto"/>
                      <w:szCs w:val="21"/>
                    </w:rPr>
                  </w:pPr>
                </w:p>
              </w:tc>
              <w:tc>
                <w:tcPr>
                  <w:tcW w:w="3223" w:type="dxa"/>
                  <w:vAlign w:val="center"/>
                </w:tcPr>
                <w:p>
                  <w:pPr>
                    <w:ind w:left="-50" w:right="-120" w:rightChars="-50"/>
                    <w:jc w:val="center"/>
                    <w:rPr>
                      <w:color w:val="auto"/>
                      <w:szCs w:val="21"/>
                    </w:rPr>
                  </w:pPr>
                  <w:r>
                    <w:rPr>
                      <w:color w:val="auto"/>
                      <w:szCs w:val="21"/>
                    </w:rPr>
                    <w:t>2023.04.03（17:07~次日17:07）</w:t>
                  </w:r>
                </w:p>
              </w:tc>
              <w:tc>
                <w:tcPr>
                  <w:tcW w:w="1269" w:type="pct"/>
                  <w:vAlign w:val="center"/>
                </w:tcPr>
                <w:p>
                  <w:pPr>
                    <w:spacing w:line="300" w:lineRule="exact"/>
                    <w:jc w:val="center"/>
                    <w:rPr>
                      <w:color w:val="auto"/>
                      <w:kern w:val="0"/>
                      <w:szCs w:val="21"/>
                    </w:rPr>
                  </w:pPr>
                  <w:r>
                    <w:rPr>
                      <w:color w:val="auto"/>
                      <w:szCs w:val="21"/>
                    </w:rPr>
                    <w:t>0.040</w:t>
                  </w:r>
                </w:p>
              </w:tc>
            </w:tr>
          </w:tbl>
          <w:p>
            <w:pPr>
              <w:adjustRightInd w:val="0"/>
              <w:snapToGrid w:val="0"/>
              <w:spacing w:line="360" w:lineRule="auto"/>
              <w:ind w:firstLine="480" w:firstLineChars="200"/>
              <w:rPr>
                <w:color w:val="auto"/>
                <w:sz w:val="24"/>
              </w:rPr>
            </w:pPr>
            <w:r>
              <w:rPr>
                <w:color w:val="auto"/>
                <w:sz w:val="24"/>
              </w:rPr>
              <w:t>7）环境空气质量评价结果</w:t>
            </w:r>
          </w:p>
          <w:p>
            <w:pPr>
              <w:adjustRightInd w:val="0"/>
              <w:snapToGrid w:val="0"/>
              <w:spacing w:line="360" w:lineRule="auto"/>
              <w:ind w:firstLine="480" w:firstLineChars="200"/>
              <w:rPr>
                <w:color w:val="auto"/>
                <w:sz w:val="24"/>
              </w:rPr>
            </w:pPr>
            <w:r>
              <w:rPr>
                <w:color w:val="auto"/>
                <w:sz w:val="24"/>
              </w:rPr>
              <w:t>本项目所在区域其他污染物环境质量现状评价成果见下表。</w:t>
            </w:r>
          </w:p>
          <w:p>
            <w:pPr>
              <w:adjustRightInd w:val="0"/>
              <w:snapToGrid w:val="0"/>
              <w:spacing w:line="360" w:lineRule="auto"/>
              <w:jc w:val="center"/>
              <w:rPr>
                <w:color w:val="auto"/>
                <w:sz w:val="24"/>
              </w:rPr>
            </w:pPr>
            <w:r>
              <w:rPr>
                <w:b/>
                <w:bCs/>
                <w:color w:val="auto"/>
              </w:rPr>
              <w:t>表3-3  其他污染物环境质量现状监测结果表</w:t>
            </w:r>
          </w:p>
          <w:tbl>
            <w:tblPr>
              <w:tblStyle w:val="41"/>
              <w:tblW w:w="4997"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163"/>
              <w:gridCol w:w="1271"/>
              <w:gridCol w:w="517"/>
              <w:gridCol w:w="725"/>
              <w:gridCol w:w="1582"/>
              <w:gridCol w:w="1049"/>
              <w:gridCol w:w="1027"/>
              <w:gridCol w:w="674"/>
              <w:gridCol w:w="880"/>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78" w:hRule="atLeast"/>
              </w:trPr>
              <w:tc>
                <w:tcPr>
                  <w:tcW w:w="653" w:type="pct"/>
                  <w:vAlign w:val="center"/>
                </w:tcPr>
                <w:p>
                  <w:pPr>
                    <w:ind w:left="-120" w:leftChars="-50" w:right="-120" w:rightChars="-50"/>
                    <w:jc w:val="center"/>
                    <w:rPr>
                      <w:b/>
                      <w:bCs/>
                      <w:color w:val="auto"/>
                      <w:szCs w:val="21"/>
                    </w:rPr>
                  </w:pPr>
                  <w:r>
                    <w:rPr>
                      <w:b/>
                      <w:bCs/>
                      <w:color w:val="auto"/>
                      <w:szCs w:val="21"/>
                    </w:rPr>
                    <w:t>采样点</w:t>
                  </w:r>
                </w:p>
              </w:tc>
              <w:tc>
                <w:tcPr>
                  <w:tcW w:w="714" w:type="pct"/>
                  <w:vAlign w:val="center"/>
                </w:tcPr>
                <w:p>
                  <w:pPr>
                    <w:ind w:left="-120" w:leftChars="-50" w:right="-120" w:rightChars="-50"/>
                    <w:jc w:val="center"/>
                    <w:rPr>
                      <w:b/>
                      <w:bCs/>
                      <w:color w:val="auto"/>
                      <w:szCs w:val="21"/>
                    </w:rPr>
                  </w:pPr>
                  <w:r>
                    <w:rPr>
                      <w:b/>
                      <w:bCs/>
                      <w:color w:val="auto"/>
                      <w:szCs w:val="21"/>
                    </w:rPr>
                    <w:t>监测</w:t>
                  </w:r>
                </w:p>
                <w:p>
                  <w:pPr>
                    <w:ind w:left="-120" w:leftChars="-50" w:right="-120" w:rightChars="-50"/>
                    <w:jc w:val="center"/>
                    <w:rPr>
                      <w:b/>
                      <w:bCs/>
                      <w:color w:val="auto"/>
                      <w:szCs w:val="21"/>
                    </w:rPr>
                  </w:pPr>
                  <w:r>
                    <w:rPr>
                      <w:b/>
                      <w:bCs/>
                      <w:color w:val="auto"/>
                      <w:szCs w:val="21"/>
                    </w:rPr>
                    <w:t>项目</w:t>
                  </w:r>
                </w:p>
              </w:tc>
              <w:tc>
                <w:tcPr>
                  <w:tcW w:w="291" w:type="pct"/>
                  <w:vAlign w:val="center"/>
                </w:tcPr>
                <w:p>
                  <w:pPr>
                    <w:ind w:left="-120" w:leftChars="-50" w:right="-120" w:rightChars="-50"/>
                    <w:jc w:val="center"/>
                    <w:rPr>
                      <w:b/>
                      <w:bCs/>
                      <w:color w:val="auto"/>
                      <w:szCs w:val="21"/>
                    </w:rPr>
                  </w:pPr>
                  <w:r>
                    <w:rPr>
                      <w:b/>
                      <w:bCs/>
                      <w:color w:val="auto"/>
                      <w:szCs w:val="21"/>
                    </w:rPr>
                    <w:t>采样</w:t>
                  </w:r>
                </w:p>
                <w:p>
                  <w:pPr>
                    <w:ind w:left="-120" w:leftChars="-50" w:right="-120" w:rightChars="-50"/>
                    <w:jc w:val="center"/>
                    <w:rPr>
                      <w:b/>
                      <w:bCs/>
                      <w:color w:val="auto"/>
                      <w:szCs w:val="21"/>
                    </w:rPr>
                  </w:pPr>
                  <w:r>
                    <w:rPr>
                      <w:b/>
                      <w:bCs/>
                      <w:color w:val="auto"/>
                      <w:szCs w:val="21"/>
                    </w:rPr>
                    <w:t>天数</w:t>
                  </w:r>
                </w:p>
              </w:tc>
              <w:tc>
                <w:tcPr>
                  <w:tcW w:w="408" w:type="pct"/>
                  <w:vAlign w:val="center"/>
                </w:tcPr>
                <w:p>
                  <w:pPr>
                    <w:ind w:left="-120" w:leftChars="-50" w:right="-120" w:rightChars="-50"/>
                    <w:jc w:val="center"/>
                    <w:rPr>
                      <w:b/>
                      <w:bCs/>
                      <w:color w:val="auto"/>
                      <w:szCs w:val="21"/>
                    </w:rPr>
                  </w:pPr>
                  <w:r>
                    <w:rPr>
                      <w:b/>
                      <w:bCs/>
                      <w:color w:val="auto"/>
                      <w:szCs w:val="21"/>
                    </w:rPr>
                    <w:t>样品数</w:t>
                  </w:r>
                </w:p>
              </w:tc>
              <w:tc>
                <w:tcPr>
                  <w:tcW w:w="889" w:type="pct"/>
                  <w:vAlign w:val="center"/>
                </w:tcPr>
                <w:p>
                  <w:pPr>
                    <w:ind w:left="-120" w:leftChars="-50" w:right="-120" w:rightChars="-50"/>
                    <w:jc w:val="center"/>
                    <w:rPr>
                      <w:b/>
                      <w:bCs/>
                      <w:color w:val="auto"/>
                      <w:szCs w:val="21"/>
                    </w:rPr>
                  </w:pPr>
                  <w:r>
                    <w:rPr>
                      <w:b/>
                      <w:bCs/>
                      <w:color w:val="auto"/>
                      <w:szCs w:val="21"/>
                    </w:rPr>
                    <w:t>浓度范围</w:t>
                  </w:r>
                </w:p>
                <w:p>
                  <w:pPr>
                    <w:ind w:left="-120" w:leftChars="-50" w:right="-120" w:rightChars="-50"/>
                    <w:jc w:val="center"/>
                    <w:rPr>
                      <w:b/>
                      <w:bCs/>
                      <w:color w:val="auto"/>
                      <w:szCs w:val="21"/>
                    </w:rPr>
                  </w:pPr>
                  <w:r>
                    <w:rPr>
                      <w:b/>
                      <w:bCs/>
                      <w:color w:val="auto"/>
                      <w:szCs w:val="21"/>
                    </w:rPr>
                    <w:t>（mg/m</w:t>
                  </w:r>
                  <w:r>
                    <w:rPr>
                      <w:b/>
                      <w:bCs/>
                      <w:color w:val="auto"/>
                      <w:szCs w:val="21"/>
                      <w:vertAlign w:val="superscript"/>
                    </w:rPr>
                    <w:t>3</w:t>
                  </w:r>
                  <w:r>
                    <w:rPr>
                      <w:b/>
                      <w:bCs/>
                      <w:color w:val="auto"/>
                      <w:szCs w:val="21"/>
                    </w:rPr>
                    <w:t>）</w:t>
                  </w:r>
                </w:p>
              </w:tc>
              <w:tc>
                <w:tcPr>
                  <w:tcW w:w="589" w:type="pct"/>
                  <w:vAlign w:val="center"/>
                </w:tcPr>
                <w:p>
                  <w:pPr>
                    <w:ind w:left="-120" w:leftChars="-50" w:right="-120" w:rightChars="-50"/>
                    <w:jc w:val="center"/>
                    <w:rPr>
                      <w:b/>
                      <w:bCs/>
                      <w:color w:val="auto"/>
                      <w:szCs w:val="21"/>
                    </w:rPr>
                  </w:pPr>
                  <w:r>
                    <w:rPr>
                      <w:b/>
                      <w:bCs/>
                      <w:color w:val="auto"/>
                      <w:szCs w:val="21"/>
                    </w:rPr>
                    <w:t>标准值（mg/m</w:t>
                  </w:r>
                  <w:r>
                    <w:rPr>
                      <w:b/>
                      <w:bCs/>
                      <w:color w:val="auto"/>
                      <w:szCs w:val="21"/>
                      <w:vertAlign w:val="superscript"/>
                    </w:rPr>
                    <w:t>3</w:t>
                  </w:r>
                  <w:r>
                    <w:rPr>
                      <w:b/>
                      <w:bCs/>
                      <w:color w:val="auto"/>
                      <w:szCs w:val="21"/>
                    </w:rPr>
                    <w:t>）</w:t>
                  </w:r>
                </w:p>
              </w:tc>
              <w:tc>
                <w:tcPr>
                  <w:tcW w:w="577" w:type="pct"/>
                  <w:vAlign w:val="center"/>
                </w:tcPr>
                <w:p>
                  <w:pPr>
                    <w:ind w:right="-120" w:rightChars="-50"/>
                    <w:jc w:val="center"/>
                    <w:rPr>
                      <w:b/>
                      <w:bCs/>
                      <w:color w:val="auto"/>
                      <w:szCs w:val="21"/>
                    </w:rPr>
                  </w:pPr>
                  <w:r>
                    <w:rPr>
                      <w:b/>
                      <w:bCs/>
                      <w:color w:val="auto"/>
                      <w:szCs w:val="21"/>
                    </w:rPr>
                    <w:t>最大浓度占标率%</w:t>
                  </w:r>
                </w:p>
              </w:tc>
              <w:tc>
                <w:tcPr>
                  <w:tcW w:w="379" w:type="pct"/>
                  <w:vAlign w:val="center"/>
                </w:tcPr>
                <w:p>
                  <w:pPr>
                    <w:ind w:left="-120" w:leftChars="-50" w:right="-120" w:rightChars="-50"/>
                    <w:jc w:val="center"/>
                    <w:rPr>
                      <w:b/>
                      <w:bCs/>
                      <w:color w:val="auto"/>
                      <w:szCs w:val="21"/>
                    </w:rPr>
                  </w:pPr>
                  <w:r>
                    <w:rPr>
                      <w:b/>
                      <w:bCs/>
                      <w:color w:val="auto"/>
                      <w:szCs w:val="21"/>
                    </w:rPr>
                    <w:t>超标率</w:t>
                  </w:r>
                </w:p>
                <w:p>
                  <w:pPr>
                    <w:ind w:left="-120" w:leftChars="-50" w:right="-120" w:rightChars="-50"/>
                    <w:jc w:val="center"/>
                    <w:rPr>
                      <w:b/>
                      <w:bCs/>
                      <w:color w:val="auto"/>
                      <w:szCs w:val="21"/>
                    </w:rPr>
                  </w:pPr>
                  <w:r>
                    <w:rPr>
                      <w:b/>
                      <w:bCs/>
                      <w:color w:val="auto"/>
                      <w:szCs w:val="21"/>
                    </w:rPr>
                    <w:t>%</w:t>
                  </w:r>
                </w:p>
              </w:tc>
              <w:tc>
                <w:tcPr>
                  <w:tcW w:w="494" w:type="pct"/>
                  <w:vAlign w:val="center"/>
                </w:tcPr>
                <w:p>
                  <w:pPr>
                    <w:ind w:left="-120" w:leftChars="-50" w:right="-120" w:rightChars="-50"/>
                    <w:jc w:val="center"/>
                    <w:rPr>
                      <w:b/>
                      <w:bCs/>
                      <w:color w:val="auto"/>
                      <w:szCs w:val="21"/>
                    </w:rPr>
                  </w:pPr>
                  <w:r>
                    <w:rPr>
                      <w:b/>
                      <w:bCs/>
                      <w:color w:val="auto"/>
                      <w:szCs w:val="21"/>
                    </w:rPr>
                    <w:t>是否达标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63" w:hRule="atLeast"/>
              </w:trPr>
              <w:tc>
                <w:tcPr>
                  <w:tcW w:w="653" w:type="pct"/>
                  <w:vAlign w:val="center"/>
                </w:tcPr>
                <w:p>
                  <w:pPr>
                    <w:ind w:left="-120" w:leftChars="-50" w:right="-120" w:rightChars="-50"/>
                    <w:jc w:val="center"/>
                    <w:rPr>
                      <w:color w:val="auto"/>
                      <w:szCs w:val="21"/>
                    </w:rPr>
                  </w:pPr>
                  <w:r>
                    <w:rPr>
                      <w:color w:val="auto"/>
                      <w:szCs w:val="21"/>
                    </w:rPr>
                    <w:t>项目拟建地下风向东南面10m处</w:t>
                  </w:r>
                </w:p>
              </w:tc>
              <w:tc>
                <w:tcPr>
                  <w:tcW w:w="714" w:type="pct"/>
                  <w:vAlign w:val="center"/>
                </w:tcPr>
                <w:p>
                  <w:pPr>
                    <w:ind w:left="-120" w:leftChars="-50" w:right="-120" w:rightChars="-50"/>
                    <w:jc w:val="center"/>
                    <w:rPr>
                      <w:color w:val="auto"/>
                      <w:szCs w:val="21"/>
                    </w:rPr>
                  </w:pPr>
                  <w:r>
                    <w:rPr>
                      <w:color w:val="auto"/>
                    </w:rPr>
                    <w:t>总悬浮颗粒物</w:t>
                  </w:r>
                </w:p>
              </w:tc>
              <w:tc>
                <w:tcPr>
                  <w:tcW w:w="291" w:type="pct"/>
                  <w:vAlign w:val="center"/>
                </w:tcPr>
                <w:p>
                  <w:pPr>
                    <w:jc w:val="center"/>
                    <w:rPr>
                      <w:color w:val="auto"/>
                      <w:szCs w:val="21"/>
                    </w:rPr>
                  </w:pPr>
                  <w:r>
                    <w:rPr>
                      <w:color w:val="auto"/>
                      <w:szCs w:val="21"/>
                    </w:rPr>
                    <w:t>3</w:t>
                  </w:r>
                </w:p>
              </w:tc>
              <w:tc>
                <w:tcPr>
                  <w:tcW w:w="408" w:type="pct"/>
                  <w:vAlign w:val="center"/>
                </w:tcPr>
                <w:p>
                  <w:pPr>
                    <w:ind w:left="-120" w:leftChars="-50" w:right="-120" w:rightChars="-50"/>
                    <w:jc w:val="center"/>
                    <w:rPr>
                      <w:color w:val="auto"/>
                      <w:szCs w:val="21"/>
                    </w:rPr>
                  </w:pPr>
                  <w:r>
                    <w:rPr>
                      <w:color w:val="auto"/>
                      <w:szCs w:val="21"/>
                    </w:rPr>
                    <w:t>3</w:t>
                  </w:r>
                </w:p>
              </w:tc>
              <w:tc>
                <w:tcPr>
                  <w:tcW w:w="889" w:type="pct"/>
                  <w:vAlign w:val="center"/>
                </w:tcPr>
                <w:p>
                  <w:pPr>
                    <w:ind w:left="-120" w:leftChars="-50" w:right="-120" w:rightChars="-50"/>
                    <w:jc w:val="center"/>
                    <w:rPr>
                      <w:color w:val="auto"/>
                      <w:szCs w:val="21"/>
                    </w:rPr>
                  </w:pPr>
                  <w:r>
                    <w:rPr>
                      <w:color w:val="auto"/>
                      <w:szCs w:val="21"/>
                    </w:rPr>
                    <w:t>0.026~0.092</w:t>
                  </w:r>
                </w:p>
              </w:tc>
              <w:tc>
                <w:tcPr>
                  <w:tcW w:w="589" w:type="pct"/>
                  <w:vAlign w:val="center"/>
                </w:tcPr>
                <w:p>
                  <w:pPr>
                    <w:ind w:left="-120" w:leftChars="-50" w:right="-120" w:rightChars="-50"/>
                    <w:jc w:val="center"/>
                    <w:rPr>
                      <w:color w:val="auto"/>
                      <w:szCs w:val="21"/>
                    </w:rPr>
                  </w:pPr>
                  <w:r>
                    <w:rPr>
                      <w:rFonts w:hint="eastAsia"/>
                      <w:color w:val="auto"/>
                      <w:szCs w:val="21"/>
                    </w:rPr>
                    <w:t>0.3</w:t>
                  </w:r>
                </w:p>
              </w:tc>
              <w:tc>
                <w:tcPr>
                  <w:tcW w:w="577" w:type="pct"/>
                  <w:vAlign w:val="center"/>
                </w:tcPr>
                <w:p>
                  <w:pPr>
                    <w:ind w:right="-120" w:rightChars="-50"/>
                    <w:jc w:val="center"/>
                    <w:rPr>
                      <w:color w:val="auto"/>
                      <w:szCs w:val="21"/>
                    </w:rPr>
                  </w:pPr>
                  <w:r>
                    <w:rPr>
                      <w:color w:val="auto"/>
                      <w:szCs w:val="21"/>
                    </w:rPr>
                    <w:t>31</w:t>
                  </w:r>
                </w:p>
              </w:tc>
              <w:tc>
                <w:tcPr>
                  <w:tcW w:w="379" w:type="pct"/>
                  <w:vAlign w:val="center"/>
                </w:tcPr>
                <w:p>
                  <w:pPr>
                    <w:ind w:left="-120" w:leftChars="-50" w:right="-120" w:rightChars="-50"/>
                    <w:jc w:val="center"/>
                    <w:rPr>
                      <w:color w:val="auto"/>
                      <w:szCs w:val="21"/>
                    </w:rPr>
                  </w:pPr>
                  <w:r>
                    <w:rPr>
                      <w:color w:val="auto"/>
                      <w:szCs w:val="21"/>
                    </w:rPr>
                    <w:t>0</w:t>
                  </w:r>
                </w:p>
              </w:tc>
              <w:tc>
                <w:tcPr>
                  <w:tcW w:w="494" w:type="pct"/>
                  <w:vAlign w:val="center"/>
                </w:tcPr>
                <w:p>
                  <w:pPr>
                    <w:ind w:left="-120" w:leftChars="-50" w:right="-120" w:rightChars="-50"/>
                    <w:jc w:val="center"/>
                    <w:rPr>
                      <w:color w:val="auto"/>
                      <w:szCs w:val="21"/>
                    </w:rPr>
                  </w:pPr>
                  <w:r>
                    <w:rPr>
                      <w:color w:val="auto"/>
                      <w:szCs w:val="21"/>
                    </w:rPr>
                    <w:t>达标</w:t>
                  </w:r>
                </w:p>
              </w:tc>
            </w:tr>
          </w:tbl>
          <w:p>
            <w:pPr>
              <w:adjustRightInd w:val="0"/>
              <w:snapToGrid w:val="0"/>
              <w:spacing w:line="360" w:lineRule="auto"/>
              <w:ind w:firstLine="480" w:firstLineChars="200"/>
              <w:rPr>
                <w:color w:val="auto"/>
                <w:kern w:val="0"/>
                <w:sz w:val="24"/>
              </w:rPr>
            </w:pPr>
            <w:r>
              <w:rPr>
                <w:color w:val="auto"/>
                <w:sz w:val="24"/>
              </w:rPr>
              <w:t>由上表可知，本项目所在区域总悬浮颗粒物现状值满足《环境空气质量标准》（GB3095-2012）中二级标准限值要求。项目所在地大气环境质量现状良好。</w:t>
            </w:r>
          </w:p>
          <w:p>
            <w:pPr>
              <w:widowControl/>
              <w:adjustRightInd w:val="0"/>
              <w:snapToGrid w:val="0"/>
              <w:spacing w:line="360" w:lineRule="auto"/>
              <w:ind w:firstLine="482" w:firstLineChars="200"/>
              <w:rPr>
                <w:b/>
                <w:bCs/>
                <w:color w:val="auto"/>
                <w:kern w:val="0"/>
                <w:sz w:val="24"/>
              </w:rPr>
            </w:pPr>
            <w:r>
              <w:rPr>
                <w:b/>
                <w:bCs/>
                <w:color w:val="auto"/>
                <w:kern w:val="0"/>
                <w:sz w:val="24"/>
              </w:rPr>
              <w:t>2、地表水环境质量现状评价</w:t>
            </w:r>
          </w:p>
          <w:p>
            <w:pPr>
              <w:adjustRightInd w:val="0"/>
              <w:snapToGrid w:val="0"/>
              <w:spacing w:line="360" w:lineRule="auto"/>
              <w:ind w:firstLine="480" w:firstLineChars="200"/>
              <w:jc w:val="left"/>
              <w:rPr>
                <w:color w:val="auto"/>
                <w:sz w:val="24"/>
                <w:lang w:val="zh-CN"/>
              </w:rPr>
            </w:pPr>
            <w:r>
              <w:rPr>
                <w:color w:val="auto"/>
                <w:sz w:val="24"/>
              </w:rPr>
              <w:t>根据《环境影响评价技术导则 地表水环境》（HJ2.3-2018），水环境质量现状调查应优先采用生态环境保护主管部门统一发布的水环境质量状况信息。本项目营运期无废水外排，</w:t>
            </w:r>
            <w:r>
              <w:rPr>
                <w:color w:val="auto"/>
                <w:sz w:val="24"/>
                <w:lang w:val="zh-CN"/>
              </w:rPr>
              <w:t>本次地表水环境质量引用乐山市生态环境局公布的《乐山市</w:t>
            </w:r>
            <w:r>
              <w:rPr>
                <w:color w:val="auto"/>
                <w:sz w:val="24"/>
              </w:rPr>
              <w:t>2023年2月</w:t>
            </w:r>
            <w:r>
              <w:rPr>
                <w:color w:val="auto"/>
                <w:sz w:val="24"/>
                <w:lang w:val="zh-CN"/>
              </w:rPr>
              <w:t>地表水水质质量月报》（</w:t>
            </w:r>
            <w:r>
              <w:rPr>
                <w:color w:val="auto"/>
                <w:sz w:val="24"/>
              </w:rPr>
              <w:t>http://ssthjj.leshan.gov.cn/shbj/szzlyb/202303/719581a83c3a4480bba583abda80e0af.shtml</w:t>
            </w:r>
            <w:r>
              <w:rPr>
                <w:color w:val="auto"/>
                <w:sz w:val="24"/>
                <w:lang w:val="zh-CN"/>
              </w:rPr>
              <w:t>），水质状况见下表：</w:t>
            </w:r>
          </w:p>
          <w:p>
            <w:pPr>
              <w:adjustRightInd w:val="0"/>
              <w:snapToGrid w:val="0"/>
              <w:spacing w:line="360" w:lineRule="auto"/>
              <w:jc w:val="center"/>
              <w:rPr>
                <w:color w:val="auto"/>
              </w:rPr>
            </w:pPr>
            <w:r>
              <w:rPr>
                <w:b/>
                <w:color w:val="auto"/>
                <w:szCs w:val="21"/>
              </w:rPr>
              <w:t>表3-4  地表水环境调查结果</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8"/>
              <w:gridCol w:w="1268"/>
              <w:gridCol w:w="1270"/>
              <w:gridCol w:w="1270"/>
              <w:gridCol w:w="1271"/>
              <w:gridCol w:w="1271"/>
              <w:gridCol w:w="12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pct"/>
                  <w:noWrap/>
                  <w:vAlign w:val="center"/>
                </w:tcPr>
                <w:p>
                  <w:pPr>
                    <w:adjustRightInd w:val="0"/>
                    <w:snapToGrid w:val="0"/>
                    <w:jc w:val="center"/>
                    <w:rPr>
                      <w:b/>
                      <w:bCs/>
                      <w:color w:val="auto"/>
                      <w:szCs w:val="21"/>
                    </w:rPr>
                  </w:pPr>
                  <w:r>
                    <w:rPr>
                      <w:b/>
                      <w:bCs/>
                      <w:color w:val="auto"/>
                      <w:szCs w:val="21"/>
                    </w:rPr>
                    <w:t>时间</w:t>
                  </w:r>
                </w:p>
              </w:tc>
              <w:tc>
                <w:tcPr>
                  <w:tcW w:w="713" w:type="pct"/>
                  <w:noWrap/>
                  <w:vAlign w:val="center"/>
                </w:tcPr>
                <w:p>
                  <w:pPr>
                    <w:adjustRightInd w:val="0"/>
                    <w:snapToGrid w:val="0"/>
                    <w:jc w:val="center"/>
                    <w:rPr>
                      <w:b/>
                      <w:bCs/>
                      <w:color w:val="auto"/>
                      <w:szCs w:val="21"/>
                    </w:rPr>
                  </w:pPr>
                  <w:r>
                    <w:rPr>
                      <w:b/>
                      <w:bCs/>
                      <w:color w:val="auto"/>
                      <w:szCs w:val="21"/>
                    </w:rPr>
                    <w:t>河流名称</w:t>
                  </w:r>
                </w:p>
              </w:tc>
              <w:tc>
                <w:tcPr>
                  <w:tcW w:w="714" w:type="pct"/>
                  <w:noWrap/>
                  <w:vAlign w:val="center"/>
                </w:tcPr>
                <w:p>
                  <w:pPr>
                    <w:adjustRightInd w:val="0"/>
                    <w:snapToGrid w:val="0"/>
                    <w:jc w:val="center"/>
                    <w:rPr>
                      <w:b/>
                      <w:bCs/>
                      <w:color w:val="auto"/>
                      <w:szCs w:val="21"/>
                    </w:rPr>
                  </w:pPr>
                  <w:r>
                    <w:rPr>
                      <w:b/>
                      <w:bCs/>
                      <w:color w:val="auto"/>
                      <w:szCs w:val="21"/>
                    </w:rPr>
                    <w:t>断面名称</w:t>
                  </w:r>
                </w:p>
              </w:tc>
              <w:tc>
                <w:tcPr>
                  <w:tcW w:w="714" w:type="pct"/>
                  <w:noWrap/>
                  <w:vAlign w:val="center"/>
                </w:tcPr>
                <w:p>
                  <w:pPr>
                    <w:adjustRightInd w:val="0"/>
                    <w:snapToGrid w:val="0"/>
                    <w:jc w:val="center"/>
                    <w:rPr>
                      <w:b/>
                      <w:bCs/>
                      <w:color w:val="auto"/>
                      <w:szCs w:val="21"/>
                    </w:rPr>
                  </w:pPr>
                  <w:r>
                    <w:rPr>
                      <w:b/>
                      <w:bCs/>
                      <w:color w:val="auto"/>
                      <w:szCs w:val="21"/>
                    </w:rPr>
                    <w:t>考核级别</w:t>
                  </w:r>
                </w:p>
              </w:tc>
              <w:tc>
                <w:tcPr>
                  <w:tcW w:w="714" w:type="pct"/>
                  <w:noWrap/>
                  <w:vAlign w:val="center"/>
                </w:tcPr>
                <w:p>
                  <w:pPr>
                    <w:adjustRightInd w:val="0"/>
                    <w:snapToGrid w:val="0"/>
                    <w:jc w:val="center"/>
                    <w:rPr>
                      <w:b/>
                      <w:bCs/>
                      <w:color w:val="auto"/>
                      <w:szCs w:val="21"/>
                    </w:rPr>
                  </w:pPr>
                  <w:r>
                    <w:rPr>
                      <w:b/>
                      <w:bCs/>
                      <w:color w:val="auto"/>
                      <w:szCs w:val="21"/>
                    </w:rPr>
                    <w:t>实测类别</w:t>
                  </w:r>
                </w:p>
              </w:tc>
              <w:tc>
                <w:tcPr>
                  <w:tcW w:w="714" w:type="pct"/>
                  <w:noWrap/>
                  <w:vAlign w:val="center"/>
                </w:tcPr>
                <w:p>
                  <w:pPr>
                    <w:adjustRightInd w:val="0"/>
                    <w:snapToGrid w:val="0"/>
                    <w:jc w:val="center"/>
                    <w:rPr>
                      <w:b/>
                      <w:bCs/>
                      <w:color w:val="auto"/>
                      <w:szCs w:val="21"/>
                    </w:rPr>
                  </w:pPr>
                  <w:r>
                    <w:rPr>
                      <w:b/>
                      <w:bCs/>
                      <w:color w:val="auto"/>
                      <w:szCs w:val="21"/>
                    </w:rPr>
                    <w:t>是否达标</w:t>
                  </w:r>
                </w:p>
              </w:tc>
              <w:tc>
                <w:tcPr>
                  <w:tcW w:w="714" w:type="pct"/>
                  <w:noWrap/>
                  <w:vAlign w:val="center"/>
                </w:tcPr>
                <w:p>
                  <w:pPr>
                    <w:adjustRightInd w:val="0"/>
                    <w:snapToGrid w:val="0"/>
                    <w:jc w:val="center"/>
                    <w:rPr>
                      <w:b/>
                      <w:bCs/>
                      <w:color w:val="auto"/>
                      <w:szCs w:val="21"/>
                    </w:rPr>
                  </w:pPr>
                  <w:r>
                    <w:rPr>
                      <w:b/>
                      <w:bCs/>
                      <w:color w:val="auto"/>
                      <w:szCs w:val="21"/>
                    </w:rPr>
                    <w:t>主要污染指标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pct"/>
                  <w:vMerge w:val="restart"/>
                  <w:noWrap/>
                  <w:vAlign w:val="center"/>
                </w:tcPr>
                <w:p>
                  <w:pPr>
                    <w:adjustRightInd w:val="0"/>
                    <w:snapToGrid w:val="0"/>
                    <w:jc w:val="center"/>
                    <w:rPr>
                      <w:color w:val="auto"/>
                      <w:szCs w:val="21"/>
                    </w:rPr>
                  </w:pPr>
                  <w:r>
                    <w:rPr>
                      <w:color w:val="auto"/>
                      <w:szCs w:val="21"/>
                    </w:rPr>
                    <w:t>2023.2</w:t>
                  </w:r>
                </w:p>
              </w:tc>
              <w:tc>
                <w:tcPr>
                  <w:tcW w:w="713" w:type="pct"/>
                  <w:noWrap/>
                  <w:vAlign w:val="center"/>
                </w:tcPr>
                <w:p>
                  <w:pPr>
                    <w:adjustRightInd w:val="0"/>
                    <w:snapToGrid w:val="0"/>
                    <w:jc w:val="center"/>
                    <w:rPr>
                      <w:color w:val="auto"/>
                      <w:szCs w:val="21"/>
                    </w:rPr>
                  </w:pPr>
                  <w:r>
                    <w:rPr>
                      <w:color w:val="auto"/>
                      <w:szCs w:val="21"/>
                    </w:rPr>
                    <w:t>岷江</w:t>
                  </w:r>
                </w:p>
              </w:tc>
              <w:tc>
                <w:tcPr>
                  <w:tcW w:w="714" w:type="pct"/>
                  <w:noWrap/>
                  <w:vAlign w:val="center"/>
                </w:tcPr>
                <w:p>
                  <w:pPr>
                    <w:adjustRightInd w:val="0"/>
                    <w:snapToGrid w:val="0"/>
                    <w:jc w:val="center"/>
                    <w:rPr>
                      <w:color w:val="auto"/>
                      <w:szCs w:val="21"/>
                    </w:rPr>
                  </w:pPr>
                  <w:r>
                    <w:rPr>
                      <w:color w:val="auto"/>
                      <w:szCs w:val="21"/>
                    </w:rPr>
                    <w:t>月波</w:t>
                  </w:r>
                </w:p>
              </w:tc>
              <w:tc>
                <w:tcPr>
                  <w:tcW w:w="714" w:type="pct"/>
                  <w:noWrap/>
                  <w:vAlign w:val="center"/>
                </w:tcPr>
                <w:p>
                  <w:pPr>
                    <w:adjustRightInd w:val="0"/>
                    <w:snapToGrid w:val="0"/>
                    <w:jc w:val="center"/>
                    <w:rPr>
                      <w:color w:val="auto"/>
                      <w:szCs w:val="21"/>
                    </w:rPr>
                  </w:pPr>
                  <w:r>
                    <w:rPr>
                      <w:color w:val="auto"/>
                      <w:szCs w:val="21"/>
                    </w:rPr>
                    <w:t>国考</w:t>
                  </w:r>
                </w:p>
              </w:tc>
              <w:tc>
                <w:tcPr>
                  <w:tcW w:w="714" w:type="pct"/>
                  <w:noWrap/>
                  <w:vAlign w:val="center"/>
                </w:tcPr>
                <w:p>
                  <w:pPr>
                    <w:adjustRightInd w:val="0"/>
                    <w:snapToGrid w:val="0"/>
                    <w:jc w:val="center"/>
                    <w:rPr>
                      <w:color w:val="auto"/>
                      <w:szCs w:val="21"/>
                    </w:rPr>
                  </w:pPr>
                  <w:r>
                    <w:rPr>
                      <w:color w:val="auto"/>
                      <w:szCs w:val="21"/>
                      <w:lang w:val="zh-CN"/>
                    </w:rPr>
                    <w:t>Ⅱ</w:t>
                  </w:r>
                </w:p>
              </w:tc>
              <w:tc>
                <w:tcPr>
                  <w:tcW w:w="714" w:type="pct"/>
                  <w:noWrap/>
                  <w:vAlign w:val="center"/>
                </w:tcPr>
                <w:p>
                  <w:pPr>
                    <w:adjustRightInd w:val="0"/>
                    <w:snapToGrid w:val="0"/>
                    <w:jc w:val="center"/>
                    <w:rPr>
                      <w:color w:val="auto"/>
                      <w:szCs w:val="21"/>
                    </w:rPr>
                  </w:pPr>
                  <w:r>
                    <w:rPr>
                      <w:color w:val="auto"/>
                      <w:szCs w:val="21"/>
                    </w:rPr>
                    <w:t>是</w:t>
                  </w:r>
                </w:p>
              </w:tc>
              <w:tc>
                <w:tcPr>
                  <w:tcW w:w="714" w:type="pct"/>
                  <w:noWrap/>
                  <w:vAlign w:val="center"/>
                </w:tcPr>
                <w:p>
                  <w:pPr>
                    <w:adjustRightInd w:val="0"/>
                    <w:snapToGrid w:val="0"/>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pct"/>
                  <w:vMerge w:val="continue"/>
                  <w:noWrap/>
                  <w:vAlign w:val="center"/>
                </w:tcPr>
                <w:p>
                  <w:pPr>
                    <w:adjustRightInd w:val="0"/>
                    <w:snapToGrid w:val="0"/>
                    <w:jc w:val="center"/>
                    <w:rPr>
                      <w:color w:val="auto"/>
                      <w:szCs w:val="21"/>
                    </w:rPr>
                  </w:pPr>
                </w:p>
              </w:tc>
              <w:tc>
                <w:tcPr>
                  <w:tcW w:w="713" w:type="pct"/>
                  <w:noWrap/>
                  <w:vAlign w:val="center"/>
                </w:tcPr>
                <w:p>
                  <w:pPr>
                    <w:adjustRightInd w:val="0"/>
                    <w:snapToGrid w:val="0"/>
                    <w:jc w:val="center"/>
                    <w:rPr>
                      <w:color w:val="auto"/>
                      <w:szCs w:val="21"/>
                    </w:rPr>
                  </w:pPr>
                  <w:r>
                    <w:rPr>
                      <w:color w:val="auto"/>
                      <w:szCs w:val="21"/>
                    </w:rPr>
                    <w:t>岷江</w:t>
                  </w:r>
                </w:p>
              </w:tc>
              <w:tc>
                <w:tcPr>
                  <w:tcW w:w="714" w:type="pct"/>
                  <w:noWrap/>
                  <w:vAlign w:val="center"/>
                </w:tcPr>
                <w:p>
                  <w:pPr>
                    <w:adjustRightInd w:val="0"/>
                    <w:snapToGrid w:val="0"/>
                    <w:jc w:val="center"/>
                    <w:rPr>
                      <w:color w:val="auto"/>
                      <w:szCs w:val="21"/>
                    </w:rPr>
                  </w:pPr>
                  <w:r>
                    <w:rPr>
                      <w:color w:val="auto"/>
                      <w:szCs w:val="21"/>
                    </w:rPr>
                    <w:t>岷江青衣坝</w:t>
                  </w:r>
                </w:p>
              </w:tc>
              <w:tc>
                <w:tcPr>
                  <w:tcW w:w="714" w:type="pct"/>
                  <w:noWrap/>
                  <w:vAlign w:val="center"/>
                </w:tcPr>
                <w:p>
                  <w:pPr>
                    <w:adjustRightInd w:val="0"/>
                    <w:snapToGrid w:val="0"/>
                    <w:jc w:val="center"/>
                    <w:rPr>
                      <w:color w:val="auto"/>
                      <w:szCs w:val="21"/>
                    </w:rPr>
                  </w:pPr>
                  <w:r>
                    <w:rPr>
                      <w:color w:val="auto"/>
                      <w:szCs w:val="21"/>
                    </w:rPr>
                    <w:t>国考</w:t>
                  </w:r>
                </w:p>
              </w:tc>
              <w:tc>
                <w:tcPr>
                  <w:tcW w:w="714" w:type="pct"/>
                  <w:noWrap/>
                  <w:vAlign w:val="center"/>
                </w:tcPr>
                <w:p>
                  <w:pPr>
                    <w:adjustRightInd w:val="0"/>
                    <w:snapToGrid w:val="0"/>
                    <w:jc w:val="center"/>
                    <w:rPr>
                      <w:color w:val="auto"/>
                      <w:szCs w:val="21"/>
                    </w:rPr>
                  </w:pPr>
                  <w:r>
                    <w:rPr>
                      <w:color w:val="auto"/>
                      <w:szCs w:val="21"/>
                      <w:lang w:val="zh-CN"/>
                    </w:rPr>
                    <w:t>Ⅱ</w:t>
                  </w:r>
                </w:p>
              </w:tc>
              <w:tc>
                <w:tcPr>
                  <w:tcW w:w="714" w:type="pct"/>
                  <w:noWrap/>
                  <w:vAlign w:val="center"/>
                </w:tcPr>
                <w:p>
                  <w:pPr>
                    <w:adjustRightInd w:val="0"/>
                    <w:snapToGrid w:val="0"/>
                    <w:jc w:val="center"/>
                    <w:rPr>
                      <w:color w:val="auto"/>
                      <w:szCs w:val="21"/>
                    </w:rPr>
                  </w:pPr>
                  <w:r>
                    <w:rPr>
                      <w:color w:val="auto"/>
                      <w:szCs w:val="21"/>
                    </w:rPr>
                    <w:t>是</w:t>
                  </w:r>
                </w:p>
              </w:tc>
              <w:tc>
                <w:tcPr>
                  <w:tcW w:w="714" w:type="pct"/>
                  <w:noWrap/>
                  <w:vAlign w:val="center"/>
                </w:tcPr>
                <w:p>
                  <w:pPr>
                    <w:adjustRightInd w:val="0"/>
                    <w:snapToGrid w:val="0"/>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pct"/>
                  <w:vMerge w:val="continue"/>
                  <w:noWrap/>
                  <w:vAlign w:val="center"/>
                </w:tcPr>
                <w:p>
                  <w:pPr>
                    <w:adjustRightInd w:val="0"/>
                    <w:snapToGrid w:val="0"/>
                    <w:jc w:val="center"/>
                    <w:rPr>
                      <w:color w:val="auto"/>
                      <w:szCs w:val="21"/>
                    </w:rPr>
                  </w:pPr>
                </w:p>
              </w:tc>
              <w:tc>
                <w:tcPr>
                  <w:tcW w:w="713" w:type="pct"/>
                  <w:noWrap/>
                  <w:vAlign w:val="center"/>
                </w:tcPr>
                <w:p>
                  <w:pPr>
                    <w:adjustRightInd w:val="0"/>
                    <w:snapToGrid w:val="0"/>
                    <w:jc w:val="center"/>
                    <w:rPr>
                      <w:color w:val="auto"/>
                      <w:szCs w:val="21"/>
                    </w:rPr>
                  </w:pPr>
                  <w:r>
                    <w:rPr>
                      <w:color w:val="auto"/>
                      <w:szCs w:val="21"/>
                    </w:rPr>
                    <w:t>岷江</w:t>
                  </w:r>
                </w:p>
              </w:tc>
              <w:tc>
                <w:tcPr>
                  <w:tcW w:w="714" w:type="pct"/>
                  <w:noWrap/>
                  <w:vAlign w:val="center"/>
                </w:tcPr>
                <w:p>
                  <w:pPr>
                    <w:adjustRightInd w:val="0"/>
                    <w:snapToGrid w:val="0"/>
                    <w:jc w:val="center"/>
                    <w:rPr>
                      <w:color w:val="auto"/>
                      <w:szCs w:val="21"/>
                    </w:rPr>
                  </w:pPr>
                  <w:r>
                    <w:rPr>
                      <w:color w:val="auto"/>
                      <w:szCs w:val="21"/>
                    </w:rPr>
                    <w:t>岷江沙咀</w:t>
                  </w:r>
                </w:p>
              </w:tc>
              <w:tc>
                <w:tcPr>
                  <w:tcW w:w="714" w:type="pct"/>
                  <w:noWrap/>
                  <w:vAlign w:val="center"/>
                </w:tcPr>
                <w:p>
                  <w:pPr>
                    <w:adjustRightInd w:val="0"/>
                    <w:snapToGrid w:val="0"/>
                    <w:jc w:val="center"/>
                    <w:rPr>
                      <w:color w:val="auto"/>
                      <w:szCs w:val="21"/>
                    </w:rPr>
                  </w:pPr>
                  <w:r>
                    <w:rPr>
                      <w:color w:val="auto"/>
                      <w:szCs w:val="21"/>
                    </w:rPr>
                    <w:t>国考</w:t>
                  </w:r>
                </w:p>
              </w:tc>
              <w:tc>
                <w:tcPr>
                  <w:tcW w:w="714" w:type="pct"/>
                  <w:noWrap/>
                  <w:vAlign w:val="center"/>
                </w:tcPr>
                <w:p>
                  <w:pPr>
                    <w:adjustRightInd w:val="0"/>
                    <w:snapToGrid w:val="0"/>
                    <w:jc w:val="center"/>
                    <w:rPr>
                      <w:color w:val="auto"/>
                      <w:szCs w:val="21"/>
                    </w:rPr>
                  </w:pPr>
                  <w:r>
                    <w:rPr>
                      <w:color w:val="auto"/>
                      <w:szCs w:val="21"/>
                      <w:lang w:val="zh-CN"/>
                    </w:rPr>
                    <w:t>Ⅱ</w:t>
                  </w:r>
                </w:p>
              </w:tc>
              <w:tc>
                <w:tcPr>
                  <w:tcW w:w="714" w:type="pct"/>
                  <w:noWrap/>
                  <w:vAlign w:val="center"/>
                </w:tcPr>
                <w:p>
                  <w:pPr>
                    <w:adjustRightInd w:val="0"/>
                    <w:snapToGrid w:val="0"/>
                    <w:jc w:val="center"/>
                    <w:rPr>
                      <w:color w:val="auto"/>
                      <w:szCs w:val="21"/>
                    </w:rPr>
                  </w:pPr>
                  <w:r>
                    <w:rPr>
                      <w:color w:val="auto"/>
                      <w:szCs w:val="21"/>
                    </w:rPr>
                    <w:t>是</w:t>
                  </w:r>
                </w:p>
              </w:tc>
              <w:tc>
                <w:tcPr>
                  <w:tcW w:w="714" w:type="pct"/>
                  <w:noWrap/>
                  <w:vAlign w:val="center"/>
                </w:tcPr>
                <w:p>
                  <w:pPr>
                    <w:adjustRightInd w:val="0"/>
                    <w:snapToGrid w:val="0"/>
                    <w:jc w:val="center"/>
                    <w:rPr>
                      <w:color w:val="auto"/>
                      <w:szCs w:val="21"/>
                    </w:rPr>
                  </w:pPr>
                  <w:r>
                    <w:rPr>
                      <w:color w:val="auto"/>
                      <w:szCs w:val="21"/>
                    </w:rPr>
                    <w:t>/</w:t>
                  </w:r>
                </w:p>
              </w:tc>
            </w:tr>
          </w:tbl>
          <w:p>
            <w:pPr>
              <w:spacing w:line="360" w:lineRule="auto"/>
              <w:ind w:firstLine="480" w:firstLineChars="200"/>
              <w:rPr>
                <w:color w:val="auto"/>
                <w:sz w:val="24"/>
              </w:rPr>
            </w:pPr>
            <w:r>
              <w:rPr>
                <w:color w:val="auto"/>
                <w:sz w:val="24"/>
              </w:rPr>
              <w:t>距离本项目最近水体为岷江，位于本项目东北侧2.3km，距离本项目最近断面为岷江青衣坝断面，</w:t>
            </w:r>
            <w:r>
              <w:rPr>
                <w:color w:val="auto"/>
                <w:sz w:val="24"/>
                <w:lang w:val="zh-CN"/>
              </w:rPr>
              <w:t>由上述引用的</w:t>
            </w:r>
            <w:r>
              <w:rPr>
                <w:color w:val="auto"/>
                <w:sz w:val="24"/>
              </w:rPr>
              <w:t>生态环境保护主管部门统一发布的水环境质量状况信息</w:t>
            </w:r>
            <w:r>
              <w:rPr>
                <w:color w:val="auto"/>
                <w:sz w:val="24"/>
                <w:lang w:val="zh-CN"/>
              </w:rPr>
              <w:t>可知，</w:t>
            </w:r>
            <w:r>
              <w:rPr>
                <w:color w:val="auto"/>
                <w:sz w:val="24"/>
              </w:rPr>
              <w:t>岷江水环境质量</w:t>
            </w:r>
            <w:r>
              <w:rPr>
                <w:color w:val="auto"/>
                <w:sz w:val="24"/>
                <w:lang w:val="zh-CN"/>
              </w:rPr>
              <w:t>满足《地表水环境质量标准》（GB3838-2002）中</w:t>
            </w:r>
            <w:r>
              <w:rPr>
                <w:color w:val="auto"/>
                <w:sz w:val="24"/>
                <w:lang w:val="zh-CN"/>
              </w:rPr>
              <w:fldChar w:fldCharType="begin"/>
            </w:r>
            <w:r>
              <w:rPr>
                <w:color w:val="auto"/>
                <w:sz w:val="24"/>
                <w:lang w:val="zh-CN"/>
              </w:rPr>
              <w:instrText xml:space="preserve"> = 3 \* ROMAN \* MERGEFORMAT </w:instrText>
            </w:r>
            <w:r>
              <w:rPr>
                <w:color w:val="auto"/>
                <w:sz w:val="24"/>
                <w:lang w:val="zh-CN"/>
              </w:rPr>
              <w:fldChar w:fldCharType="separate"/>
            </w:r>
            <w:r>
              <w:rPr>
                <w:color w:val="auto"/>
                <w:sz w:val="24"/>
                <w:lang w:val="zh-CN"/>
              </w:rPr>
              <w:t>III</w:t>
            </w:r>
            <w:r>
              <w:rPr>
                <w:color w:val="auto"/>
                <w:sz w:val="24"/>
                <w:lang w:val="zh-CN"/>
              </w:rPr>
              <w:fldChar w:fldCharType="end"/>
            </w:r>
            <w:r>
              <w:rPr>
                <w:color w:val="auto"/>
                <w:sz w:val="24"/>
                <w:lang w:val="zh-CN"/>
              </w:rPr>
              <w:t>类标准限值要求，区域地表水水质状况良好。</w:t>
            </w:r>
          </w:p>
          <w:p>
            <w:pPr>
              <w:spacing w:line="360" w:lineRule="auto"/>
              <w:ind w:firstLine="482" w:firstLineChars="200"/>
              <w:rPr>
                <w:b/>
                <w:color w:val="auto"/>
                <w:sz w:val="24"/>
              </w:rPr>
            </w:pPr>
            <w:r>
              <w:rPr>
                <w:b/>
                <w:color w:val="auto"/>
                <w:sz w:val="24"/>
              </w:rPr>
              <w:t>3、声环境质量现状</w:t>
            </w:r>
          </w:p>
          <w:p>
            <w:pPr>
              <w:widowControl/>
              <w:spacing w:line="360" w:lineRule="auto"/>
              <w:ind w:firstLine="480" w:firstLineChars="200"/>
              <w:jc w:val="left"/>
              <w:rPr>
                <w:color w:val="auto"/>
                <w:sz w:val="24"/>
              </w:rPr>
            </w:pPr>
            <w:r>
              <w:rPr>
                <w:color w:val="auto"/>
                <w:sz w:val="24"/>
              </w:rPr>
              <w:t>本项目委托四川铁环检测技术有限公司于2023年4月2日对项目所在地的噪声进行现状监测。具体如下：</w:t>
            </w:r>
          </w:p>
          <w:p>
            <w:pPr>
              <w:adjustRightInd w:val="0"/>
              <w:snapToGrid w:val="0"/>
              <w:spacing w:line="360" w:lineRule="auto"/>
              <w:jc w:val="center"/>
              <w:rPr>
                <w:b/>
                <w:color w:val="auto"/>
                <w:szCs w:val="21"/>
              </w:rPr>
            </w:pPr>
            <w:r>
              <w:rPr>
                <w:b/>
                <w:color w:val="auto"/>
                <w:szCs w:val="21"/>
              </w:rPr>
              <w:t>表3-5噪声监测点位</w:t>
            </w:r>
          </w:p>
          <w:tbl>
            <w:tblPr>
              <w:tblStyle w:val="4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3"/>
              <w:gridCol w:w="1465"/>
              <w:gridCol w:w="59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823" w:type="pct"/>
                  <w:noWrap/>
                  <w:vAlign w:val="center"/>
                </w:tcPr>
                <w:p>
                  <w:pPr>
                    <w:jc w:val="center"/>
                    <w:rPr>
                      <w:b/>
                      <w:color w:val="auto"/>
                      <w:szCs w:val="21"/>
                    </w:rPr>
                  </w:pPr>
                  <w:r>
                    <w:rPr>
                      <w:b/>
                      <w:color w:val="auto"/>
                      <w:szCs w:val="21"/>
                    </w:rPr>
                    <w:t>监测类型</w:t>
                  </w:r>
                </w:p>
              </w:tc>
              <w:tc>
                <w:tcPr>
                  <w:tcW w:w="824" w:type="pct"/>
                  <w:noWrap/>
                  <w:vAlign w:val="center"/>
                </w:tcPr>
                <w:p>
                  <w:pPr>
                    <w:jc w:val="center"/>
                    <w:rPr>
                      <w:b/>
                      <w:color w:val="auto"/>
                      <w:szCs w:val="21"/>
                    </w:rPr>
                  </w:pPr>
                  <w:r>
                    <w:rPr>
                      <w:b/>
                      <w:color w:val="auto"/>
                      <w:szCs w:val="21"/>
                    </w:rPr>
                    <w:t>监测点位</w:t>
                  </w:r>
                </w:p>
              </w:tc>
              <w:tc>
                <w:tcPr>
                  <w:tcW w:w="3351" w:type="pct"/>
                  <w:noWrap/>
                  <w:vAlign w:val="center"/>
                </w:tcPr>
                <w:p>
                  <w:pPr>
                    <w:jc w:val="center"/>
                    <w:rPr>
                      <w:b/>
                      <w:color w:val="auto"/>
                      <w:szCs w:val="21"/>
                    </w:rPr>
                  </w:pPr>
                  <w:r>
                    <w:rPr>
                      <w:b/>
                      <w:color w:val="auto"/>
                      <w:szCs w:val="21"/>
                    </w:rPr>
                    <w:t>监测点位置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823" w:type="pct"/>
                  <w:vMerge w:val="restart"/>
                  <w:noWrap/>
                  <w:vAlign w:val="center"/>
                </w:tcPr>
                <w:p>
                  <w:pPr>
                    <w:jc w:val="center"/>
                    <w:rPr>
                      <w:bCs/>
                      <w:color w:val="auto"/>
                      <w:szCs w:val="21"/>
                    </w:rPr>
                  </w:pPr>
                  <w:r>
                    <w:rPr>
                      <w:bCs/>
                      <w:color w:val="auto"/>
                      <w:szCs w:val="21"/>
                    </w:rPr>
                    <w:t>厂界噪声</w:t>
                  </w:r>
                </w:p>
              </w:tc>
              <w:tc>
                <w:tcPr>
                  <w:tcW w:w="824" w:type="pct"/>
                  <w:noWrap/>
                  <w:vAlign w:val="center"/>
                </w:tcPr>
                <w:p>
                  <w:pPr>
                    <w:jc w:val="center"/>
                    <w:rPr>
                      <w:bCs/>
                      <w:color w:val="auto"/>
                      <w:szCs w:val="21"/>
                    </w:rPr>
                  </w:pPr>
                  <w:r>
                    <w:rPr>
                      <w:bCs/>
                      <w:color w:val="auto"/>
                      <w:szCs w:val="21"/>
                    </w:rPr>
                    <w:t>1#</w:t>
                  </w:r>
                </w:p>
              </w:tc>
              <w:tc>
                <w:tcPr>
                  <w:tcW w:w="6035" w:type="dxa"/>
                  <w:noWrap/>
                  <w:vAlign w:val="center"/>
                </w:tcPr>
                <w:p>
                  <w:pPr>
                    <w:pStyle w:val="37"/>
                    <w:snapToGrid w:val="0"/>
                    <w:spacing w:before="0" w:beforeAutospacing="0" w:after="0" w:afterAutospacing="0"/>
                    <w:jc w:val="center"/>
                    <w:rPr>
                      <w:rFonts w:ascii="Times New Roman" w:hAnsi="Times New Roman"/>
                      <w:bCs/>
                      <w:color w:val="auto"/>
                      <w:sz w:val="21"/>
                      <w:szCs w:val="21"/>
                    </w:rPr>
                  </w:pPr>
                  <w:r>
                    <w:rPr>
                      <w:rFonts w:ascii="Times New Roman" w:hAnsi="Times New Roman"/>
                      <w:color w:val="auto"/>
                      <w:sz w:val="21"/>
                      <w:szCs w:val="21"/>
                    </w:rPr>
                    <w:t>项目北侧厂界外1m高1.5m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823" w:type="pct"/>
                  <w:vMerge w:val="continue"/>
                  <w:noWrap/>
                  <w:vAlign w:val="center"/>
                </w:tcPr>
                <w:p>
                  <w:pPr>
                    <w:rPr>
                      <w:bCs/>
                      <w:color w:val="auto"/>
                      <w:szCs w:val="21"/>
                    </w:rPr>
                  </w:pPr>
                </w:p>
              </w:tc>
              <w:tc>
                <w:tcPr>
                  <w:tcW w:w="824" w:type="pct"/>
                  <w:noWrap/>
                  <w:vAlign w:val="center"/>
                </w:tcPr>
                <w:p>
                  <w:pPr>
                    <w:jc w:val="center"/>
                    <w:rPr>
                      <w:bCs/>
                      <w:color w:val="auto"/>
                      <w:szCs w:val="21"/>
                    </w:rPr>
                  </w:pPr>
                  <w:r>
                    <w:rPr>
                      <w:bCs/>
                      <w:color w:val="auto"/>
                      <w:szCs w:val="21"/>
                    </w:rPr>
                    <w:t>2#</w:t>
                  </w:r>
                </w:p>
              </w:tc>
              <w:tc>
                <w:tcPr>
                  <w:tcW w:w="6035" w:type="dxa"/>
                  <w:noWrap/>
                  <w:vAlign w:val="center"/>
                </w:tcPr>
                <w:p>
                  <w:pPr>
                    <w:widowControl/>
                    <w:snapToGrid w:val="0"/>
                    <w:jc w:val="center"/>
                    <w:rPr>
                      <w:bCs/>
                      <w:color w:val="auto"/>
                      <w:szCs w:val="21"/>
                    </w:rPr>
                  </w:pPr>
                  <w:r>
                    <w:rPr>
                      <w:color w:val="auto"/>
                      <w:szCs w:val="21"/>
                    </w:rPr>
                    <w:t>项目东侧厂界外1m高1.5m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823" w:type="pct"/>
                  <w:vMerge w:val="continue"/>
                  <w:noWrap/>
                  <w:vAlign w:val="center"/>
                </w:tcPr>
                <w:p>
                  <w:pPr>
                    <w:rPr>
                      <w:bCs/>
                      <w:color w:val="auto"/>
                      <w:szCs w:val="21"/>
                    </w:rPr>
                  </w:pPr>
                </w:p>
              </w:tc>
              <w:tc>
                <w:tcPr>
                  <w:tcW w:w="824" w:type="pct"/>
                  <w:noWrap/>
                  <w:vAlign w:val="center"/>
                </w:tcPr>
                <w:p>
                  <w:pPr>
                    <w:jc w:val="center"/>
                    <w:rPr>
                      <w:bCs/>
                      <w:color w:val="auto"/>
                      <w:szCs w:val="21"/>
                    </w:rPr>
                  </w:pPr>
                  <w:r>
                    <w:rPr>
                      <w:bCs/>
                      <w:color w:val="auto"/>
                      <w:szCs w:val="21"/>
                    </w:rPr>
                    <w:t>3#</w:t>
                  </w:r>
                </w:p>
              </w:tc>
              <w:tc>
                <w:tcPr>
                  <w:tcW w:w="6035" w:type="dxa"/>
                  <w:noWrap/>
                  <w:vAlign w:val="center"/>
                </w:tcPr>
                <w:p>
                  <w:pPr>
                    <w:widowControl/>
                    <w:snapToGrid w:val="0"/>
                    <w:jc w:val="center"/>
                    <w:rPr>
                      <w:bCs/>
                      <w:color w:val="auto"/>
                      <w:szCs w:val="21"/>
                    </w:rPr>
                  </w:pPr>
                  <w:r>
                    <w:rPr>
                      <w:color w:val="auto"/>
                      <w:szCs w:val="21"/>
                    </w:rPr>
                    <w:t>项目南侧厂界外1m高1.5m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823" w:type="pct"/>
                  <w:vMerge w:val="continue"/>
                  <w:noWrap/>
                  <w:vAlign w:val="center"/>
                </w:tcPr>
                <w:p>
                  <w:pPr>
                    <w:rPr>
                      <w:bCs/>
                      <w:color w:val="auto"/>
                      <w:szCs w:val="21"/>
                    </w:rPr>
                  </w:pPr>
                </w:p>
              </w:tc>
              <w:tc>
                <w:tcPr>
                  <w:tcW w:w="824" w:type="pct"/>
                  <w:noWrap/>
                  <w:vAlign w:val="center"/>
                </w:tcPr>
                <w:p>
                  <w:pPr>
                    <w:jc w:val="center"/>
                    <w:rPr>
                      <w:bCs/>
                      <w:color w:val="auto"/>
                      <w:szCs w:val="21"/>
                    </w:rPr>
                  </w:pPr>
                  <w:r>
                    <w:rPr>
                      <w:bCs/>
                      <w:color w:val="auto"/>
                      <w:szCs w:val="21"/>
                    </w:rPr>
                    <w:t>4#</w:t>
                  </w:r>
                </w:p>
              </w:tc>
              <w:tc>
                <w:tcPr>
                  <w:tcW w:w="6035" w:type="dxa"/>
                  <w:noWrap/>
                  <w:vAlign w:val="center"/>
                </w:tcPr>
                <w:p>
                  <w:pPr>
                    <w:widowControl/>
                    <w:snapToGrid w:val="0"/>
                    <w:jc w:val="center"/>
                    <w:rPr>
                      <w:bCs/>
                      <w:color w:val="auto"/>
                      <w:szCs w:val="21"/>
                    </w:rPr>
                  </w:pPr>
                  <w:r>
                    <w:rPr>
                      <w:color w:val="auto"/>
                      <w:szCs w:val="21"/>
                    </w:rPr>
                    <w:t>项目西侧厂界外1m高1.5m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823" w:type="pct"/>
                  <w:noWrap/>
                  <w:vAlign w:val="center"/>
                </w:tcPr>
                <w:p>
                  <w:pPr>
                    <w:jc w:val="center"/>
                    <w:rPr>
                      <w:bCs/>
                      <w:color w:val="auto"/>
                      <w:szCs w:val="21"/>
                    </w:rPr>
                  </w:pPr>
                  <w:r>
                    <w:rPr>
                      <w:bCs/>
                      <w:color w:val="auto"/>
                      <w:szCs w:val="21"/>
                    </w:rPr>
                    <w:t>敏感点噪声</w:t>
                  </w:r>
                </w:p>
              </w:tc>
              <w:tc>
                <w:tcPr>
                  <w:tcW w:w="824" w:type="pct"/>
                  <w:noWrap/>
                  <w:vAlign w:val="center"/>
                </w:tcPr>
                <w:p>
                  <w:pPr>
                    <w:jc w:val="center"/>
                    <w:rPr>
                      <w:bCs/>
                      <w:color w:val="auto"/>
                      <w:szCs w:val="21"/>
                    </w:rPr>
                  </w:pPr>
                  <w:r>
                    <w:rPr>
                      <w:bCs/>
                      <w:color w:val="auto"/>
                      <w:szCs w:val="21"/>
                    </w:rPr>
                    <w:t>5#</w:t>
                  </w:r>
                </w:p>
              </w:tc>
              <w:tc>
                <w:tcPr>
                  <w:tcW w:w="6035" w:type="dxa"/>
                  <w:noWrap/>
                  <w:vAlign w:val="center"/>
                </w:tcPr>
                <w:p>
                  <w:pPr>
                    <w:widowControl/>
                    <w:snapToGrid w:val="0"/>
                    <w:jc w:val="center"/>
                    <w:rPr>
                      <w:bCs/>
                      <w:color w:val="auto"/>
                      <w:szCs w:val="21"/>
                    </w:rPr>
                  </w:pPr>
                  <w:r>
                    <w:rPr>
                      <w:color w:val="auto"/>
                      <w:szCs w:val="21"/>
                    </w:rPr>
                    <w:t>项目东南侧25m外1.5m高居民</w:t>
                  </w:r>
                  <w:r>
                    <w:rPr>
                      <w:rFonts w:hint="eastAsia"/>
                      <w:color w:val="auto"/>
                      <w:szCs w:val="21"/>
                    </w:rPr>
                    <w:t>处</w:t>
                  </w:r>
                </w:p>
              </w:tc>
            </w:tr>
          </w:tbl>
          <w:p>
            <w:pPr>
              <w:adjustRightInd w:val="0"/>
              <w:snapToGrid w:val="0"/>
              <w:spacing w:line="360" w:lineRule="auto"/>
              <w:ind w:firstLine="480" w:firstLineChars="200"/>
              <w:rPr>
                <w:color w:val="auto"/>
                <w:kern w:val="0"/>
                <w:sz w:val="24"/>
              </w:rPr>
            </w:pPr>
            <w:r>
              <w:rPr>
                <w:color w:val="auto"/>
                <w:kern w:val="0"/>
                <w:sz w:val="24"/>
              </w:rPr>
              <w:t>（1）监测时间</w:t>
            </w:r>
          </w:p>
          <w:p>
            <w:pPr>
              <w:adjustRightInd w:val="0"/>
              <w:snapToGrid w:val="0"/>
              <w:spacing w:line="360" w:lineRule="auto"/>
              <w:ind w:firstLine="480" w:firstLineChars="200"/>
              <w:rPr>
                <w:color w:val="auto"/>
                <w:kern w:val="0"/>
                <w:sz w:val="24"/>
              </w:rPr>
            </w:pPr>
            <w:r>
              <w:rPr>
                <w:color w:val="auto"/>
                <w:kern w:val="0"/>
                <w:sz w:val="24"/>
              </w:rPr>
              <w:t>项目于2023年4月2日，昼夜各一次。</w:t>
            </w:r>
          </w:p>
          <w:p>
            <w:pPr>
              <w:adjustRightInd w:val="0"/>
              <w:snapToGrid w:val="0"/>
              <w:spacing w:line="360" w:lineRule="auto"/>
              <w:ind w:firstLine="480" w:firstLineChars="200"/>
              <w:rPr>
                <w:color w:val="auto"/>
                <w:kern w:val="0"/>
                <w:sz w:val="24"/>
              </w:rPr>
            </w:pPr>
            <w:r>
              <w:rPr>
                <w:color w:val="auto"/>
                <w:kern w:val="0"/>
                <w:sz w:val="24"/>
              </w:rPr>
              <w:t>（2）评价标准</w:t>
            </w:r>
          </w:p>
          <w:p>
            <w:pPr>
              <w:adjustRightInd w:val="0"/>
              <w:snapToGrid w:val="0"/>
              <w:spacing w:line="360" w:lineRule="auto"/>
              <w:ind w:firstLine="480" w:firstLineChars="200"/>
              <w:rPr>
                <w:color w:val="auto"/>
                <w:kern w:val="0"/>
                <w:sz w:val="24"/>
              </w:rPr>
            </w:pPr>
            <w:r>
              <w:rPr>
                <w:color w:val="auto"/>
                <w:kern w:val="0"/>
                <w:sz w:val="24"/>
              </w:rPr>
              <w:t>评价区域声环境执行《声环境质量标准》（GB3096-2008）中2类标准。</w:t>
            </w:r>
          </w:p>
          <w:p>
            <w:pPr>
              <w:adjustRightInd w:val="0"/>
              <w:snapToGrid w:val="0"/>
              <w:spacing w:line="360" w:lineRule="auto"/>
              <w:ind w:firstLine="480" w:firstLineChars="200"/>
              <w:rPr>
                <w:color w:val="auto"/>
                <w:kern w:val="0"/>
                <w:sz w:val="24"/>
              </w:rPr>
            </w:pPr>
            <w:r>
              <w:rPr>
                <w:color w:val="auto"/>
                <w:kern w:val="0"/>
                <w:sz w:val="24"/>
              </w:rPr>
              <w:t>（3）监测结果</w:t>
            </w:r>
          </w:p>
          <w:p>
            <w:pPr>
              <w:widowControl/>
              <w:adjustRightInd w:val="0"/>
              <w:snapToGrid w:val="0"/>
              <w:spacing w:line="360" w:lineRule="auto"/>
              <w:ind w:right="113" w:firstLine="482" w:firstLineChars="200"/>
              <w:jc w:val="center"/>
              <w:rPr>
                <w:b/>
                <w:color w:val="auto"/>
                <w:kern w:val="0"/>
                <w:szCs w:val="21"/>
              </w:rPr>
            </w:pPr>
            <w:r>
              <w:rPr>
                <w:b/>
                <w:color w:val="auto"/>
                <w:kern w:val="0"/>
                <w:szCs w:val="21"/>
              </w:rPr>
              <w:t>表3-6  环境噪声检测结果表  单位：dB（A）</w:t>
            </w:r>
          </w:p>
          <w:tbl>
            <w:tblPr>
              <w:tblStyle w:val="41"/>
              <w:tblW w:w="498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2744"/>
              <w:gridCol w:w="1246"/>
              <w:gridCol w:w="1041"/>
              <w:gridCol w:w="1185"/>
              <w:gridCol w:w="1254"/>
              <w:gridCol w:w="140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30" w:hRule="atLeast"/>
                <w:jc w:val="center"/>
              </w:trPr>
              <w:tc>
                <w:tcPr>
                  <w:tcW w:w="2247" w:type="pct"/>
                  <w:gridSpan w:val="2"/>
                  <w:vMerge w:val="restart"/>
                  <w:vAlign w:val="center"/>
                </w:tcPr>
                <w:p>
                  <w:pPr>
                    <w:widowControl/>
                    <w:spacing w:line="340" w:lineRule="exact"/>
                    <w:jc w:val="right"/>
                    <w:rPr>
                      <w:b/>
                      <w:bCs/>
                      <w:color w:val="auto"/>
                      <w:szCs w:val="21"/>
                    </w:rPr>
                  </w:pPr>
                  <w:r>
                    <w:rPr>
                      <w:b/>
                      <w:bCs/>
                      <w:color w:val="auto"/>
                      <w:szCs w:val="21"/>
                    </w:rPr>
                    <mc:AlternateContent>
                      <mc:Choice Requires="wps">
                        <w:drawing>
                          <wp:anchor distT="0" distB="0" distL="114300" distR="114300" simplePos="0" relativeHeight="251666432" behindDoc="0" locked="0" layoutInCell="1" allowOverlap="1">
                            <wp:simplePos x="0" y="0"/>
                            <wp:positionH relativeFrom="column">
                              <wp:posOffset>-68580</wp:posOffset>
                            </wp:positionH>
                            <wp:positionV relativeFrom="paragraph">
                              <wp:posOffset>-635</wp:posOffset>
                            </wp:positionV>
                            <wp:extent cx="2548255" cy="537845"/>
                            <wp:effectExtent l="1270" t="4445" r="3175" b="10160"/>
                            <wp:wrapNone/>
                            <wp:docPr id="2" name="直接连接符 2"/>
                            <wp:cNvGraphicFramePr/>
                            <a:graphic xmlns:a="http://schemas.openxmlformats.org/drawingml/2006/main">
                              <a:graphicData uri="http://schemas.microsoft.com/office/word/2010/wordprocessingShape">
                                <wps:wsp>
                                  <wps:cNvCnPr/>
                                  <wps:spPr>
                                    <a:xfrm>
                                      <a:off x="0" y="0"/>
                                      <a:ext cx="2548255" cy="537845"/>
                                    </a:xfrm>
                                    <a:prstGeom prst="line">
                                      <a:avLst/>
                                    </a:prstGeom>
                                    <a:ln w="6350"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5.4pt;margin-top:-0.05pt;height:42.35pt;width:200.65pt;z-index:251666432;mso-width-relative:page;mso-height-relative:page;" coordsize="21600,21600" o:gfxdata="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AtoQI7VAAAACAEAAA8AAAAAAAAAAQAgAAAAIgAAAGRycy9kb3ducmV2LnhtbFBLAQIU&#10;ABQAAAAIAIdO4kArR48b9gEAAOsDAAAOAAAAAAAAAAEAIAAAACQBAABkcnMvZTJvRG9jLnhtbFBL&#10;BQYAAAAABgAGAFkBAACMBQAAAAA=&#10;">
                            <v:path arrowok="t"/>
                            <v:fill focussize="0,0"/>
                            <v:stroke weight="0.5pt"/>
                            <v:imagedata o:title=""/>
                            <o:lock v:ext="edit"/>
                          </v:line>
                        </w:pict>
                      </mc:Fallback>
                    </mc:AlternateContent>
                  </w:r>
                  <w:r>
                    <w:rPr>
                      <w:b/>
                      <w:bCs/>
                      <w:color w:val="auto"/>
                      <w:kern w:val="0"/>
                      <w:szCs w:val="21"/>
                    </w:rPr>
                    <w:t xml:space="preserve">       日期及结果值</w:t>
                  </w:r>
                </w:p>
                <w:p>
                  <w:pPr>
                    <w:widowControl/>
                    <w:spacing w:line="340" w:lineRule="exact"/>
                    <w:jc w:val="left"/>
                    <w:rPr>
                      <w:b/>
                      <w:bCs/>
                      <w:color w:val="auto"/>
                      <w:kern w:val="0"/>
                      <w:szCs w:val="21"/>
                    </w:rPr>
                  </w:pPr>
                  <w:r>
                    <w:rPr>
                      <w:b/>
                      <w:bCs/>
                      <w:color w:val="auto"/>
                      <w:kern w:val="0"/>
                      <w:szCs w:val="21"/>
                    </w:rPr>
                    <w:t>时间、点位</w:t>
                  </w:r>
                </w:p>
              </w:tc>
              <w:tc>
                <w:tcPr>
                  <w:tcW w:w="587" w:type="pct"/>
                  <w:vMerge w:val="restart"/>
                  <w:vAlign w:val="center"/>
                </w:tcPr>
                <w:p>
                  <w:pPr>
                    <w:widowControl/>
                    <w:spacing w:line="340" w:lineRule="exact"/>
                    <w:ind w:left="-120" w:leftChars="-50" w:right="-120" w:rightChars="-50"/>
                    <w:jc w:val="center"/>
                    <w:rPr>
                      <w:b/>
                      <w:bCs/>
                      <w:color w:val="auto"/>
                      <w:kern w:val="0"/>
                      <w:szCs w:val="21"/>
                    </w:rPr>
                  </w:pPr>
                  <w:r>
                    <w:rPr>
                      <w:b/>
                      <w:bCs/>
                      <w:color w:val="auto"/>
                      <w:kern w:val="0"/>
                      <w:szCs w:val="21"/>
                    </w:rPr>
                    <w:t>监测时段</w:t>
                  </w:r>
                </w:p>
              </w:tc>
              <w:tc>
                <w:tcPr>
                  <w:tcW w:w="1375" w:type="pct"/>
                  <w:gridSpan w:val="2"/>
                  <w:vAlign w:val="center"/>
                </w:tcPr>
                <w:p>
                  <w:pPr>
                    <w:widowControl/>
                    <w:spacing w:line="340" w:lineRule="exact"/>
                    <w:ind w:left="-120" w:leftChars="-50" w:right="-120" w:rightChars="-50"/>
                    <w:jc w:val="center"/>
                    <w:rPr>
                      <w:b/>
                      <w:bCs/>
                      <w:color w:val="auto"/>
                      <w:kern w:val="0"/>
                      <w:szCs w:val="21"/>
                    </w:rPr>
                  </w:pPr>
                  <w:r>
                    <w:rPr>
                      <w:b/>
                      <w:bCs/>
                      <w:color w:val="auto"/>
                      <w:kern w:val="0"/>
                      <w:szCs w:val="21"/>
                    </w:rPr>
                    <w:t>等效声级Leq〔dB（A）〕</w:t>
                  </w:r>
                </w:p>
              </w:tc>
              <w:tc>
                <w:tcPr>
                  <w:tcW w:w="789" w:type="pct"/>
                  <w:vMerge w:val="restart"/>
                  <w:vAlign w:val="center"/>
                </w:tcPr>
                <w:p>
                  <w:pPr>
                    <w:widowControl/>
                    <w:spacing w:line="340" w:lineRule="exact"/>
                    <w:ind w:left="-120" w:leftChars="-50" w:right="-120" w:rightChars="-50"/>
                    <w:jc w:val="center"/>
                    <w:rPr>
                      <w:b/>
                      <w:bCs/>
                      <w:color w:val="auto"/>
                      <w:kern w:val="0"/>
                      <w:szCs w:val="21"/>
                    </w:rPr>
                  </w:pPr>
                  <w:r>
                    <w:rPr>
                      <w:b/>
                      <w:bCs/>
                      <w:color w:val="auto"/>
                      <w:kern w:val="0"/>
                      <w:szCs w:val="21"/>
                    </w:rPr>
                    <w:t>评价结果</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30" w:hRule="atLeast"/>
                <w:jc w:val="center"/>
              </w:trPr>
              <w:tc>
                <w:tcPr>
                  <w:tcW w:w="2247" w:type="pct"/>
                  <w:gridSpan w:val="2"/>
                  <w:vMerge w:val="continue"/>
                  <w:vAlign w:val="center"/>
                </w:tcPr>
                <w:p>
                  <w:pPr>
                    <w:widowControl/>
                    <w:spacing w:line="340" w:lineRule="exact"/>
                    <w:ind w:left="-120" w:leftChars="-50" w:right="-120" w:rightChars="-50"/>
                    <w:jc w:val="center"/>
                    <w:rPr>
                      <w:color w:val="auto"/>
                      <w:szCs w:val="21"/>
                    </w:rPr>
                  </w:pPr>
                </w:p>
              </w:tc>
              <w:tc>
                <w:tcPr>
                  <w:tcW w:w="587" w:type="pct"/>
                  <w:vMerge w:val="continue"/>
                  <w:vAlign w:val="center"/>
                </w:tcPr>
                <w:p>
                  <w:pPr>
                    <w:widowControl/>
                    <w:spacing w:line="340" w:lineRule="exact"/>
                    <w:ind w:left="-120" w:leftChars="-50" w:right="-120" w:rightChars="-50"/>
                    <w:jc w:val="center"/>
                    <w:rPr>
                      <w:color w:val="auto"/>
                      <w:szCs w:val="21"/>
                    </w:rPr>
                  </w:pPr>
                </w:p>
              </w:tc>
              <w:tc>
                <w:tcPr>
                  <w:tcW w:w="668" w:type="pct"/>
                  <w:vAlign w:val="center"/>
                </w:tcPr>
                <w:p>
                  <w:pPr>
                    <w:widowControl/>
                    <w:spacing w:line="340" w:lineRule="exact"/>
                    <w:ind w:left="-120" w:leftChars="-50" w:right="-120" w:rightChars="-50"/>
                    <w:jc w:val="center"/>
                    <w:rPr>
                      <w:b/>
                      <w:bCs/>
                      <w:color w:val="auto"/>
                      <w:szCs w:val="21"/>
                    </w:rPr>
                  </w:pPr>
                  <w:r>
                    <w:rPr>
                      <w:b/>
                      <w:bCs/>
                      <w:color w:val="auto"/>
                      <w:szCs w:val="21"/>
                    </w:rPr>
                    <w:t>监测结果</w:t>
                  </w:r>
                </w:p>
              </w:tc>
              <w:tc>
                <w:tcPr>
                  <w:tcW w:w="707" w:type="pct"/>
                  <w:vAlign w:val="center"/>
                </w:tcPr>
                <w:p>
                  <w:pPr>
                    <w:widowControl/>
                    <w:spacing w:line="340" w:lineRule="exact"/>
                    <w:ind w:left="-120" w:leftChars="-50" w:right="-120" w:rightChars="-50"/>
                    <w:jc w:val="center"/>
                    <w:rPr>
                      <w:b/>
                      <w:bCs/>
                      <w:color w:val="auto"/>
                      <w:szCs w:val="21"/>
                    </w:rPr>
                  </w:pPr>
                  <w:r>
                    <w:rPr>
                      <w:b/>
                      <w:bCs/>
                      <w:color w:val="auto"/>
                      <w:szCs w:val="21"/>
                    </w:rPr>
                    <w:t>标准限值</w:t>
                  </w:r>
                </w:p>
              </w:tc>
              <w:tc>
                <w:tcPr>
                  <w:tcW w:w="789" w:type="pct"/>
                  <w:vMerge w:val="continue"/>
                  <w:vAlign w:val="center"/>
                </w:tcPr>
                <w:p>
                  <w:pPr>
                    <w:widowControl/>
                    <w:spacing w:line="340" w:lineRule="exact"/>
                    <w:ind w:left="-120" w:leftChars="-50" w:right="-120" w:rightChars="-50"/>
                    <w:jc w:val="center"/>
                    <w:rPr>
                      <w:color w:val="auto"/>
                      <w:kern w:val="0"/>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8" w:hRule="atLeast"/>
                <w:jc w:val="center"/>
              </w:trPr>
              <w:tc>
                <w:tcPr>
                  <w:tcW w:w="2742" w:type="dxa"/>
                  <w:vMerge w:val="restart"/>
                  <w:vAlign w:val="center"/>
                </w:tcPr>
                <w:p>
                  <w:pPr>
                    <w:pStyle w:val="37"/>
                    <w:snapToGrid w:val="0"/>
                    <w:spacing w:before="0" w:beforeAutospacing="0" w:after="0" w:afterAutospacing="0"/>
                    <w:jc w:val="center"/>
                    <w:rPr>
                      <w:rFonts w:ascii="Times New Roman" w:hAnsi="Times New Roman"/>
                      <w:color w:val="auto"/>
                      <w:szCs w:val="21"/>
                    </w:rPr>
                  </w:pPr>
                  <w:r>
                    <w:rPr>
                      <w:rFonts w:ascii="Times New Roman" w:hAnsi="Times New Roman"/>
                      <w:color w:val="auto"/>
                      <w:sz w:val="21"/>
                      <w:szCs w:val="21"/>
                    </w:rPr>
                    <w:t>项目北侧厂界外1m高1.5m</w:t>
                  </w:r>
                </w:p>
              </w:tc>
              <w:tc>
                <w:tcPr>
                  <w:tcW w:w="702" w:type="pct"/>
                  <w:vAlign w:val="center"/>
                </w:tcPr>
                <w:p>
                  <w:pPr>
                    <w:jc w:val="center"/>
                    <w:rPr>
                      <w:color w:val="auto"/>
                      <w:szCs w:val="21"/>
                    </w:rPr>
                  </w:pPr>
                  <w:r>
                    <w:rPr>
                      <w:color w:val="auto"/>
                      <w:szCs w:val="21"/>
                    </w:rPr>
                    <w:t>2023.4.2</w:t>
                  </w:r>
                </w:p>
              </w:tc>
              <w:tc>
                <w:tcPr>
                  <w:tcW w:w="587" w:type="pct"/>
                  <w:vAlign w:val="center"/>
                </w:tcPr>
                <w:p>
                  <w:pPr>
                    <w:jc w:val="center"/>
                    <w:rPr>
                      <w:color w:val="auto"/>
                      <w:szCs w:val="21"/>
                    </w:rPr>
                  </w:pPr>
                  <w:r>
                    <w:rPr>
                      <w:color w:val="auto"/>
                      <w:szCs w:val="21"/>
                    </w:rPr>
                    <w:t>昼间</w:t>
                  </w:r>
                </w:p>
              </w:tc>
              <w:tc>
                <w:tcPr>
                  <w:tcW w:w="668" w:type="pct"/>
                  <w:vAlign w:val="center"/>
                </w:tcPr>
                <w:p>
                  <w:pPr>
                    <w:jc w:val="center"/>
                    <w:rPr>
                      <w:color w:val="auto"/>
                      <w:szCs w:val="21"/>
                    </w:rPr>
                  </w:pPr>
                  <w:r>
                    <w:rPr>
                      <w:color w:val="auto"/>
                      <w:szCs w:val="21"/>
                    </w:rPr>
                    <w:t>56</w:t>
                  </w:r>
                </w:p>
              </w:tc>
              <w:tc>
                <w:tcPr>
                  <w:tcW w:w="707" w:type="pct"/>
                  <w:vAlign w:val="center"/>
                </w:tcPr>
                <w:p>
                  <w:pPr>
                    <w:jc w:val="center"/>
                    <w:rPr>
                      <w:color w:val="auto"/>
                      <w:szCs w:val="21"/>
                    </w:rPr>
                  </w:pPr>
                  <w:r>
                    <w:rPr>
                      <w:color w:val="auto"/>
                      <w:szCs w:val="21"/>
                    </w:rPr>
                    <w:t>60</w:t>
                  </w:r>
                </w:p>
              </w:tc>
              <w:tc>
                <w:tcPr>
                  <w:tcW w:w="789" w:type="pct"/>
                  <w:vAlign w:val="center"/>
                </w:tcPr>
                <w:p>
                  <w:pPr>
                    <w:jc w:val="center"/>
                    <w:rPr>
                      <w:color w:val="auto"/>
                      <w:szCs w:val="21"/>
                    </w:rPr>
                  </w:pPr>
                  <w:r>
                    <w:rPr>
                      <w:color w:val="auto"/>
                      <w:szCs w:val="21"/>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8" w:hRule="atLeast"/>
                <w:jc w:val="center"/>
              </w:trPr>
              <w:tc>
                <w:tcPr>
                  <w:tcW w:w="1545" w:type="pct"/>
                  <w:vMerge w:val="continue"/>
                  <w:vAlign w:val="center"/>
                </w:tcPr>
                <w:p>
                  <w:pPr>
                    <w:spacing w:line="300" w:lineRule="exact"/>
                    <w:jc w:val="center"/>
                    <w:rPr>
                      <w:bCs/>
                      <w:color w:val="auto"/>
                      <w:szCs w:val="21"/>
                    </w:rPr>
                  </w:pPr>
                </w:p>
              </w:tc>
              <w:tc>
                <w:tcPr>
                  <w:tcW w:w="702" w:type="pct"/>
                  <w:vAlign w:val="center"/>
                </w:tcPr>
                <w:p>
                  <w:pPr>
                    <w:spacing w:line="300" w:lineRule="exact"/>
                    <w:jc w:val="center"/>
                    <w:rPr>
                      <w:color w:val="auto"/>
                      <w:szCs w:val="21"/>
                    </w:rPr>
                  </w:pPr>
                  <w:r>
                    <w:rPr>
                      <w:color w:val="auto"/>
                      <w:szCs w:val="21"/>
                    </w:rPr>
                    <w:t>2023.4.2</w:t>
                  </w:r>
                </w:p>
              </w:tc>
              <w:tc>
                <w:tcPr>
                  <w:tcW w:w="587" w:type="pct"/>
                  <w:vAlign w:val="center"/>
                </w:tcPr>
                <w:p>
                  <w:pPr>
                    <w:jc w:val="center"/>
                    <w:rPr>
                      <w:color w:val="auto"/>
                      <w:szCs w:val="21"/>
                    </w:rPr>
                  </w:pPr>
                  <w:r>
                    <w:rPr>
                      <w:color w:val="auto"/>
                      <w:kern w:val="0"/>
                      <w:szCs w:val="21"/>
                    </w:rPr>
                    <w:t>夜间</w:t>
                  </w:r>
                </w:p>
              </w:tc>
              <w:tc>
                <w:tcPr>
                  <w:tcW w:w="668" w:type="pct"/>
                  <w:vAlign w:val="center"/>
                </w:tcPr>
                <w:p>
                  <w:pPr>
                    <w:jc w:val="center"/>
                    <w:rPr>
                      <w:color w:val="auto"/>
                      <w:szCs w:val="21"/>
                    </w:rPr>
                  </w:pPr>
                  <w:r>
                    <w:rPr>
                      <w:color w:val="auto"/>
                      <w:szCs w:val="21"/>
                    </w:rPr>
                    <w:t>45</w:t>
                  </w:r>
                </w:p>
              </w:tc>
              <w:tc>
                <w:tcPr>
                  <w:tcW w:w="707" w:type="pct"/>
                  <w:vAlign w:val="center"/>
                </w:tcPr>
                <w:p>
                  <w:pPr>
                    <w:jc w:val="center"/>
                    <w:rPr>
                      <w:color w:val="auto"/>
                      <w:szCs w:val="21"/>
                    </w:rPr>
                  </w:pPr>
                  <w:r>
                    <w:rPr>
                      <w:color w:val="auto"/>
                      <w:szCs w:val="21"/>
                    </w:rPr>
                    <w:t>50</w:t>
                  </w:r>
                </w:p>
              </w:tc>
              <w:tc>
                <w:tcPr>
                  <w:tcW w:w="789" w:type="pct"/>
                  <w:vAlign w:val="center"/>
                </w:tcPr>
                <w:p>
                  <w:pPr>
                    <w:jc w:val="center"/>
                    <w:rPr>
                      <w:color w:val="auto"/>
                      <w:szCs w:val="21"/>
                    </w:rPr>
                  </w:pPr>
                  <w:r>
                    <w:rPr>
                      <w:color w:val="auto"/>
                      <w:szCs w:val="21"/>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8" w:hRule="atLeast"/>
                <w:jc w:val="center"/>
              </w:trPr>
              <w:tc>
                <w:tcPr>
                  <w:tcW w:w="2742" w:type="dxa"/>
                  <w:vMerge w:val="restart"/>
                  <w:vAlign w:val="center"/>
                </w:tcPr>
                <w:p>
                  <w:pPr>
                    <w:widowControl/>
                    <w:snapToGrid w:val="0"/>
                    <w:jc w:val="center"/>
                    <w:rPr>
                      <w:bCs/>
                      <w:color w:val="auto"/>
                      <w:szCs w:val="21"/>
                    </w:rPr>
                  </w:pPr>
                  <w:r>
                    <w:rPr>
                      <w:color w:val="auto"/>
                      <w:szCs w:val="21"/>
                    </w:rPr>
                    <w:t>项目东侧厂界外1m高1.5m</w:t>
                  </w:r>
                </w:p>
              </w:tc>
              <w:tc>
                <w:tcPr>
                  <w:tcW w:w="702" w:type="pct"/>
                  <w:vAlign w:val="center"/>
                </w:tcPr>
                <w:p>
                  <w:pPr>
                    <w:jc w:val="center"/>
                    <w:rPr>
                      <w:color w:val="auto"/>
                      <w:szCs w:val="21"/>
                    </w:rPr>
                  </w:pPr>
                  <w:r>
                    <w:rPr>
                      <w:color w:val="auto"/>
                      <w:szCs w:val="21"/>
                    </w:rPr>
                    <w:t>2023.4.2</w:t>
                  </w:r>
                </w:p>
              </w:tc>
              <w:tc>
                <w:tcPr>
                  <w:tcW w:w="587" w:type="pct"/>
                  <w:vAlign w:val="center"/>
                </w:tcPr>
                <w:p>
                  <w:pPr>
                    <w:jc w:val="center"/>
                    <w:rPr>
                      <w:color w:val="auto"/>
                      <w:szCs w:val="21"/>
                    </w:rPr>
                  </w:pPr>
                  <w:r>
                    <w:rPr>
                      <w:color w:val="auto"/>
                      <w:szCs w:val="21"/>
                    </w:rPr>
                    <w:t>昼间</w:t>
                  </w:r>
                </w:p>
              </w:tc>
              <w:tc>
                <w:tcPr>
                  <w:tcW w:w="668" w:type="pct"/>
                  <w:vAlign w:val="center"/>
                </w:tcPr>
                <w:p>
                  <w:pPr>
                    <w:jc w:val="center"/>
                    <w:rPr>
                      <w:color w:val="auto"/>
                      <w:szCs w:val="21"/>
                    </w:rPr>
                  </w:pPr>
                  <w:r>
                    <w:rPr>
                      <w:color w:val="auto"/>
                      <w:szCs w:val="21"/>
                    </w:rPr>
                    <w:t>55</w:t>
                  </w:r>
                </w:p>
              </w:tc>
              <w:tc>
                <w:tcPr>
                  <w:tcW w:w="707" w:type="pct"/>
                  <w:vAlign w:val="center"/>
                </w:tcPr>
                <w:p>
                  <w:pPr>
                    <w:jc w:val="center"/>
                    <w:rPr>
                      <w:color w:val="auto"/>
                      <w:szCs w:val="21"/>
                    </w:rPr>
                  </w:pPr>
                  <w:r>
                    <w:rPr>
                      <w:color w:val="auto"/>
                      <w:szCs w:val="21"/>
                    </w:rPr>
                    <w:t>60</w:t>
                  </w:r>
                </w:p>
              </w:tc>
              <w:tc>
                <w:tcPr>
                  <w:tcW w:w="789" w:type="pct"/>
                  <w:vAlign w:val="center"/>
                </w:tcPr>
                <w:p>
                  <w:pPr>
                    <w:jc w:val="center"/>
                    <w:rPr>
                      <w:color w:val="auto"/>
                      <w:szCs w:val="21"/>
                    </w:rPr>
                  </w:pPr>
                  <w:r>
                    <w:rPr>
                      <w:color w:val="auto"/>
                      <w:szCs w:val="21"/>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8" w:hRule="atLeast"/>
                <w:jc w:val="center"/>
              </w:trPr>
              <w:tc>
                <w:tcPr>
                  <w:tcW w:w="1545" w:type="pct"/>
                  <w:vMerge w:val="continue"/>
                  <w:vAlign w:val="center"/>
                </w:tcPr>
                <w:p>
                  <w:pPr>
                    <w:spacing w:line="300" w:lineRule="exact"/>
                    <w:jc w:val="center"/>
                    <w:rPr>
                      <w:bCs/>
                      <w:color w:val="auto"/>
                      <w:szCs w:val="21"/>
                    </w:rPr>
                  </w:pPr>
                </w:p>
              </w:tc>
              <w:tc>
                <w:tcPr>
                  <w:tcW w:w="702" w:type="pct"/>
                  <w:vAlign w:val="center"/>
                </w:tcPr>
                <w:p>
                  <w:pPr>
                    <w:spacing w:line="300" w:lineRule="exact"/>
                    <w:jc w:val="center"/>
                    <w:rPr>
                      <w:color w:val="auto"/>
                      <w:szCs w:val="21"/>
                    </w:rPr>
                  </w:pPr>
                  <w:r>
                    <w:rPr>
                      <w:color w:val="auto"/>
                      <w:szCs w:val="21"/>
                    </w:rPr>
                    <w:t>2023.4.2</w:t>
                  </w:r>
                </w:p>
              </w:tc>
              <w:tc>
                <w:tcPr>
                  <w:tcW w:w="587" w:type="pct"/>
                  <w:vAlign w:val="center"/>
                </w:tcPr>
                <w:p>
                  <w:pPr>
                    <w:jc w:val="center"/>
                    <w:rPr>
                      <w:color w:val="auto"/>
                      <w:szCs w:val="21"/>
                    </w:rPr>
                  </w:pPr>
                  <w:r>
                    <w:rPr>
                      <w:color w:val="auto"/>
                      <w:kern w:val="0"/>
                      <w:szCs w:val="21"/>
                    </w:rPr>
                    <w:t>夜间</w:t>
                  </w:r>
                </w:p>
              </w:tc>
              <w:tc>
                <w:tcPr>
                  <w:tcW w:w="668" w:type="pct"/>
                  <w:vAlign w:val="center"/>
                </w:tcPr>
                <w:p>
                  <w:pPr>
                    <w:jc w:val="center"/>
                    <w:rPr>
                      <w:color w:val="auto"/>
                      <w:szCs w:val="21"/>
                    </w:rPr>
                  </w:pPr>
                  <w:r>
                    <w:rPr>
                      <w:color w:val="auto"/>
                      <w:szCs w:val="21"/>
                    </w:rPr>
                    <w:t>44</w:t>
                  </w:r>
                </w:p>
              </w:tc>
              <w:tc>
                <w:tcPr>
                  <w:tcW w:w="707" w:type="pct"/>
                  <w:vAlign w:val="center"/>
                </w:tcPr>
                <w:p>
                  <w:pPr>
                    <w:jc w:val="center"/>
                    <w:rPr>
                      <w:color w:val="auto"/>
                      <w:szCs w:val="21"/>
                    </w:rPr>
                  </w:pPr>
                  <w:r>
                    <w:rPr>
                      <w:color w:val="auto"/>
                      <w:szCs w:val="21"/>
                    </w:rPr>
                    <w:t>50</w:t>
                  </w:r>
                </w:p>
              </w:tc>
              <w:tc>
                <w:tcPr>
                  <w:tcW w:w="789" w:type="pct"/>
                  <w:vAlign w:val="center"/>
                </w:tcPr>
                <w:p>
                  <w:pPr>
                    <w:jc w:val="center"/>
                    <w:rPr>
                      <w:color w:val="auto"/>
                      <w:szCs w:val="21"/>
                    </w:rPr>
                  </w:pPr>
                  <w:r>
                    <w:rPr>
                      <w:color w:val="auto"/>
                      <w:szCs w:val="21"/>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8" w:hRule="atLeast"/>
                <w:jc w:val="center"/>
              </w:trPr>
              <w:tc>
                <w:tcPr>
                  <w:tcW w:w="2742" w:type="dxa"/>
                  <w:vMerge w:val="restart"/>
                  <w:vAlign w:val="center"/>
                </w:tcPr>
                <w:p>
                  <w:pPr>
                    <w:widowControl/>
                    <w:snapToGrid w:val="0"/>
                    <w:jc w:val="center"/>
                    <w:rPr>
                      <w:bCs/>
                      <w:color w:val="auto"/>
                      <w:szCs w:val="21"/>
                    </w:rPr>
                  </w:pPr>
                  <w:r>
                    <w:rPr>
                      <w:color w:val="auto"/>
                      <w:szCs w:val="21"/>
                    </w:rPr>
                    <w:t>项目南侧厂界外1m高1.5m</w:t>
                  </w:r>
                </w:p>
              </w:tc>
              <w:tc>
                <w:tcPr>
                  <w:tcW w:w="702" w:type="pct"/>
                  <w:vAlign w:val="center"/>
                </w:tcPr>
                <w:p>
                  <w:pPr>
                    <w:jc w:val="center"/>
                    <w:rPr>
                      <w:color w:val="auto"/>
                      <w:szCs w:val="21"/>
                    </w:rPr>
                  </w:pPr>
                  <w:r>
                    <w:rPr>
                      <w:color w:val="auto"/>
                      <w:szCs w:val="21"/>
                    </w:rPr>
                    <w:t>2023.4.2</w:t>
                  </w:r>
                </w:p>
              </w:tc>
              <w:tc>
                <w:tcPr>
                  <w:tcW w:w="587" w:type="pct"/>
                  <w:vAlign w:val="center"/>
                </w:tcPr>
                <w:p>
                  <w:pPr>
                    <w:jc w:val="center"/>
                    <w:rPr>
                      <w:color w:val="auto"/>
                      <w:szCs w:val="21"/>
                    </w:rPr>
                  </w:pPr>
                  <w:r>
                    <w:rPr>
                      <w:color w:val="auto"/>
                      <w:szCs w:val="21"/>
                    </w:rPr>
                    <w:t>昼间</w:t>
                  </w:r>
                </w:p>
              </w:tc>
              <w:tc>
                <w:tcPr>
                  <w:tcW w:w="668" w:type="pct"/>
                  <w:vAlign w:val="center"/>
                </w:tcPr>
                <w:p>
                  <w:pPr>
                    <w:jc w:val="center"/>
                    <w:rPr>
                      <w:color w:val="auto"/>
                      <w:szCs w:val="21"/>
                    </w:rPr>
                  </w:pPr>
                  <w:r>
                    <w:rPr>
                      <w:color w:val="auto"/>
                      <w:szCs w:val="21"/>
                    </w:rPr>
                    <w:t>54</w:t>
                  </w:r>
                </w:p>
              </w:tc>
              <w:tc>
                <w:tcPr>
                  <w:tcW w:w="707" w:type="pct"/>
                  <w:vAlign w:val="center"/>
                </w:tcPr>
                <w:p>
                  <w:pPr>
                    <w:jc w:val="center"/>
                    <w:rPr>
                      <w:color w:val="auto"/>
                      <w:szCs w:val="21"/>
                    </w:rPr>
                  </w:pPr>
                  <w:r>
                    <w:rPr>
                      <w:color w:val="auto"/>
                      <w:szCs w:val="21"/>
                    </w:rPr>
                    <w:t>60</w:t>
                  </w:r>
                </w:p>
              </w:tc>
              <w:tc>
                <w:tcPr>
                  <w:tcW w:w="789" w:type="pct"/>
                  <w:vAlign w:val="center"/>
                </w:tcPr>
                <w:p>
                  <w:pPr>
                    <w:jc w:val="center"/>
                    <w:rPr>
                      <w:color w:val="auto"/>
                      <w:szCs w:val="21"/>
                    </w:rPr>
                  </w:pPr>
                  <w:r>
                    <w:rPr>
                      <w:color w:val="auto"/>
                      <w:szCs w:val="21"/>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8" w:hRule="atLeast"/>
                <w:jc w:val="center"/>
              </w:trPr>
              <w:tc>
                <w:tcPr>
                  <w:tcW w:w="1545" w:type="pct"/>
                  <w:vMerge w:val="continue"/>
                  <w:vAlign w:val="center"/>
                </w:tcPr>
                <w:p>
                  <w:pPr>
                    <w:spacing w:line="300" w:lineRule="exact"/>
                    <w:jc w:val="center"/>
                    <w:rPr>
                      <w:bCs/>
                      <w:color w:val="auto"/>
                      <w:szCs w:val="21"/>
                    </w:rPr>
                  </w:pPr>
                </w:p>
              </w:tc>
              <w:tc>
                <w:tcPr>
                  <w:tcW w:w="702" w:type="pct"/>
                  <w:vAlign w:val="center"/>
                </w:tcPr>
                <w:p>
                  <w:pPr>
                    <w:spacing w:line="300" w:lineRule="exact"/>
                    <w:jc w:val="center"/>
                    <w:rPr>
                      <w:color w:val="auto"/>
                      <w:szCs w:val="21"/>
                    </w:rPr>
                  </w:pPr>
                  <w:r>
                    <w:rPr>
                      <w:color w:val="auto"/>
                      <w:szCs w:val="21"/>
                    </w:rPr>
                    <w:t>2023.4.2</w:t>
                  </w:r>
                </w:p>
              </w:tc>
              <w:tc>
                <w:tcPr>
                  <w:tcW w:w="587" w:type="pct"/>
                  <w:vAlign w:val="center"/>
                </w:tcPr>
                <w:p>
                  <w:pPr>
                    <w:jc w:val="center"/>
                    <w:rPr>
                      <w:color w:val="auto"/>
                      <w:szCs w:val="21"/>
                    </w:rPr>
                  </w:pPr>
                  <w:r>
                    <w:rPr>
                      <w:color w:val="auto"/>
                      <w:kern w:val="0"/>
                      <w:szCs w:val="21"/>
                    </w:rPr>
                    <w:t>夜间</w:t>
                  </w:r>
                </w:p>
              </w:tc>
              <w:tc>
                <w:tcPr>
                  <w:tcW w:w="668" w:type="pct"/>
                  <w:vAlign w:val="center"/>
                </w:tcPr>
                <w:p>
                  <w:pPr>
                    <w:jc w:val="center"/>
                    <w:rPr>
                      <w:color w:val="auto"/>
                      <w:szCs w:val="21"/>
                    </w:rPr>
                  </w:pPr>
                  <w:r>
                    <w:rPr>
                      <w:color w:val="auto"/>
                      <w:szCs w:val="21"/>
                    </w:rPr>
                    <w:t>45</w:t>
                  </w:r>
                </w:p>
              </w:tc>
              <w:tc>
                <w:tcPr>
                  <w:tcW w:w="707" w:type="pct"/>
                  <w:vAlign w:val="center"/>
                </w:tcPr>
                <w:p>
                  <w:pPr>
                    <w:jc w:val="center"/>
                    <w:rPr>
                      <w:color w:val="auto"/>
                      <w:szCs w:val="21"/>
                    </w:rPr>
                  </w:pPr>
                  <w:r>
                    <w:rPr>
                      <w:color w:val="auto"/>
                      <w:szCs w:val="21"/>
                    </w:rPr>
                    <w:t>50</w:t>
                  </w:r>
                </w:p>
              </w:tc>
              <w:tc>
                <w:tcPr>
                  <w:tcW w:w="789" w:type="pct"/>
                  <w:vAlign w:val="center"/>
                </w:tcPr>
                <w:p>
                  <w:pPr>
                    <w:jc w:val="center"/>
                    <w:rPr>
                      <w:color w:val="auto"/>
                      <w:szCs w:val="21"/>
                    </w:rPr>
                  </w:pPr>
                  <w:r>
                    <w:rPr>
                      <w:color w:val="auto"/>
                      <w:szCs w:val="21"/>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8" w:hRule="atLeast"/>
                <w:jc w:val="center"/>
              </w:trPr>
              <w:tc>
                <w:tcPr>
                  <w:tcW w:w="2742" w:type="dxa"/>
                  <w:vMerge w:val="restart"/>
                  <w:vAlign w:val="center"/>
                </w:tcPr>
                <w:p>
                  <w:pPr>
                    <w:widowControl/>
                    <w:snapToGrid w:val="0"/>
                    <w:jc w:val="center"/>
                    <w:rPr>
                      <w:bCs/>
                      <w:color w:val="auto"/>
                      <w:szCs w:val="21"/>
                    </w:rPr>
                  </w:pPr>
                  <w:r>
                    <w:rPr>
                      <w:color w:val="auto"/>
                      <w:szCs w:val="21"/>
                    </w:rPr>
                    <w:t>项目西侧厂界外1m高1.5m</w:t>
                  </w:r>
                </w:p>
              </w:tc>
              <w:tc>
                <w:tcPr>
                  <w:tcW w:w="702" w:type="pct"/>
                  <w:vAlign w:val="center"/>
                </w:tcPr>
                <w:p>
                  <w:pPr>
                    <w:jc w:val="center"/>
                    <w:rPr>
                      <w:color w:val="auto"/>
                      <w:szCs w:val="21"/>
                    </w:rPr>
                  </w:pPr>
                  <w:r>
                    <w:rPr>
                      <w:color w:val="auto"/>
                      <w:szCs w:val="21"/>
                    </w:rPr>
                    <w:t>2023.4.2</w:t>
                  </w:r>
                </w:p>
              </w:tc>
              <w:tc>
                <w:tcPr>
                  <w:tcW w:w="587" w:type="pct"/>
                  <w:vAlign w:val="center"/>
                </w:tcPr>
                <w:p>
                  <w:pPr>
                    <w:jc w:val="center"/>
                    <w:rPr>
                      <w:color w:val="auto"/>
                      <w:szCs w:val="21"/>
                    </w:rPr>
                  </w:pPr>
                  <w:r>
                    <w:rPr>
                      <w:color w:val="auto"/>
                      <w:szCs w:val="21"/>
                    </w:rPr>
                    <w:t>昼间</w:t>
                  </w:r>
                </w:p>
              </w:tc>
              <w:tc>
                <w:tcPr>
                  <w:tcW w:w="668" w:type="pct"/>
                  <w:vAlign w:val="center"/>
                </w:tcPr>
                <w:p>
                  <w:pPr>
                    <w:jc w:val="center"/>
                    <w:rPr>
                      <w:color w:val="auto"/>
                      <w:szCs w:val="21"/>
                    </w:rPr>
                  </w:pPr>
                  <w:r>
                    <w:rPr>
                      <w:color w:val="auto"/>
                      <w:szCs w:val="21"/>
                    </w:rPr>
                    <w:t>53</w:t>
                  </w:r>
                </w:p>
              </w:tc>
              <w:tc>
                <w:tcPr>
                  <w:tcW w:w="707" w:type="pct"/>
                  <w:vAlign w:val="center"/>
                </w:tcPr>
                <w:p>
                  <w:pPr>
                    <w:jc w:val="center"/>
                    <w:rPr>
                      <w:color w:val="auto"/>
                      <w:szCs w:val="21"/>
                    </w:rPr>
                  </w:pPr>
                  <w:r>
                    <w:rPr>
                      <w:color w:val="auto"/>
                      <w:szCs w:val="21"/>
                    </w:rPr>
                    <w:t>60</w:t>
                  </w:r>
                </w:p>
              </w:tc>
              <w:tc>
                <w:tcPr>
                  <w:tcW w:w="789" w:type="pct"/>
                  <w:vAlign w:val="center"/>
                </w:tcPr>
                <w:p>
                  <w:pPr>
                    <w:jc w:val="center"/>
                    <w:rPr>
                      <w:color w:val="auto"/>
                      <w:szCs w:val="21"/>
                    </w:rPr>
                  </w:pPr>
                  <w:r>
                    <w:rPr>
                      <w:color w:val="auto"/>
                      <w:szCs w:val="21"/>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23" w:hRule="atLeast"/>
                <w:jc w:val="center"/>
              </w:trPr>
              <w:tc>
                <w:tcPr>
                  <w:tcW w:w="1545" w:type="pct"/>
                  <w:vMerge w:val="continue"/>
                  <w:vAlign w:val="center"/>
                </w:tcPr>
                <w:p>
                  <w:pPr>
                    <w:spacing w:line="300" w:lineRule="exact"/>
                    <w:jc w:val="center"/>
                    <w:rPr>
                      <w:bCs/>
                      <w:color w:val="auto"/>
                      <w:szCs w:val="21"/>
                    </w:rPr>
                  </w:pPr>
                </w:p>
              </w:tc>
              <w:tc>
                <w:tcPr>
                  <w:tcW w:w="702" w:type="pct"/>
                  <w:vAlign w:val="center"/>
                </w:tcPr>
                <w:p>
                  <w:pPr>
                    <w:spacing w:line="300" w:lineRule="exact"/>
                    <w:jc w:val="center"/>
                    <w:rPr>
                      <w:color w:val="auto"/>
                      <w:szCs w:val="21"/>
                    </w:rPr>
                  </w:pPr>
                  <w:r>
                    <w:rPr>
                      <w:color w:val="auto"/>
                      <w:szCs w:val="21"/>
                    </w:rPr>
                    <w:t>2023.4.2</w:t>
                  </w:r>
                </w:p>
              </w:tc>
              <w:tc>
                <w:tcPr>
                  <w:tcW w:w="587" w:type="pct"/>
                  <w:vAlign w:val="center"/>
                </w:tcPr>
                <w:p>
                  <w:pPr>
                    <w:jc w:val="center"/>
                    <w:rPr>
                      <w:color w:val="auto"/>
                      <w:szCs w:val="21"/>
                    </w:rPr>
                  </w:pPr>
                  <w:r>
                    <w:rPr>
                      <w:color w:val="auto"/>
                      <w:kern w:val="0"/>
                      <w:szCs w:val="21"/>
                    </w:rPr>
                    <w:t>夜间</w:t>
                  </w:r>
                </w:p>
              </w:tc>
              <w:tc>
                <w:tcPr>
                  <w:tcW w:w="668" w:type="pct"/>
                  <w:vAlign w:val="center"/>
                </w:tcPr>
                <w:p>
                  <w:pPr>
                    <w:jc w:val="center"/>
                    <w:rPr>
                      <w:color w:val="auto"/>
                      <w:szCs w:val="21"/>
                    </w:rPr>
                  </w:pPr>
                  <w:r>
                    <w:rPr>
                      <w:color w:val="auto"/>
                      <w:szCs w:val="21"/>
                    </w:rPr>
                    <w:t>45</w:t>
                  </w:r>
                </w:p>
              </w:tc>
              <w:tc>
                <w:tcPr>
                  <w:tcW w:w="707" w:type="pct"/>
                  <w:vAlign w:val="center"/>
                </w:tcPr>
                <w:p>
                  <w:pPr>
                    <w:jc w:val="center"/>
                    <w:rPr>
                      <w:color w:val="auto"/>
                      <w:szCs w:val="21"/>
                    </w:rPr>
                  </w:pPr>
                  <w:r>
                    <w:rPr>
                      <w:color w:val="auto"/>
                      <w:szCs w:val="21"/>
                    </w:rPr>
                    <w:t>50</w:t>
                  </w:r>
                </w:p>
              </w:tc>
              <w:tc>
                <w:tcPr>
                  <w:tcW w:w="789" w:type="pct"/>
                  <w:vAlign w:val="center"/>
                </w:tcPr>
                <w:p>
                  <w:pPr>
                    <w:jc w:val="center"/>
                    <w:rPr>
                      <w:color w:val="auto"/>
                      <w:szCs w:val="21"/>
                    </w:rPr>
                  </w:pPr>
                  <w:r>
                    <w:rPr>
                      <w:color w:val="auto"/>
                      <w:szCs w:val="21"/>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23" w:hRule="atLeast"/>
                <w:jc w:val="center"/>
              </w:trPr>
              <w:tc>
                <w:tcPr>
                  <w:tcW w:w="2742" w:type="dxa"/>
                  <w:vMerge w:val="restart"/>
                  <w:vAlign w:val="center"/>
                </w:tcPr>
                <w:p>
                  <w:pPr>
                    <w:widowControl/>
                    <w:snapToGrid w:val="0"/>
                    <w:jc w:val="center"/>
                    <w:rPr>
                      <w:color w:val="auto"/>
                      <w:szCs w:val="21"/>
                    </w:rPr>
                  </w:pPr>
                  <w:r>
                    <w:rPr>
                      <w:color w:val="auto"/>
                      <w:szCs w:val="21"/>
                    </w:rPr>
                    <w:t>项目东南侧25m外1.5m高居民区</w:t>
                  </w:r>
                </w:p>
              </w:tc>
              <w:tc>
                <w:tcPr>
                  <w:tcW w:w="702" w:type="pct"/>
                  <w:vAlign w:val="center"/>
                </w:tcPr>
                <w:p>
                  <w:pPr>
                    <w:jc w:val="center"/>
                    <w:rPr>
                      <w:color w:val="auto"/>
                      <w:szCs w:val="21"/>
                    </w:rPr>
                  </w:pPr>
                  <w:r>
                    <w:rPr>
                      <w:color w:val="auto"/>
                      <w:szCs w:val="21"/>
                    </w:rPr>
                    <w:t>2023.4.2</w:t>
                  </w:r>
                </w:p>
              </w:tc>
              <w:tc>
                <w:tcPr>
                  <w:tcW w:w="587" w:type="pct"/>
                  <w:vAlign w:val="center"/>
                </w:tcPr>
                <w:p>
                  <w:pPr>
                    <w:jc w:val="center"/>
                    <w:rPr>
                      <w:color w:val="auto"/>
                      <w:szCs w:val="21"/>
                    </w:rPr>
                  </w:pPr>
                  <w:r>
                    <w:rPr>
                      <w:color w:val="auto"/>
                      <w:szCs w:val="21"/>
                    </w:rPr>
                    <w:t>昼间</w:t>
                  </w:r>
                </w:p>
              </w:tc>
              <w:tc>
                <w:tcPr>
                  <w:tcW w:w="668" w:type="pct"/>
                  <w:vAlign w:val="center"/>
                </w:tcPr>
                <w:p>
                  <w:pPr>
                    <w:jc w:val="center"/>
                    <w:rPr>
                      <w:color w:val="auto"/>
                      <w:szCs w:val="21"/>
                    </w:rPr>
                  </w:pPr>
                  <w:r>
                    <w:rPr>
                      <w:color w:val="auto"/>
                      <w:szCs w:val="21"/>
                    </w:rPr>
                    <w:t>53</w:t>
                  </w:r>
                </w:p>
              </w:tc>
              <w:tc>
                <w:tcPr>
                  <w:tcW w:w="707" w:type="pct"/>
                  <w:vAlign w:val="center"/>
                </w:tcPr>
                <w:p>
                  <w:pPr>
                    <w:jc w:val="center"/>
                    <w:rPr>
                      <w:color w:val="auto"/>
                      <w:szCs w:val="21"/>
                    </w:rPr>
                  </w:pPr>
                  <w:r>
                    <w:rPr>
                      <w:color w:val="auto"/>
                      <w:szCs w:val="21"/>
                    </w:rPr>
                    <w:t>60</w:t>
                  </w:r>
                </w:p>
              </w:tc>
              <w:tc>
                <w:tcPr>
                  <w:tcW w:w="789" w:type="pct"/>
                  <w:vAlign w:val="center"/>
                </w:tcPr>
                <w:p>
                  <w:pPr>
                    <w:jc w:val="center"/>
                    <w:rPr>
                      <w:color w:val="auto"/>
                      <w:szCs w:val="21"/>
                    </w:rPr>
                  </w:pPr>
                  <w:r>
                    <w:rPr>
                      <w:color w:val="auto"/>
                      <w:szCs w:val="21"/>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23" w:hRule="atLeast"/>
                <w:jc w:val="center"/>
              </w:trPr>
              <w:tc>
                <w:tcPr>
                  <w:tcW w:w="1545" w:type="pct"/>
                  <w:vMerge w:val="continue"/>
                  <w:vAlign w:val="center"/>
                </w:tcPr>
                <w:p>
                  <w:pPr>
                    <w:spacing w:line="300" w:lineRule="exact"/>
                    <w:jc w:val="center"/>
                    <w:rPr>
                      <w:bCs/>
                      <w:color w:val="auto"/>
                      <w:szCs w:val="21"/>
                    </w:rPr>
                  </w:pPr>
                </w:p>
              </w:tc>
              <w:tc>
                <w:tcPr>
                  <w:tcW w:w="702" w:type="pct"/>
                  <w:vAlign w:val="center"/>
                </w:tcPr>
                <w:p>
                  <w:pPr>
                    <w:spacing w:line="300" w:lineRule="exact"/>
                    <w:jc w:val="center"/>
                    <w:rPr>
                      <w:color w:val="auto"/>
                      <w:szCs w:val="21"/>
                    </w:rPr>
                  </w:pPr>
                  <w:r>
                    <w:rPr>
                      <w:color w:val="auto"/>
                      <w:szCs w:val="21"/>
                    </w:rPr>
                    <w:t>2023.4.2</w:t>
                  </w:r>
                </w:p>
              </w:tc>
              <w:tc>
                <w:tcPr>
                  <w:tcW w:w="587" w:type="pct"/>
                  <w:vAlign w:val="center"/>
                </w:tcPr>
                <w:p>
                  <w:pPr>
                    <w:jc w:val="center"/>
                    <w:rPr>
                      <w:color w:val="auto"/>
                      <w:szCs w:val="21"/>
                    </w:rPr>
                  </w:pPr>
                  <w:r>
                    <w:rPr>
                      <w:color w:val="auto"/>
                      <w:kern w:val="0"/>
                      <w:szCs w:val="21"/>
                    </w:rPr>
                    <w:t>夜间</w:t>
                  </w:r>
                </w:p>
              </w:tc>
              <w:tc>
                <w:tcPr>
                  <w:tcW w:w="668" w:type="pct"/>
                  <w:vAlign w:val="center"/>
                </w:tcPr>
                <w:p>
                  <w:pPr>
                    <w:jc w:val="center"/>
                    <w:rPr>
                      <w:color w:val="auto"/>
                      <w:szCs w:val="21"/>
                    </w:rPr>
                  </w:pPr>
                  <w:r>
                    <w:rPr>
                      <w:color w:val="auto"/>
                      <w:szCs w:val="21"/>
                    </w:rPr>
                    <w:t>47</w:t>
                  </w:r>
                </w:p>
              </w:tc>
              <w:tc>
                <w:tcPr>
                  <w:tcW w:w="707" w:type="pct"/>
                  <w:vAlign w:val="center"/>
                </w:tcPr>
                <w:p>
                  <w:pPr>
                    <w:jc w:val="center"/>
                    <w:rPr>
                      <w:color w:val="auto"/>
                      <w:szCs w:val="21"/>
                    </w:rPr>
                  </w:pPr>
                  <w:r>
                    <w:rPr>
                      <w:color w:val="auto"/>
                      <w:szCs w:val="21"/>
                    </w:rPr>
                    <w:t>50</w:t>
                  </w:r>
                </w:p>
              </w:tc>
              <w:tc>
                <w:tcPr>
                  <w:tcW w:w="789" w:type="pct"/>
                  <w:vAlign w:val="center"/>
                </w:tcPr>
                <w:p>
                  <w:pPr>
                    <w:jc w:val="center"/>
                    <w:rPr>
                      <w:color w:val="auto"/>
                      <w:szCs w:val="21"/>
                    </w:rPr>
                  </w:pPr>
                  <w:r>
                    <w:rPr>
                      <w:color w:val="auto"/>
                      <w:szCs w:val="21"/>
                    </w:rPr>
                    <w:t>达标</w:t>
                  </w:r>
                </w:p>
              </w:tc>
            </w:tr>
          </w:tbl>
          <w:p>
            <w:pPr>
              <w:widowControl/>
              <w:spacing w:line="360" w:lineRule="auto"/>
              <w:ind w:firstLine="480" w:firstLineChars="200"/>
              <w:jc w:val="left"/>
              <w:rPr>
                <w:color w:val="auto"/>
                <w:kern w:val="0"/>
                <w:szCs w:val="21"/>
              </w:rPr>
            </w:pPr>
            <w:r>
              <w:rPr>
                <w:color w:val="auto"/>
                <w:kern w:val="0"/>
                <w:sz w:val="24"/>
              </w:rPr>
              <w:t>表3-</w:t>
            </w:r>
            <w:r>
              <w:rPr>
                <w:rFonts w:hint="eastAsia"/>
                <w:color w:val="auto"/>
                <w:kern w:val="0"/>
                <w:sz w:val="24"/>
              </w:rPr>
              <w:t>6</w:t>
            </w:r>
            <w:r>
              <w:rPr>
                <w:color w:val="auto"/>
                <w:kern w:val="0"/>
                <w:sz w:val="24"/>
              </w:rPr>
              <w:t>的监测结果统计表可以看出，项目区域的声环境能够满足《声环境质量标准》（GB3096-2008）2类标准要求，区域声环境质量较好。</w:t>
            </w:r>
          </w:p>
          <w:p>
            <w:pPr>
              <w:spacing w:line="360" w:lineRule="auto"/>
              <w:ind w:firstLine="482" w:firstLineChars="200"/>
              <w:rPr>
                <w:b/>
                <w:bCs/>
                <w:color w:val="auto"/>
                <w:kern w:val="0"/>
                <w:sz w:val="24"/>
              </w:rPr>
            </w:pPr>
            <w:r>
              <w:rPr>
                <w:b/>
                <w:bCs/>
                <w:color w:val="auto"/>
                <w:kern w:val="0"/>
                <w:sz w:val="24"/>
              </w:rPr>
              <w:t>4、生态环境现状</w:t>
            </w:r>
          </w:p>
          <w:p>
            <w:pPr>
              <w:spacing w:line="360" w:lineRule="auto"/>
              <w:ind w:firstLine="480" w:firstLineChars="200"/>
              <w:rPr>
                <w:color w:val="auto"/>
                <w:sz w:val="24"/>
              </w:rPr>
            </w:pPr>
            <w:r>
              <w:rPr>
                <w:color w:val="auto"/>
                <w:kern w:val="0"/>
                <w:sz w:val="24"/>
              </w:rPr>
              <w:t>本项目位于</w:t>
            </w:r>
            <w:r>
              <w:rPr>
                <w:bCs/>
                <w:color w:val="auto"/>
                <w:sz w:val="24"/>
              </w:rPr>
              <w:t>四川省乐山市市中区悦来镇龙岩村</w:t>
            </w:r>
            <w:r>
              <w:rPr>
                <w:color w:val="auto"/>
                <w:kern w:val="0"/>
                <w:sz w:val="24"/>
              </w:rPr>
              <w:t>，区域内人类活动明显，项目用地性质为建设用地，项目已取得用地手续。根据现场查勘，项目未占用永久基本农田、不涉及自然保护区、风景名胜区、饮用水源保护区等敏感区域，所在地区无珍稀野生动植物及古、大、珍、奇树木分布，无特殊文物保护单位。项目所在区域生态环境较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447" w:type="pct"/>
            <w:tcMar>
              <w:top w:w="16" w:type="dxa"/>
              <w:left w:w="16" w:type="dxa"/>
              <w:right w:w="16" w:type="dxa"/>
            </w:tcMar>
            <w:vAlign w:val="center"/>
          </w:tcPr>
          <w:p>
            <w:pPr>
              <w:adjustRightInd w:val="0"/>
              <w:snapToGrid w:val="0"/>
              <w:jc w:val="center"/>
              <w:rPr>
                <w:color w:val="auto"/>
                <w:kern w:val="0"/>
                <w:sz w:val="24"/>
              </w:rPr>
            </w:pPr>
            <w:r>
              <w:rPr>
                <w:color w:val="auto"/>
                <w:kern w:val="0"/>
                <w:sz w:val="24"/>
              </w:rPr>
              <w:t>环境</w:t>
            </w:r>
          </w:p>
          <w:p>
            <w:pPr>
              <w:adjustRightInd w:val="0"/>
              <w:snapToGrid w:val="0"/>
              <w:jc w:val="center"/>
              <w:rPr>
                <w:color w:val="auto"/>
                <w:kern w:val="0"/>
                <w:sz w:val="24"/>
              </w:rPr>
            </w:pPr>
            <w:r>
              <w:rPr>
                <w:color w:val="auto"/>
                <w:kern w:val="0"/>
                <w:sz w:val="24"/>
              </w:rPr>
              <w:t>保护</w:t>
            </w:r>
          </w:p>
          <w:p>
            <w:pPr>
              <w:adjustRightInd w:val="0"/>
              <w:snapToGrid w:val="0"/>
              <w:jc w:val="center"/>
              <w:rPr>
                <w:color w:val="auto"/>
                <w:kern w:val="0"/>
                <w:sz w:val="24"/>
              </w:rPr>
            </w:pPr>
            <w:r>
              <w:rPr>
                <w:color w:val="auto"/>
                <w:kern w:val="0"/>
                <w:sz w:val="24"/>
              </w:rPr>
              <w:t>目标</w:t>
            </w:r>
          </w:p>
        </w:tc>
        <w:tc>
          <w:tcPr>
            <w:tcW w:w="4552" w:type="pct"/>
          </w:tcPr>
          <w:p>
            <w:pPr>
              <w:adjustRightInd w:val="0"/>
              <w:snapToGrid w:val="0"/>
              <w:spacing w:line="360" w:lineRule="auto"/>
              <w:ind w:firstLine="480"/>
              <w:rPr>
                <w:color w:val="auto"/>
                <w:sz w:val="24"/>
              </w:rPr>
            </w:pPr>
            <w:r>
              <w:rPr>
                <w:color w:val="auto"/>
                <w:kern w:val="0"/>
                <w:sz w:val="24"/>
              </w:rPr>
              <w:t>本项目位于</w:t>
            </w:r>
            <w:r>
              <w:rPr>
                <w:bCs/>
                <w:color w:val="auto"/>
                <w:sz w:val="24"/>
              </w:rPr>
              <w:t>四川省乐山市市中区悦来镇龙岩村</w:t>
            </w:r>
            <w:r>
              <w:rPr>
                <w:color w:val="auto"/>
                <w:kern w:val="0"/>
                <w:sz w:val="24"/>
              </w:rPr>
              <w:t>，项目北侧紧邻乐山铁匠世家手工刀具有限公司，325m外有2户居民，5人；东侧250m外为成贵高铁；东南侧25m外有2户居民，4人，204m外有1户居民，2人；西南侧224m外有1户居民，2人；西北侧173m处有10户居民，约25人</w:t>
            </w:r>
            <w:r>
              <w:rPr>
                <w:bCs/>
                <w:color w:val="auto"/>
                <w:sz w:val="24"/>
              </w:rPr>
              <w:t>。</w:t>
            </w:r>
            <w:r>
              <w:rPr>
                <w:rFonts w:hint="eastAsia"/>
                <w:bCs/>
                <w:color w:val="auto"/>
                <w:sz w:val="24"/>
                <w:lang w:eastAsia="zh-CN"/>
              </w:rPr>
              <w:t>本项目</w:t>
            </w:r>
            <w:r>
              <w:rPr>
                <w:rFonts w:hint="eastAsia"/>
                <w:bCs/>
                <w:color w:val="auto"/>
                <w:sz w:val="24"/>
              </w:rPr>
              <w:t>南侧</w:t>
            </w:r>
            <w:r>
              <w:rPr>
                <w:rFonts w:hint="eastAsia"/>
                <w:bCs/>
                <w:color w:val="auto"/>
                <w:sz w:val="24"/>
                <w:lang w:val="en-US" w:eastAsia="zh-CN"/>
              </w:rPr>
              <w:t>30m外为</w:t>
            </w:r>
            <w:r>
              <w:rPr>
                <w:rFonts w:hint="eastAsia"/>
                <w:bCs/>
                <w:color w:val="auto"/>
                <w:sz w:val="24"/>
              </w:rPr>
              <w:t>乐青路</w:t>
            </w:r>
            <w:r>
              <w:rPr>
                <w:rFonts w:hint="eastAsia"/>
                <w:bCs/>
                <w:color w:val="auto"/>
                <w:sz w:val="24"/>
                <w:lang w:eastAsia="zh-CN"/>
              </w:rPr>
              <w:t>（本项目主要运输道路），</w:t>
            </w:r>
            <w:r>
              <w:rPr>
                <w:color w:val="auto"/>
                <w:sz w:val="24"/>
              </w:rPr>
              <w:t>项目评价范围内无自然保护区、风景名胜区、世界文化和自然遗产地，饮用水源保护区等敏感目标，距离本项目最近地表水体为项目东北侧2300m处的岷江。</w:t>
            </w:r>
          </w:p>
          <w:p>
            <w:pPr>
              <w:adjustRightInd w:val="0"/>
              <w:snapToGrid w:val="0"/>
              <w:spacing w:line="360" w:lineRule="auto"/>
              <w:ind w:firstLine="480"/>
              <w:rPr>
                <w:bCs/>
                <w:color w:val="auto"/>
                <w:sz w:val="24"/>
              </w:rPr>
            </w:pPr>
            <w:r>
              <w:rPr>
                <w:color w:val="auto"/>
                <w:sz w:val="24"/>
              </w:rPr>
              <w:t>根据区域环境功能特征及建设项目地理位置和性质，确定本项目主要环境保护目标详见表3-7。</w:t>
            </w:r>
          </w:p>
          <w:p>
            <w:pPr>
              <w:spacing w:line="360" w:lineRule="auto"/>
              <w:ind w:firstLine="482" w:firstLineChars="200"/>
              <w:jc w:val="center"/>
              <w:rPr>
                <w:b/>
                <w:color w:val="auto"/>
                <w:kern w:val="0"/>
                <w:szCs w:val="21"/>
              </w:rPr>
            </w:pPr>
            <w:r>
              <w:rPr>
                <w:b/>
                <w:color w:val="auto"/>
                <w:kern w:val="0"/>
                <w:szCs w:val="21"/>
              </w:rPr>
              <w:t>表3-7  项目主要环境保护目标一览表</w:t>
            </w:r>
          </w:p>
          <w:tbl>
            <w:tblPr>
              <w:tblStyle w:val="4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4"/>
              <w:gridCol w:w="1294"/>
              <w:gridCol w:w="988"/>
              <w:gridCol w:w="896"/>
              <w:gridCol w:w="1148"/>
              <w:gridCol w:w="1338"/>
              <w:gridCol w:w="24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3" w:type="pct"/>
                  <w:vAlign w:val="center"/>
                </w:tcPr>
                <w:p>
                  <w:pPr>
                    <w:tabs>
                      <w:tab w:val="left" w:pos="7590"/>
                    </w:tabs>
                    <w:adjustRightInd w:val="0"/>
                    <w:snapToGrid w:val="0"/>
                    <w:jc w:val="center"/>
                    <w:rPr>
                      <w:b/>
                      <w:color w:val="auto"/>
                      <w:szCs w:val="21"/>
                      <w:lang w:val="zh-CN"/>
                    </w:rPr>
                  </w:pPr>
                  <w:r>
                    <w:rPr>
                      <w:b/>
                      <w:color w:val="auto"/>
                      <w:szCs w:val="21"/>
                      <w:lang w:val="zh-CN"/>
                    </w:rPr>
                    <w:t>环境因素</w:t>
                  </w:r>
                </w:p>
              </w:tc>
              <w:tc>
                <w:tcPr>
                  <w:tcW w:w="728" w:type="pct"/>
                  <w:vAlign w:val="center"/>
                </w:tcPr>
                <w:p>
                  <w:pPr>
                    <w:tabs>
                      <w:tab w:val="left" w:pos="7590"/>
                    </w:tabs>
                    <w:adjustRightInd w:val="0"/>
                    <w:snapToGrid w:val="0"/>
                    <w:jc w:val="center"/>
                    <w:rPr>
                      <w:b/>
                      <w:color w:val="auto"/>
                      <w:szCs w:val="21"/>
                    </w:rPr>
                  </w:pPr>
                  <w:r>
                    <w:rPr>
                      <w:b/>
                      <w:color w:val="auto"/>
                      <w:szCs w:val="21"/>
                    </w:rPr>
                    <w:t>环境保护</w:t>
                  </w:r>
                </w:p>
                <w:p>
                  <w:pPr>
                    <w:tabs>
                      <w:tab w:val="left" w:pos="7590"/>
                    </w:tabs>
                    <w:adjustRightInd w:val="0"/>
                    <w:snapToGrid w:val="0"/>
                    <w:jc w:val="center"/>
                    <w:rPr>
                      <w:b/>
                      <w:color w:val="auto"/>
                      <w:szCs w:val="21"/>
                    </w:rPr>
                  </w:pPr>
                  <w:r>
                    <w:rPr>
                      <w:b/>
                      <w:color w:val="auto"/>
                      <w:szCs w:val="21"/>
                    </w:rPr>
                    <w:t>名称</w:t>
                  </w:r>
                </w:p>
              </w:tc>
              <w:tc>
                <w:tcPr>
                  <w:tcW w:w="556" w:type="pct"/>
                  <w:vAlign w:val="center"/>
                </w:tcPr>
                <w:p>
                  <w:pPr>
                    <w:tabs>
                      <w:tab w:val="left" w:pos="7590"/>
                    </w:tabs>
                    <w:adjustRightInd w:val="0"/>
                    <w:snapToGrid w:val="0"/>
                    <w:jc w:val="center"/>
                    <w:rPr>
                      <w:b/>
                      <w:color w:val="auto"/>
                      <w:szCs w:val="21"/>
                      <w:lang w:val="zh-CN"/>
                    </w:rPr>
                  </w:pPr>
                  <w:r>
                    <w:rPr>
                      <w:b/>
                      <w:color w:val="auto"/>
                      <w:szCs w:val="21"/>
                      <w:lang w:val="zh-CN"/>
                    </w:rPr>
                    <w:t>相对厂界距离/m</w:t>
                  </w:r>
                </w:p>
              </w:tc>
              <w:tc>
                <w:tcPr>
                  <w:tcW w:w="504" w:type="pct"/>
                  <w:vAlign w:val="center"/>
                </w:tcPr>
                <w:p>
                  <w:pPr>
                    <w:tabs>
                      <w:tab w:val="left" w:pos="7590"/>
                    </w:tabs>
                    <w:adjustRightInd w:val="0"/>
                    <w:snapToGrid w:val="0"/>
                    <w:jc w:val="center"/>
                    <w:rPr>
                      <w:b/>
                      <w:color w:val="auto"/>
                      <w:szCs w:val="21"/>
                      <w:lang w:val="zh-CN"/>
                    </w:rPr>
                  </w:pPr>
                  <w:r>
                    <w:rPr>
                      <w:b/>
                      <w:color w:val="auto"/>
                      <w:szCs w:val="21"/>
                      <w:lang w:val="zh-CN"/>
                    </w:rPr>
                    <w:t>相对厂址方位</w:t>
                  </w:r>
                </w:p>
              </w:tc>
              <w:tc>
                <w:tcPr>
                  <w:tcW w:w="645" w:type="pct"/>
                  <w:vAlign w:val="center"/>
                </w:tcPr>
                <w:p>
                  <w:pPr>
                    <w:tabs>
                      <w:tab w:val="left" w:pos="7590"/>
                    </w:tabs>
                    <w:adjustRightInd w:val="0"/>
                    <w:snapToGrid w:val="0"/>
                    <w:jc w:val="center"/>
                    <w:rPr>
                      <w:b/>
                      <w:color w:val="auto"/>
                      <w:szCs w:val="21"/>
                      <w:lang w:val="zh-CN"/>
                    </w:rPr>
                  </w:pPr>
                  <w:r>
                    <w:rPr>
                      <w:b/>
                      <w:color w:val="auto"/>
                      <w:szCs w:val="21"/>
                      <w:lang w:val="zh-CN"/>
                    </w:rPr>
                    <w:t>阻隔及高差/m</w:t>
                  </w:r>
                </w:p>
              </w:tc>
              <w:tc>
                <w:tcPr>
                  <w:tcW w:w="753" w:type="pct"/>
                  <w:vAlign w:val="center"/>
                </w:tcPr>
                <w:p>
                  <w:pPr>
                    <w:tabs>
                      <w:tab w:val="left" w:pos="7590"/>
                    </w:tabs>
                    <w:adjustRightInd w:val="0"/>
                    <w:snapToGrid w:val="0"/>
                    <w:jc w:val="center"/>
                    <w:rPr>
                      <w:b/>
                      <w:color w:val="auto"/>
                      <w:szCs w:val="21"/>
                      <w:lang w:val="zh-CN"/>
                    </w:rPr>
                  </w:pPr>
                  <w:r>
                    <w:rPr>
                      <w:b/>
                      <w:color w:val="auto"/>
                      <w:szCs w:val="21"/>
                      <w:lang w:val="zh-CN"/>
                    </w:rPr>
                    <w:t>保护规模</w:t>
                  </w:r>
                </w:p>
              </w:tc>
              <w:tc>
                <w:tcPr>
                  <w:tcW w:w="1399" w:type="pct"/>
                  <w:vAlign w:val="center"/>
                </w:tcPr>
                <w:p>
                  <w:pPr>
                    <w:tabs>
                      <w:tab w:val="left" w:pos="7590"/>
                    </w:tabs>
                    <w:adjustRightInd w:val="0"/>
                    <w:snapToGrid w:val="0"/>
                    <w:jc w:val="center"/>
                    <w:rPr>
                      <w:b/>
                      <w:color w:val="auto"/>
                      <w:szCs w:val="21"/>
                      <w:lang w:val="zh-CN"/>
                    </w:rPr>
                  </w:pPr>
                  <w:r>
                    <w:rPr>
                      <w:b/>
                      <w:color w:val="auto"/>
                      <w:szCs w:val="21"/>
                      <w:lang w:val="zh-CN"/>
                    </w:rPr>
                    <w:t>环境功能区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3" w:type="pct"/>
                  <w:vMerge w:val="restart"/>
                  <w:vAlign w:val="center"/>
                </w:tcPr>
                <w:p>
                  <w:pPr>
                    <w:tabs>
                      <w:tab w:val="left" w:pos="7590"/>
                    </w:tabs>
                    <w:adjustRightInd w:val="0"/>
                    <w:snapToGrid w:val="0"/>
                    <w:jc w:val="center"/>
                    <w:rPr>
                      <w:bCs/>
                      <w:color w:val="auto"/>
                      <w:szCs w:val="21"/>
                    </w:rPr>
                  </w:pPr>
                  <w:r>
                    <w:rPr>
                      <w:bCs/>
                      <w:color w:val="auto"/>
                      <w:szCs w:val="21"/>
                    </w:rPr>
                    <w:t>大气环境</w:t>
                  </w:r>
                </w:p>
              </w:tc>
              <w:tc>
                <w:tcPr>
                  <w:tcW w:w="728" w:type="pct"/>
                  <w:vAlign w:val="center"/>
                </w:tcPr>
                <w:p>
                  <w:pPr>
                    <w:adjustRightInd w:val="0"/>
                    <w:snapToGrid w:val="0"/>
                    <w:jc w:val="center"/>
                    <w:rPr>
                      <w:bCs/>
                      <w:color w:val="auto"/>
                      <w:szCs w:val="21"/>
                    </w:rPr>
                  </w:pPr>
                  <w:r>
                    <w:rPr>
                      <w:bCs/>
                      <w:color w:val="auto"/>
                      <w:szCs w:val="21"/>
                    </w:rPr>
                    <w:t>龙岩村居民</w:t>
                  </w:r>
                </w:p>
              </w:tc>
              <w:tc>
                <w:tcPr>
                  <w:tcW w:w="556" w:type="pct"/>
                  <w:vAlign w:val="center"/>
                </w:tcPr>
                <w:p>
                  <w:pPr>
                    <w:tabs>
                      <w:tab w:val="left" w:pos="7590"/>
                    </w:tabs>
                    <w:adjustRightInd w:val="0"/>
                    <w:snapToGrid w:val="0"/>
                    <w:jc w:val="center"/>
                    <w:rPr>
                      <w:bCs/>
                      <w:color w:val="auto"/>
                      <w:szCs w:val="21"/>
                    </w:rPr>
                  </w:pPr>
                  <w:r>
                    <w:rPr>
                      <w:bCs/>
                      <w:color w:val="auto"/>
                      <w:szCs w:val="21"/>
                    </w:rPr>
                    <w:t>325-500</w:t>
                  </w:r>
                </w:p>
              </w:tc>
              <w:tc>
                <w:tcPr>
                  <w:tcW w:w="504" w:type="pct"/>
                  <w:vAlign w:val="center"/>
                </w:tcPr>
                <w:p>
                  <w:pPr>
                    <w:tabs>
                      <w:tab w:val="left" w:pos="7590"/>
                    </w:tabs>
                    <w:adjustRightInd w:val="0"/>
                    <w:snapToGrid w:val="0"/>
                    <w:jc w:val="center"/>
                    <w:rPr>
                      <w:bCs/>
                      <w:color w:val="auto"/>
                      <w:szCs w:val="21"/>
                    </w:rPr>
                  </w:pPr>
                  <w:r>
                    <w:rPr>
                      <w:color w:val="auto"/>
                      <w:kern w:val="0"/>
                      <w:szCs w:val="21"/>
                    </w:rPr>
                    <w:t>北侧</w:t>
                  </w:r>
                </w:p>
              </w:tc>
              <w:tc>
                <w:tcPr>
                  <w:tcW w:w="645" w:type="pct"/>
                  <w:vAlign w:val="center"/>
                </w:tcPr>
                <w:p>
                  <w:pPr>
                    <w:tabs>
                      <w:tab w:val="left" w:pos="7590"/>
                    </w:tabs>
                    <w:adjustRightInd w:val="0"/>
                    <w:snapToGrid w:val="0"/>
                    <w:jc w:val="center"/>
                    <w:rPr>
                      <w:bCs/>
                      <w:color w:val="auto"/>
                      <w:szCs w:val="21"/>
                    </w:rPr>
                  </w:pPr>
                  <w:r>
                    <w:rPr>
                      <w:bCs/>
                      <w:color w:val="auto"/>
                      <w:szCs w:val="21"/>
                    </w:rPr>
                    <w:t>山体，+1</w:t>
                  </w:r>
                </w:p>
              </w:tc>
              <w:tc>
                <w:tcPr>
                  <w:tcW w:w="753" w:type="pct"/>
                  <w:vAlign w:val="center"/>
                </w:tcPr>
                <w:p>
                  <w:pPr>
                    <w:tabs>
                      <w:tab w:val="left" w:pos="7590"/>
                    </w:tabs>
                    <w:adjustRightInd w:val="0"/>
                    <w:snapToGrid w:val="0"/>
                    <w:jc w:val="center"/>
                    <w:rPr>
                      <w:bCs/>
                      <w:color w:val="auto"/>
                      <w:szCs w:val="21"/>
                    </w:rPr>
                  </w:pPr>
                  <w:r>
                    <w:rPr>
                      <w:color w:val="auto"/>
                      <w:kern w:val="0"/>
                      <w:szCs w:val="21"/>
                    </w:rPr>
                    <w:t>2户居民，5人</w:t>
                  </w:r>
                </w:p>
              </w:tc>
              <w:tc>
                <w:tcPr>
                  <w:tcW w:w="1399" w:type="pct"/>
                  <w:vMerge w:val="restart"/>
                  <w:vAlign w:val="center"/>
                </w:tcPr>
                <w:p>
                  <w:pPr>
                    <w:keepNext/>
                    <w:keepLines/>
                    <w:topLinePunct/>
                    <w:adjustRightInd w:val="0"/>
                    <w:snapToGrid w:val="0"/>
                    <w:jc w:val="center"/>
                    <w:rPr>
                      <w:bCs/>
                      <w:color w:val="auto"/>
                      <w:szCs w:val="21"/>
                    </w:rPr>
                  </w:pPr>
                  <w:r>
                    <w:rPr>
                      <w:bCs/>
                      <w:color w:val="auto"/>
                      <w:szCs w:val="21"/>
                    </w:rPr>
                    <w:t>《环境空</w:t>
                  </w:r>
                  <w:r>
                    <w:rPr>
                      <w:bCs/>
                      <w:color w:val="auto"/>
                      <w:szCs w:val="21"/>
                    </w:rPr>
                    <w:cr/>
                  </w:r>
                  <w:r>
                    <w:rPr>
                      <w:bCs/>
                      <w:color w:val="auto"/>
                      <w:szCs w:val="21"/>
                    </w:rPr>
                    <w:t>气质量标准》（GB3095-2012）中二级标准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3" w:type="pct"/>
                  <w:vMerge w:val="continue"/>
                  <w:vAlign w:val="center"/>
                </w:tcPr>
                <w:p>
                  <w:pPr>
                    <w:tabs>
                      <w:tab w:val="left" w:pos="7590"/>
                    </w:tabs>
                    <w:adjustRightInd w:val="0"/>
                    <w:snapToGrid w:val="0"/>
                    <w:jc w:val="center"/>
                    <w:rPr>
                      <w:color w:val="auto"/>
                      <w:szCs w:val="21"/>
                    </w:rPr>
                  </w:pPr>
                </w:p>
              </w:tc>
              <w:tc>
                <w:tcPr>
                  <w:tcW w:w="728" w:type="pct"/>
                  <w:vAlign w:val="center"/>
                </w:tcPr>
                <w:p>
                  <w:pPr>
                    <w:tabs>
                      <w:tab w:val="left" w:pos="7590"/>
                    </w:tabs>
                    <w:adjustRightInd w:val="0"/>
                    <w:snapToGrid w:val="0"/>
                    <w:jc w:val="center"/>
                    <w:rPr>
                      <w:color w:val="auto"/>
                      <w:szCs w:val="21"/>
                    </w:rPr>
                  </w:pPr>
                  <w:r>
                    <w:rPr>
                      <w:bCs/>
                      <w:color w:val="auto"/>
                      <w:szCs w:val="21"/>
                    </w:rPr>
                    <w:t>龙岩村居民</w:t>
                  </w:r>
                </w:p>
              </w:tc>
              <w:tc>
                <w:tcPr>
                  <w:tcW w:w="556" w:type="pct"/>
                  <w:vAlign w:val="center"/>
                </w:tcPr>
                <w:p>
                  <w:pPr>
                    <w:tabs>
                      <w:tab w:val="left" w:pos="7590"/>
                    </w:tabs>
                    <w:adjustRightInd w:val="0"/>
                    <w:snapToGrid w:val="0"/>
                    <w:jc w:val="center"/>
                    <w:rPr>
                      <w:color w:val="auto"/>
                      <w:szCs w:val="21"/>
                    </w:rPr>
                  </w:pPr>
                  <w:r>
                    <w:rPr>
                      <w:color w:val="auto"/>
                      <w:kern w:val="0"/>
                      <w:szCs w:val="21"/>
                    </w:rPr>
                    <w:t>25</w:t>
                  </w:r>
                  <w:r>
                    <w:rPr>
                      <w:color w:val="auto"/>
                      <w:szCs w:val="21"/>
                    </w:rPr>
                    <w:t>-500</w:t>
                  </w:r>
                </w:p>
              </w:tc>
              <w:tc>
                <w:tcPr>
                  <w:tcW w:w="504" w:type="pct"/>
                  <w:vAlign w:val="center"/>
                </w:tcPr>
                <w:p>
                  <w:pPr>
                    <w:tabs>
                      <w:tab w:val="left" w:pos="7590"/>
                    </w:tabs>
                    <w:adjustRightInd w:val="0"/>
                    <w:snapToGrid w:val="0"/>
                    <w:jc w:val="center"/>
                    <w:rPr>
                      <w:color w:val="auto"/>
                      <w:szCs w:val="21"/>
                    </w:rPr>
                  </w:pPr>
                  <w:r>
                    <w:rPr>
                      <w:color w:val="auto"/>
                      <w:kern w:val="0"/>
                      <w:szCs w:val="21"/>
                    </w:rPr>
                    <w:t>东南侧</w:t>
                  </w:r>
                </w:p>
              </w:tc>
              <w:tc>
                <w:tcPr>
                  <w:tcW w:w="645" w:type="pct"/>
                  <w:vAlign w:val="center"/>
                </w:tcPr>
                <w:p>
                  <w:pPr>
                    <w:tabs>
                      <w:tab w:val="left" w:pos="7590"/>
                    </w:tabs>
                    <w:adjustRightInd w:val="0"/>
                    <w:snapToGrid w:val="0"/>
                    <w:jc w:val="center"/>
                    <w:rPr>
                      <w:color w:val="auto"/>
                      <w:szCs w:val="21"/>
                    </w:rPr>
                  </w:pPr>
                  <w:r>
                    <w:rPr>
                      <w:color w:val="auto"/>
                      <w:szCs w:val="21"/>
                    </w:rPr>
                    <w:t>无阻隔，-3</w:t>
                  </w:r>
                </w:p>
              </w:tc>
              <w:tc>
                <w:tcPr>
                  <w:tcW w:w="753" w:type="pct"/>
                  <w:vAlign w:val="center"/>
                </w:tcPr>
                <w:p>
                  <w:pPr>
                    <w:tabs>
                      <w:tab w:val="left" w:pos="7590"/>
                    </w:tabs>
                    <w:adjustRightInd w:val="0"/>
                    <w:snapToGrid w:val="0"/>
                    <w:jc w:val="center"/>
                    <w:rPr>
                      <w:color w:val="auto"/>
                      <w:szCs w:val="21"/>
                    </w:rPr>
                  </w:pPr>
                  <w:r>
                    <w:rPr>
                      <w:color w:val="auto"/>
                      <w:kern w:val="0"/>
                      <w:szCs w:val="21"/>
                    </w:rPr>
                    <w:t>2户居民，4人</w:t>
                  </w:r>
                </w:p>
              </w:tc>
              <w:tc>
                <w:tcPr>
                  <w:tcW w:w="1399" w:type="pct"/>
                  <w:vMerge w:val="continue"/>
                  <w:vAlign w:val="center"/>
                </w:tcPr>
                <w:p>
                  <w:pPr>
                    <w:tabs>
                      <w:tab w:val="left" w:pos="7590"/>
                    </w:tabs>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3" w:type="pct"/>
                  <w:vMerge w:val="continue"/>
                  <w:vAlign w:val="center"/>
                </w:tcPr>
                <w:p>
                  <w:pPr>
                    <w:tabs>
                      <w:tab w:val="left" w:pos="7590"/>
                    </w:tabs>
                    <w:adjustRightInd w:val="0"/>
                    <w:snapToGrid w:val="0"/>
                    <w:jc w:val="center"/>
                    <w:rPr>
                      <w:color w:val="auto"/>
                      <w:szCs w:val="21"/>
                    </w:rPr>
                  </w:pPr>
                </w:p>
              </w:tc>
              <w:tc>
                <w:tcPr>
                  <w:tcW w:w="728" w:type="pct"/>
                  <w:vAlign w:val="center"/>
                </w:tcPr>
                <w:p>
                  <w:pPr>
                    <w:tabs>
                      <w:tab w:val="left" w:pos="7590"/>
                    </w:tabs>
                    <w:adjustRightInd w:val="0"/>
                    <w:snapToGrid w:val="0"/>
                    <w:jc w:val="center"/>
                    <w:rPr>
                      <w:color w:val="auto"/>
                      <w:szCs w:val="21"/>
                    </w:rPr>
                  </w:pPr>
                  <w:r>
                    <w:rPr>
                      <w:bCs/>
                      <w:color w:val="auto"/>
                      <w:szCs w:val="21"/>
                    </w:rPr>
                    <w:t>龙岩村居民</w:t>
                  </w:r>
                </w:p>
              </w:tc>
              <w:tc>
                <w:tcPr>
                  <w:tcW w:w="556" w:type="pct"/>
                  <w:vAlign w:val="center"/>
                </w:tcPr>
                <w:p>
                  <w:pPr>
                    <w:tabs>
                      <w:tab w:val="left" w:pos="7590"/>
                    </w:tabs>
                    <w:adjustRightInd w:val="0"/>
                    <w:snapToGrid w:val="0"/>
                    <w:jc w:val="center"/>
                    <w:rPr>
                      <w:color w:val="auto"/>
                      <w:szCs w:val="21"/>
                    </w:rPr>
                  </w:pPr>
                  <w:r>
                    <w:rPr>
                      <w:color w:val="auto"/>
                      <w:kern w:val="0"/>
                      <w:szCs w:val="21"/>
                    </w:rPr>
                    <w:t>204</w:t>
                  </w:r>
                  <w:r>
                    <w:rPr>
                      <w:color w:val="auto"/>
                      <w:szCs w:val="21"/>
                    </w:rPr>
                    <w:t>-500</w:t>
                  </w:r>
                </w:p>
              </w:tc>
              <w:tc>
                <w:tcPr>
                  <w:tcW w:w="504" w:type="pct"/>
                  <w:vAlign w:val="center"/>
                </w:tcPr>
                <w:p>
                  <w:pPr>
                    <w:tabs>
                      <w:tab w:val="left" w:pos="7590"/>
                    </w:tabs>
                    <w:adjustRightInd w:val="0"/>
                    <w:snapToGrid w:val="0"/>
                    <w:jc w:val="center"/>
                    <w:rPr>
                      <w:color w:val="auto"/>
                      <w:szCs w:val="21"/>
                    </w:rPr>
                  </w:pPr>
                  <w:r>
                    <w:rPr>
                      <w:color w:val="auto"/>
                      <w:kern w:val="0"/>
                      <w:szCs w:val="21"/>
                    </w:rPr>
                    <w:t>东南侧</w:t>
                  </w:r>
                </w:p>
              </w:tc>
              <w:tc>
                <w:tcPr>
                  <w:tcW w:w="645" w:type="pct"/>
                  <w:vAlign w:val="center"/>
                </w:tcPr>
                <w:p>
                  <w:pPr>
                    <w:tabs>
                      <w:tab w:val="left" w:pos="7590"/>
                    </w:tabs>
                    <w:adjustRightInd w:val="0"/>
                    <w:snapToGrid w:val="0"/>
                    <w:jc w:val="center"/>
                    <w:rPr>
                      <w:color w:val="auto"/>
                      <w:szCs w:val="21"/>
                    </w:rPr>
                  </w:pPr>
                  <w:r>
                    <w:rPr>
                      <w:bCs/>
                      <w:color w:val="auto"/>
                      <w:szCs w:val="21"/>
                    </w:rPr>
                    <w:t>山体</w:t>
                  </w:r>
                  <w:r>
                    <w:rPr>
                      <w:color w:val="auto"/>
                      <w:szCs w:val="21"/>
                    </w:rPr>
                    <w:t>，-3</w:t>
                  </w:r>
                </w:p>
              </w:tc>
              <w:tc>
                <w:tcPr>
                  <w:tcW w:w="753" w:type="pct"/>
                  <w:vAlign w:val="center"/>
                </w:tcPr>
                <w:p>
                  <w:pPr>
                    <w:tabs>
                      <w:tab w:val="left" w:pos="7590"/>
                    </w:tabs>
                    <w:adjustRightInd w:val="0"/>
                    <w:snapToGrid w:val="0"/>
                    <w:jc w:val="center"/>
                    <w:rPr>
                      <w:color w:val="auto"/>
                      <w:szCs w:val="21"/>
                    </w:rPr>
                  </w:pPr>
                  <w:r>
                    <w:rPr>
                      <w:color w:val="auto"/>
                      <w:kern w:val="0"/>
                      <w:szCs w:val="21"/>
                    </w:rPr>
                    <w:t>1户居民，2人</w:t>
                  </w:r>
                </w:p>
              </w:tc>
              <w:tc>
                <w:tcPr>
                  <w:tcW w:w="1399" w:type="pct"/>
                  <w:vMerge w:val="continue"/>
                  <w:vAlign w:val="center"/>
                </w:tcPr>
                <w:p>
                  <w:pPr>
                    <w:tabs>
                      <w:tab w:val="left" w:pos="7590"/>
                    </w:tabs>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3" w:type="pct"/>
                  <w:vMerge w:val="continue"/>
                  <w:vAlign w:val="center"/>
                </w:tcPr>
                <w:p>
                  <w:pPr>
                    <w:tabs>
                      <w:tab w:val="left" w:pos="7590"/>
                    </w:tabs>
                    <w:adjustRightInd w:val="0"/>
                    <w:snapToGrid w:val="0"/>
                    <w:jc w:val="center"/>
                    <w:rPr>
                      <w:color w:val="auto"/>
                      <w:szCs w:val="21"/>
                    </w:rPr>
                  </w:pPr>
                </w:p>
              </w:tc>
              <w:tc>
                <w:tcPr>
                  <w:tcW w:w="728" w:type="pct"/>
                  <w:vAlign w:val="center"/>
                </w:tcPr>
                <w:p>
                  <w:pPr>
                    <w:tabs>
                      <w:tab w:val="left" w:pos="7590"/>
                    </w:tabs>
                    <w:adjustRightInd w:val="0"/>
                    <w:snapToGrid w:val="0"/>
                    <w:jc w:val="center"/>
                    <w:rPr>
                      <w:color w:val="auto"/>
                      <w:szCs w:val="21"/>
                    </w:rPr>
                  </w:pPr>
                  <w:r>
                    <w:rPr>
                      <w:bCs/>
                      <w:color w:val="auto"/>
                      <w:szCs w:val="21"/>
                    </w:rPr>
                    <w:t>龙岩村居民</w:t>
                  </w:r>
                </w:p>
              </w:tc>
              <w:tc>
                <w:tcPr>
                  <w:tcW w:w="556" w:type="pct"/>
                  <w:vAlign w:val="center"/>
                </w:tcPr>
                <w:p>
                  <w:pPr>
                    <w:tabs>
                      <w:tab w:val="left" w:pos="7590"/>
                    </w:tabs>
                    <w:adjustRightInd w:val="0"/>
                    <w:snapToGrid w:val="0"/>
                    <w:jc w:val="center"/>
                    <w:rPr>
                      <w:color w:val="auto"/>
                      <w:szCs w:val="21"/>
                    </w:rPr>
                  </w:pPr>
                  <w:r>
                    <w:rPr>
                      <w:color w:val="auto"/>
                      <w:kern w:val="0"/>
                      <w:szCs w:val="21"/>
                    </w:rPr>
                    <w:t>224</w:t>
                  </w:r>
                  <w:r>
                    <w:rPr>
                      <w:color w:val="auto"/>
                      <w:szCs w:val="21"/>
                    </w:rPr>
                    <w:t>-500</w:t>
                  </w:r>
                </w:p>
              </w:tc>
              <w:tc>
                <w:tcPr>
                  <w:tcW w:w="504" w:type="pct"/>
                  <w:vAlign w:val="center"/>
                </w:tcPr>
                <w:p>
                  <w:pPr>
                    <w:tabs>
                      <w:tab w:val="left" w:pos="7590"/>
                    </w:tabs>
                    <w:adjustRightInd w:val="0"/>
                    <w:snapToGrid w:val="0"/>
                    <w:jc w:val="center"/>
                    <w:rPr>
                      <w:color w:val="auto"/>
                      <w:szCs w:val="21"/>
                    </w:rPr>
                  </w:pPr>
                  <w:r>
                    <w:rPr>
                      <w:color w:val="auto"/>
                      <w:kern w:val="0"/>
                      <w:szCs w:val="21"/>
                    </w:rPr>
                    <w:t>西南侧</w:t>
                  </w:r>
                </w:p>
              </w:tc>
              <w:tc>
                <w:tcPr>
                  <w:tcW w:w="645" w:type="pct"/>
                  <w:vAlign w:val="center"/>
                </w:tcPr>
                <w:p>
                  <w:pPr>
                    <w:tabs>
                      <w:tab w:val="left" w:pos="7590"/>
                    </w:tabs>
                    <w:adjustRightInd w:val="0"/>
                    <w:snapToGrid w:val="0"/>
                    <w:jc w:val="center"/>
                    <w:rPr>
                      <w:color w:val="auto"/>
                      <w:szCs w:val="21"/>
                    </w:rPr>
                  </w:pPr>
                  <w:r>
                    <w:rPr>
                      <w:bCs/>
                      <w:color w:val="auto"/>
                      <w:szCs w:val="21"/>
                    </w:rPr>
                    <w:t>山体</w:t>
                  </w:r>
                  <w:r>
                    <w:rPr>
                      <w:color w:val="auto"/>
                      <w:szCs w:val="21"/>
                    </w:rPr>
                    <w:t>，-3</w:t>
                  </w:r>
                </w:p>
              </w:tc>
              <w:tc>
                <w:tcPr>
                  <w:tcW w:w="753" w:type="pct"/>
                  <w:vAlign w:val="center"/>
                </w:tcPr>
                <w:p>
                  <w:pPr>
                    <w:tabs>
                      <w:tab w:val="left" w:pos="7590"/>
                    </w:tabs>
                    <w:adjustRightInd w:val="0"/>
                    <w:snapToGrid w:val="0"/>
                    <w:jc w:val="center"/>
                    <w:rPr>
                      <w:bCs/>
                      <w:color w:val="auto"/>
                      <w:szCs w:val="21"/>
                    </w:rPr>
                  </w:pPr>
                  <w:r>
                    <w:rPr>
                      <w:color w:val="auto"/>
                      <w:kern w:val="0"/>
                      <w:szCs w:val="21"/>
                    </w:rPr>
                    <w:t>1户居民，2人</w:t>
                  </w:r>
                </w:p>
              </w:tc>
              <w:tc>
                <w:tcPr>
                  <w:tcW w:w="1399" w:type="pct"/>
                  <w:vMerge w:val="continue"/>
                  <w:vAlign w:val="center"/>
                </w:tcPr>
                <w:p>
                  <w:pPr>
                    <w:tabs>
                      <w:tab w:val="left" w:pos="7590"/>
                    </w:tabs>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3" w:type="pct"/>
                  <w:vMerge w:val="continue"/>
                  <w:vAlign w:val="center"/>
                </w:tcPr>
                <w:p>
                  <w:pPr>
                    <w:tabs>
                      <w:tab w:val="left" w:pos="7590"/>
                    </w:tabs>
                    <w:adjustRightInd w:val="0"/>
                    <w:snapToGrid w:val="0"/>
                    <w:jc w:val="center"/>
                    <w:rPr>
                      <w:color w:val="auto"/>
                      <w:szCs w:val="21"/>
                    </w:rPr>
                  </w:pPr>
                </w:p>
              </w:tc>
              <w:tc>
                <w:tcPr>
                  <w:tcW w:w="728" w:type="pct"/>
                  <w:vAlign w:val="center"/>
                </w:tcPr>
                <w:p>
                  <w:pPr>
                    <w:tabs>
                      <w:tab w:val="left" w:pos="7590"/>
                    </w:tabs>
                    <w:adjustRightInd w:val="0"/>
                    <w:snapToGrid w:val="0"/>
                    <w:jc w:val="center"/>
                    <w:rPr>
                      <w:color w:val="auto"/>
                      <w:szCs w:val="21"/>
                    </w:rPr>
                  </w:pPr>
                  <w:r>
                    <w:rPr>
                      <w:bCs/>
                      <w:color w:val="auto"/>
                      <w:szCs w:val="21"/>
                    </w:rPr>
                    <w:t>龙岩村居民</w:t>
                  </w:r>
                </w:p>
              </w:tc>
              <w:tc>
                <w:tcPr>
                  <w:tcW w:w="556" w:type="pct"/>
                  <w:vAlign w:val="center"/>
                </w:tcPr>
                <w:p>
                  <w:pPr>
                    <w:tabs>
                      <w:tab w:val="left" w:pos="7590"/>
                    </w:tabs>
                    <w:adjustRightInd w:val="0"/>
                    <w:snapToGrid w:val="0"/>
                    <w:jc w:val="center"/>
                    <w:rPr>
                      <w:color w:val="auto"/>
                      <w:szCs w:val="21"/>
                    </w:rPr>
                  </w:pPr>
                  <w:r>
                    <w:rPr>
                      <w:color w:val="auto"/>
                      <w:kern w:val="0"/>
                      <w:szCs w:val="21"/>
                    </w:rPr>
                    <w:t>173</w:t>
                  </w:r>
                  <w:r>
                    <w:rPr>
                      <w:color w:val="auto"/>
                      <w:szCs w:val="21"/>
                    </w:rPr>
                    <w:t>-500</w:t>
                  </w:r>
                </w:p>
              </w:tc>
              <w:tc>
                <w:tcPr>
                  <w:tcW w:w="504" w:type="pct"/>
                  <w:vAlign w:val="center"/>
                </w:tcPr>
                <w:p>
                  <w:pPr>
                    <w:tabs>
                      <w:tab w:val="left" w:pos="7590"/>
                    </w:tabs>
                    <w:adjustRightInd w:val="0"/>
                    <w:snapToGrid w:val="0"/>
                    <w:jc w:val="center"/>
                    <w:rPr>
                      <w:color w:val="auto"/>
                      <w:szCs w:val="21"/>
                    </w:rPr>
                  </w:pPr>
                  <w:r>
                    <w:rPr>
                      <w:color w:val="auto"/>
                      <w:kern w:val="0"/>
                      <w:szCs w:val="21"/>
                    </w:rPr>
                    <w:t>西北侧</w:t>
                  </w:r>
                </w:p>
              </w:tc>
              <w:tc>
                <w:tcPr>
                  <w:tcW w:w="645" w:type="pct"/>
                  <w:vAlign w:val="center"/>
                </w:tcPr>
                <w:p>
                  <w:pPr>
                    <w:tabs>
                      <w:tab w:val="left" w:pos="7590"/>
                    </w:tabs>
                    <w:adjustRightInd w:val="0"/>
                    <w:snapToGrid w:val="0"/>
                    <w:jc w:val="center"/>
                    <w:rPr>
                      <w:color w:val="auto"/>
                      <w:szCs w:val="21"/>
                    </w:rPr>
                  </w:pPr>
                  <w:r>
                    <w:rPr>
                      <w:bCs/>
                      <w:color w:val="auto"/>
                      <w:szCs w:val="21"/>
                    </w:rPr>
                    <w:t>山体</w:t>
                  </w:r>
                  <w:r>
                    <w:rPr>
                      <w:color w:val="auto"/>
                      <w:szCs w:val="21"/>
                    </w:rPr>
                    <w:t>，-3</w:t>
                  </w:r>
                </w:p>
              </w:tc>
              <w:tc>
                <w:tcPr>
                  <w:tcW w:w="753" w:type="pct"/>
                  <w:vAlign w:val="center"/>
                </w:tcPr>
                <w:p>
                  <w:pPr>
                    <w:tabs>
                      <w:tab w:val="left" w:pos="7590"/>
                    </w:tabs>
                    <w:adjustRightInd w:val="0"/>
                    <w:snapToGrid w:val="0"/>
                    <w:jc w:val="center"/>
                    <w:rPr>
                      <w:color w:val="auto"/>
                      <w:szCs w:val="21"/>
                    </w:rPr>
                  </w:pPr>
                  <w:r>
                    <w:rPr>
                      <w:color w:val="auto"/>
                      <w:kern w:val="0"/>
                      <w:szCs w:val="21"/>
                    </w:rPr>
                    <w:t>10户居民，25人</w:t>
                  </w:r>
                </w:p>
              </w:tc>
              <w:tc>
                <w:tcPr>
                  <w:tcW w:w="1399" w:type="pct"/>
                  <w:vMerge w:val="continue"/>
                  <w:vAlign w:val="center"/>
                </w:tcPr>
                <w:p>
                  <w:pPr>
                    <w:tabs>
                      <w:tab w:val="left" w:pos="7590"/>
                    </w:tabs>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3" w:type="pct"/>
                  <w:vAlign w:val="center"/>
                </w:tcPr>
                <w:p>
                  <w:pPr>
                    <w:pStyle w:val="77"/>
                    <w:adjustRightInd w:val="0"/>
                    <w:rPr>
                      <w:bCs/>
                      <w:color w:val="auto"/>
                      <w:szCs w:val="21"/>
                    </w:rPr>
                  </w:pPr>
                  <w:r>
                    <w:rPr>
                      <w:bCs/>
                      <w:color w:val="auto"/>
                      <w:szCs w:val="21"/>
                    </w:rPr>
                    <w:t>声环境</w:t>
                  </w:r>
                </w:p>
              </w:tc>
              <w:tc>
                <w:tcPr>
                  <w:tcW w:w="728" w:type="pct"/>
                  <w:vAlign w:val="center"/>
                </w:tcPr>
                <w:p>
                  <w:pPr>
                    <w:tabs>
                      <w:tab w:val="left" w:pos="7590"/>
                    </w:tabs>
                    <w:adjustRightInd w:val="0"/>
                    <w:snapToGrid w:val="0"/>
                    <w:jc w:val="center"/>
                    <w:rPr>
                      <w:bCs/>
                      <w:color w:val="auto"/>
                      <w:szCs w:val="21"/>
                    </w:rPr>
                  </w:pPr>
                  <w:r>
                    <w:rPr>
                      <w:bCs/>
                      <w:color w:val="auto"/>
                      <w:szCs w:val="21"/>
                    </w:rPr>
                    <w:t>龙岩村居民</w:t>
                  </w:r>
                </w:p>
              </w:tc>
              <w:tc>
                <w:tcPr>
                  <w:tcW w:w="556" w:type="pct"/>
                  <w:vAlign w:val="center"/>
                </w:tcPr>
                <w:p>
                  <w:pPr>
                    <w:tabs>
                      <w:tab w:val="left" w:pos="7590"/>
                    </w:tabs>
                    <w:adjustRightInd w:val="0"/>
                    <w:snapToGrid w:val="0"/>
                    <w:jc w:val="center"/>
                    <w:rPr>
                      <w:bCs/>
                      <w:color w:val="auto"/>
                      <w:szCs w:val="21"/>
                    </w:rPr>
                  </w:pPr>
                  <w:r>
                    <w:rPr>
                      <w:color w:val="auto"/>
                      <w:kern w:val="0"/>
                      <w:szCs w:val="21"/>
                    </w:rPr>
                    <w:t>25</w:t>
                  </w:r>
                  <w:r>
                    <w:rPr>
                      <w:color w:val="auto"/>
                      <w:szCs w:val="21"/>
                    </w:rPr>
                    <w:t>-50</w:t>
                  </w:r>
                </w:p>
              </w:tc>
              <w:tc>
                <w:tcPr>
                  <w:tcW w:w="504" w:type="pct"/>
                  <w:vAlign w:val="center"/>
                </w:tcPr>
                <w:p>
                  <w:pPr>
                    <w:tabs>
                      <w:tab w:val="left" w:pos="7590"/>
                    </w:tabs>
                    <w:adjustRightInd w:val="0"/>
                    <w:snapToGrid w:val="0"/>
                    <w:jc w:val="center"/>
                    <w:rPr>
                      <w:bCs/>
                      <w:color w:val="auto"/>
                      <w:szCs w:val="21"/>
                    </w:rPr>
                  </w:pPr>
                  <w:r>
                    <w:rPr>
                      <w:color w:val="auto"/>
                      <w:kern w:val="0"/>
                      <w:szCs w:val="21"/>
                    </w:rPr>
                    <w:t>东南侧</w:t>
                  </w:r>
                </w:p>
              </w:tc>
              <w:tc>
                <w:tcPr>
                  <w:tcW w:w="645" w:type="pct"/>
                  <w:vAlign w:val="center"/>
                </w:tcPr>
                <w:p>
                  <w:pPr>
                    <w:tabs>
                      <w:tab w:val="left" w:pos="7590"/>
                    </w:tabs>
                    <w:adjustRightInd w:val="0"/>
                    <w:snapToGrid w:val="0"/>
                    <w:jc w:val="center"/>
                    <w:rPr>
                      <w:bCs/>
                      <w:color w:val="auto"/>
                      <w:szCs w:val="21"/>
                    </w:rPr>
                  </w:pPr>
                  <w:r>
                    <w:rPr>
                      <w:color w:val="auto"/>
                      <w:szCs w:val="21"/>
                    </w:rPr>
                    <w:t>无阻隔，-3</w:t>
                  </w:r>
                </w:p>
              </w:tc>
              <w:tc>
                <w:tcPr>
                  <w:tcW w:w="753" w:type="pct"/>
                  <w:vAlign w:val="center"/>
                </w:tcPr>
                <w:p>
                  <w:pPr>
                    <w:tabs>
                      <w:tab w:val="left" w:pos="7590"/>
                    </w:tabs>
                    <w:adjustRightInd w:val="0"/>
                    <w:snapToGrid w:val="0"/>
                    <w:jc w:val="center"/>
                    <w:rPr>
                      <w:bCs/>
                      <w:color w:val="auto"/>
                      <w:szCs w:val="21"/>
                      <w:lang w:val="zh-CN"/>
                    </w:rPr>
                  </w:pPr>
                  <w:r>
                    <w:rPr>
                      <w:color w:val="auto"/>
                      <w:kern w:val="0"/>
                      <w:szCs w:val="21"/>
                    </w:rPr>
                    <w:t>2户居民，4人</w:t>
                  </w:r>
                </w:p>
              </w:tc>
              <w:tc>
                <w:tcPr>
                  <w:tcW w:w="1399" w:type="pct"/>
                  <w:vAlign w:val="center"/>
                </w:tcPr>
                <w:p>
                  <w:pPr>
                    <w:pStyle w:val="77"/>
                    <w:adjustRightInd w:val="0"/>
                    <w:rPr>
                      <w:bCs/>
                      <w:color w:val="auto"/>
                      <w:szCs w:val="21"/>
                      <w:lang w:val="en-US"/>
                    </w:rPr>
                  </w:pPr>
                  <w:r>
                    <w:rPr>
                      <w:color w:val="auto"/>
                      <w:szCs w:val="21"/>
                    </w:rPr>
                    <w:t>《声环境质量标准》（GB3096-2008）中</w:t>
                  </w:r>
                  <w:r>
                    <w:rPr>
                      <w:color w:val="auto"/>
                      <w:szCs w:val="21"/>
                      <w:lang w:val="en-US"/>
                    </w:rPr>
                    <w:t>2</w:t>
                  </w:r>
                  <w:r>
                    <w:rPr>
                      <w:color w:val="auto"/>
                      <w:szCs w:val="21"/>
                    </w:rPr>
                    <w:t>类</w:t>
                  </w:r>
                  <w:r>
                    <w:rPr>
                      <w:color w:val="auto"/>
                      <w:szCs w:val="21"/>
                      <w:lang w:val="en-US"/>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3" w:type="pct"/>
                  <w:vAlign w:val="center"/>
                </w:tcPr>
                <w:p>
                  <w:pPr>
                    <w:tabs>
                      <w:tab w:val="left" w:pos="7590"/>
                    </w:tabs>
                    <w:adjustRightInd w:val="0"/>
                    <w:snapToGrid w:val="0"/>
                    <w:jc w:val="center"/>
                    <w:rPr>
                      <w:bCs/>
                      <w:color w:val="auto"/>
                      <w:szCs w:val="21"/>
                    </w:rPr>
                  </w:pPr>
                  <w:r>
                    <w:rPr>
                      <w:bCs/>
                      <w:color w:val="auto"/>
                      <w:szCs w:val="21"/>
                      <w:lang w:val="zh-CN"/>
                    </w:rPr>
                    <w:t>地表水环境</w:t>
                  </w:r>
                </w:p>
              </w:tc>
              <w:tc>
                <w:tcPr>
                  <w:tcW w:w="728" w:type="pct"/>
                  <w:vAlign w:val="center"/>
                </w:tcPr>
                <w:p>
                  <w:pPr>
                    <w:tabs>
                      <w:tab w:val="left" w:pos="7590"/>
                    </w:tabs>
                    <w:adjustRightInd w:val="0"/>
                    <w:snapToGrid w:val="0"/>
                    <w:jc w:val="center"/>
                    <w:rPr>
                      <w:color w:val="auto"/>
                      <w:szCs w:val="21"/>
                    </w:rPr>
                  </w:pPr>
                  <w:r>
                    <w:rPr>
                      <w:color w:val="auto"/>
                      <w:szCs w:val="21"/>
                    </w:rPr>
                    <w:t>岷江</w:t>
                  </w:r>
                </w:p>
              </w:tc>
              <w:tc>
                <w:tcPr>
                  <w:tcW w:w="556" w:type="pct"/>
                  <w:vAlign w:val="center"/>
                </w:tcPr>
                <w:p>
                  <w:pPr>
                    <w:tabs>
                      <w:tab w:val="left" w:pos="7590"/>
                    </w:tabs>
                    <w:adjustRightInd w:val="0"/>
                    <w:snapToGrid w:val="0"/>
                    <w:jc w:val="center"/>
                    <w:rPr>
                      <w:color w:val="auto"/>
                      <w:szCs w:val="21"/>
                    </w:rPr>
                  </w:pPr>
                  <w:r>
                    <w:rPr>
                      <w:color w:val="auto"/>
                      <w:szCs w:val="21"/>
                    </w:rPr>
                    <w:t>2300</w:t>
                  </w:r>
                </w:p>
              </w:tc>
              <w:tc>
                <w:tcPr>
                  <w:tcW w:w="504" w:type="pct"/>
                  <w:vAlign w:val="center"/>
                </w:tcPr>
                <w:p>
                  <w:pPr>
                    <w:tabs>
                      <w:tab w:val="left" w:pos="7590"/>
                    </w:tabs>
                    <w:adjustRightInd w:val="0"/>
                    <w:snapToGrid w:val="0"/>
                    <w:jc w:val="center"/>
                    <w:rPr>
                      <w:color w:val="auto"/>
                      <w:szCs w:val="21"/>
                    </w:rPr>
                  </w:pPr>
                  <w:r>
                    <w:rPr>
                      <w:color w:val="auto"/>
                      <w:szCs w:val="21"/>
                    </w:rPr>
                    <w:t>东北侧</w:t>
                  </w:r>
                </w:p>
              </w:tc>
              <w:tc>
                <w:tcPr>
                  <w:tcW w:w="645" w:type="pct"/>
                  <w:vAlign w:val="center"/>
                </w:tcPr>
                <w:p>
                  <w:pPr>
                    <w:tabs>
                      <w:tab w:val="left" w:pos="7590"/>
                    </w:tabs>
                    <w:adjustRightInd w:val="0"/>
                    <w:snapToGrid w:val="0"/>
                    <w:jc w:val="center"/>
                    <w:rPr>
                      <w:color w:val="auto"/>
                      <w:szCs w:val="21"/>
                    </w:rPr>
                  </w:pPr>
                  <w:r>
                    <w:rPr>
                      <w:bCs/>
                      <w:color w:val="auto"/>
                      <w:szCs w:val="21"/>
                    </w:rPr>
                    <w:t>山体</w:t>
                  </w:r>
                  <w:r>
                    <w:rPr>
                      <w:color w:val="auto"/>
                      <w:szCs w:val="21"/>
                    </w:rPr>
                    <w:t>，-3</w:t>
                  </w:r>
                </w:p>
              </w:tc>
              <w:tc>
                <w:tcPr>
                  <w:tcW w:w="753" w:type="pct"/>
                  <w:vAlign w:val="center"/>
                </w:tcPr>
                <w:p>
                  <w:pPr>
                    <w:tabs>
                      <w:tab w:val="left" w:pos="7590"/>
                    </w:tabs>
                    <w:adjustRightInd w:val="0"/>
                    <w:snapToGrid w:val="0"/>
                    <w:jc w:val="center"/>
                    <w:rPr>
                      <w:color w:val="auto"/>
                      <w:szCs w:val="21"/>
                    </w:rPr>
                  </w:pPr>
                  <w:r>
                    <w:rPr>
                      <w:color w:val="auto"/>
                      <w:szCs w:val="21"/>
                    </w:rPr>
                    <w:t>大河</w:t>
                  </w:r>
                  <w:r>
                    <w:rPr>
                      <w:color w:val="auto"/>
                      <w:szCs w:val="21"/>
                      <w:lang w:val="zh-CN"/>
                    </w:rPr>
                    <w:t>，水力发电、灌溉、行洪、饮用</w:t>
                  </w:r>
                </w:p>
              </w:tc>
              <w:tc>
                <w:tcPr>
                  <w:tcW w:w="1399" w:type="pct"/>
                  <w:vAlign w:val="center"/>
                </w:tcPr>
                <w:p>
                  <w:pPr>
                    <w:tabs>
                      <w:tab w:val="left" w:pos="7590"/>
                    </w:tabs>
                    <w:adjustRightInd w:val="0"/>
                    <w:snapToGrid w:val="0"/>
                    <w:jc w:val="center"/>
                    <w:rPr>
                      <w:bCs/>
                      <w:color w:val="auto"/>
                      <w:szCs w:val="21"/>
                      <w:lang w:val="zh-CN"/>
                    </w:rPr>
                  </w:pPr>
                  <w:r>
                    <w:rPr>
                      <w:bCs/>
                      <w:color w:val="auto"/>
                      <w:szCs w:val="21"/>
                      <w:lang w:val="zh-CN"/>
                    </w:rPr>
                    <w:t>《地表水环境质量标准》（GB3838-2002）Ⅲ类标准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3" w:type="pct"/>
                  <w:vAlign w:val="center"/>
                </w:tcPr>
                <w:p>
                  <w:pPr>
                    <w:tabs>
                      <w:tab w:val="left" w:pos="7590"/>
                    </w:tabs>
                    <w:adjustRightInd w:val="0"/>
                    <w:snapToGrid w:val="0"/>
                    <w:jc w:val="center"/>
                    <w:rPr>
                      <w:bCs/>
                      <w:color w:val="auto"/>
                      <w:szCs w:val="21"/>
                    </w:rPr>
                  </w:pPr>
                  <w:r>
                    <w:rPr>
                      <w:bCs/>
                      <w:color w:val="auto"/>
                      <w:szCs w:val="21"/>
                    </w:rPr>
                    <w:t>生态环境</w:t>
                  </w:r>
                </w:p>
              </w:tc>
              <w:tc>
                <w:tcPr>
                  <w:tcW w:w="2434" w:type="pct"/>
                  <w:gridSpan w:val="4"/>
                  <w:vAlign w:val="center"/>
                </w:tcPr>
                <w:p>
                  <w:pPr>
                    <w:autoSpaceDE w:val="0"/>
                    <w:autoSpaceDN w:val="0"/>
                    <w:adjustRightInd w:val="0"/>
                    <w:snapToGrid w:val="0"/>
                    <w:jc w:val="center"/>
                    <w:rPr>
                      <w:color w:val="auto"/>
                      <w:szCs w:val="21"/>
                    </w:rPr>
                  </w:pPr>
                  <w:r>
                    <w:rPr>
                      <w:color w:val="auto"/>
                      <w:kern w:val="0"/>
                      <w:szCs w:val="21"/>
                    </w:rPr>
                    <w:t>项目所在区域及周边</w:t>
                  </w:r>
                </w:p>
              </w:tc>
              <w:tc>
                <w:tcPr>
                  <w:tcW w:w="753" w:type="pct"/>
                  <w:vAlign w:val="center"/>
                </w:tcPr>
                <w:p>
                  <w:pPr>
                    <w:autoSpaceDE w:val="0"/>
                    <w:autoSpaceDN w:val="0"/>
                    <w:adjustRightInd w:val="0"/>
                    <w:snapToGrid w:val="0"/>
                    <w:jc w:val="center"/>
                    <w:rPr>
                      <w:color w:val="auto"/>
                      <w:kern w:val="0"/>
                      <w:szCs w:val="21"/>
                    </w:rPr>
                  </w:pPr>
                  <w:r>
                    <w:rPr>
                      <w:color w:val="auto"/>
                      <w:kern w:val="0"/>
                      <w:szCs w:val="21"/>
                    </w:rPr>
                    <w:t>/</w:t>
                  </w:r>
                </w:p>
              </w:tc>
              <w:tc>
                <w:tcPr>
                  <w:tcW w:w="1399" w:type="pct"/>
                  <w:vAlign w:val="center"/>
                </w:tcPr>
                <w:p>
                  <w:pPr>
                    <w:adjustRightInd w:val="0"/>
                    <w:snapToGrid w:val="0"/>
                    <w:jc w:val="center"/>
                    <w:rPr>
                      <w:color w:val="auto"/>
                      <w:szCs w:val="21"/>
                      <w:lang w:val="zh-CN"/>
                    </w:rPr>
                  </w:pPr>
                  <w:r>
                    <w:rPr>
                      <w:color w:val="auto"/>
                      <w:kern w:val="0"/>
                      <w:szCs w:val="21"/>
                    </w:rPr>
                    <w:t>生态环境以不减少区内濒危珍稀动植物和不破坏生态系统完整性为标准，水土流失以不改变土壤侵蚀类型为标准</w:t>
                  </w:r>
                </w:p>
              </w:tc>
            </w:tr>
          </w:tbl>
          <w:p>
            <w:pPr>
              <w:pStyle w:val="39"/>
              <w:ind w:firstLine="0" w:firstLineChars="0"/>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447" w:type="pct"/>
            <w:tcMar>
              <w:top w:w="16" w:type="dxa"/>
              <w:left w:w="16" w:type="dxa"/>
              <w:right w:w="16" w:type="dxa"/>
            </w:tcMar>
            <w:vAlign w:val="center"/>
          </w:tcPr>
          <w:p>
            <w:pPr>
              <w:adjustRightInd w:val="0"/>
              <w:snapToGrid w:val="0"/>
              <w:jc w:val="center"/>
              <w:rPr>
                <w:color w:val="auto"/>
                <w:kern w:val="0"/>
                <w:sz w:val="24"/>
              </w:rPr>
            </w:pPr>
            <w:r>
              <w:rPr>
                <w:color w:val="auto"/>
                <w:kern w:val="0"/>
                <w:sz w:val="24"/>
              </w:rPr>
              <w:t>污染</w:t>
            </w:r>
          </w:p>
          <w:p>
            <w:pPr>
              <w:adjustRightInd w:val="0"/>
              <w:snapToGrid w:val="0"/>
              <w:jc w:val="center"/>
              <w:rPr>
                <w:color w:val="auto"/>
                <w:kern w:val="0"/>
                <w:sz w:val="24"/>
              </w:rPr>
            </w:pPr>
            <w:r>
              <w:rPr>
                <w:color w:val="auto"/>
                <w:kern w:val="0"/>
                <w:sz w:val="24"/>
              </w:rPr>
              <w:t>物排</w:t>
            </w:r>
          </w:p>
          <w:p>
            <w:pPr>
              <w:adjustRightInd w:val="0"/>
              <w:snapToGrid w:val="0"/>
              <w:jc w:val="center"/>
              <w:rPr>
                <w:color w:val="auto"/>
                <w:kern w:val="0"/>
                <w:sz w:val="24"/>
              </w:rPr>
            </w:pPr>
            <w:r>
              <w:rPr>
                <w:color w:val="auto"/>
                <w:kern w:val="0"/>
                <w:sz w:val="24"/>
              </w:rPr>
              <w:t>放控</w:t>
            </w:r>
          </w:p>
          <w:p>
            <w:pPr>
              <w:adjustRightInd w:val="0"/>
              <w:snapToGrid w:val="0"/>
              <w:jc w:val="center"/>
              <w:rPr>
                <w:color w:val="auto"/>
                <w:kern w:val="0"/>
                <w:sz w:val="24"/>
              </w:rPr>
            </w:pPr>
            <w:r>
              <w:rPr>
                <w:color w:val="auto"/>
                <w:kern w:val="0"/>
                <w:sz w:val="24"/>
              </w:rPr>
              <w:t>制标</w:t>
            </w:r>
          </w:p>
          <w:p>
            <w:pPr>
              <w:adjustRightInd w:val="0"/>
              <w:snapToGrid w:val="0"/>
              <w:jc w:val="center"/>
              <w:rPr>
                <w:color w:val="auto"/>
                <w:kern w:val="0"/>
                <w:sz w:val="24"/>
              </w:rPr>
            </w:pPr>
            <w:r>
              <w:rPr>
                <w:color w:val="auto"/>
                <w:kern w:val="0"/>
                <w:sz w:val="24"/>
              </w:rPr>
              <w:t>准</w:t>
            </w:r>
          </w:p>
        </w:tc>
        <w:tc>
          <w:tcPr>
            <w:tcW w:w="4552" w:type="pct"/>
          </w:tcPr>
          <w:p>
            <w:pPr>
              <w:adjustRightInd w:val="0"/>
              <w:snapToGrid w:val="0"/>
              <w:spacing w:line="360" w:lineRule="auto"/>
              <w:ind w:firstLine="482" w:firstLineChars="200"/>
              <w:rPr>
                <w:b/>
                <w:bCs/>
                <w:color w:val="auto"/>
                <w:kern w:val="0"/>
                <w:sz w:val="24"/>
              </w:rPr>
            </w:pPr>
            <w:r>
              <w:rPr>
                <w:b/>
                <w:bCs/>
                <w:color w:val="auto"/>
                <w:sz w:val="24"/>
              </w:rPr>
              <w:t>1、废水</w:t>
            </w:r>
          </w:p>
          <w:p>
            <w:pPr>
              <w:adjustRightInd w:val="0"/>
              <w:snapToGrid w:val="0"/>
              <w:spacing w:line="360" w:lineRule="auto"/>
              <w:ind w:firstLine="480" w:firstLineChars="200"/>
              <w:rPr>
                <w:color w:val="auto"/>
                <w:kern w:val="0"/>
                <w:sz w:val="24"/>
              </w:rPr>
            </w:pPr>
            <w:r>
              <w:rPr>
                <w:color w:val="auto"/>
                <w:kern w:val="0"/>
                <w:sz w:val="24"/>
              </w:rPr>
              <w:t>本项目施工期废水经沉淀池处理后可回用不外排；生活污水依托乐山铁匠世家手工刀具有限公司化粪池（10m</w:t>
            </w:r>
            <w:r>
              <w:rPr>
                <w:color w:val="auto"/>
                <w:kern w:val="0"/>
                <w:sz w:val="24"/>
                <w:vertAlign w:val="superscript"/>
              </w:rPr>
              <w:t>3</w:t>
            </w:r>
            <w:r>
              <w:rPr>
                <w:color w:val="auto"/>
                <w:kern w:val="0"/>
                <w:sz w:val="24"/>
              </w:rPr>
              <w:t>）处理后用于农田施肥，不外排</w:t>
            </w:r>
            <w:r>
              <w:rPr>
                <w:color w:val="auto"/>
                <w:sz w:val="24"/>
              </w:rPr>
              <w:t>。</w:t>
            </w:r>
          </w:p>
          <w:p>
            <w:pPr>
              <w:adjustRightInd w:val="0"/>
              <w:snapToGrid w:val="0"/>
              <w:spacing w:line="360" w:lineRule="auto"/>
              <w:ind w:firstLine="480" w:firstLineChars="200"/>
              <w:rPr>
                <w:color w:val="auto"/>
                <w:kern w:val="0"/>
                <w:sz w:val="24"/>
              </w:rPr>
            </w:pPr>
            <w:r>
              <w:rPr>
                <w:color w:val="auto"/>
                <w:kern w:val="0"/>
                <w:sz w:val="24"/>
              </w:rPr>
              <w:t>运营期废水收集进入三级沉淀池沉淀处理后回用，不外排；生活污水依托乐山铁匠世家手工刀具有限公司化粪池（10m</w:t>
            </w:r>
            <w:r>
              <w:rPr>
                <w:color w:val="auto"/>
                <w:kern w:val="0"/>
                <w:sz w:val="24"/>
                <w:vertAlign w:val="superscript"/>
              </w:rPr>
              <w:t>3</w:t>
            </w:r>
            <w:r>
              <w:rPr>
                <w:color w:val="auto"/>
                <w:kern w:val="0"/>
                <w:sz w:val="24"/>
              </w:rPr>
              <w:t>）处理后用于农田施肥，不外排</w:t>
            </w:r>
            <w:r>
              <w:rPr>
                <w:color w:val="auto"/>
                <w:sz w:val="24"/>
              </w:rPr>
              <w:t>。</w:t>
            </w:r>
          </w:p>
          <w:p>
            <w:pPr>
              <w:adjustRightInd w:val="0"/>
              <w:snapToGrid w:val="0"/>
              <w:spacing w:line="360" w:lineRule="auto"/>
              <w:ind w:firstLine="482" w:firstLineChars="200"/>
              <w:rPr>
                <w:b/>
                <w:bCs/>
                <w:color w:val="auto"/>
                <w:kern w:val="0"/>
                <w:sz w:val="24"/>
              </w:rPr>
            </w:pPr>
            <w:r>
              <w:rPr>
                <w:b/>
                <w:bCs/>
                <w:color w:val="auto"/>
                <w:sz w:val="24"/>
              </w:rPr>
              <w:t>2、废气</w:t>
            </w:r>
          </w:p>
          <w:p>
            <w:pPr>
              <w:adjustRightInd w:val="0"/>
              <w:snapToGrid w:val="0"/>
              <w:spacing w:line="360" w:lineRule="auto"/>
              <w:ind w:firstLine="480" w:firstLineChars="200"/>
              <w:rPr>
                <w:color w:val="auto"/>
                <w:sz w:val="24"/>
              </w:rPr>
            </w:pPr>
            <w:r>
              <w:rPr>
                <w:color w:val="auto"/>
                <w:sz w:val="24"/>
              </w:rPr>
              <w:t>施工期：主要为施工、建设产生的扬尘，项目施工期扬尘排放执行《四川省施工场地扬尘排放标准》（DB51/2682-2020）中限值要求。</w:t>
            </w:r>
          </w:p>
          <w:p>
            <w:pPr>
              <w:adjustRightInd w:val="0"/>
              <w:snapToGrid w:val="0"/>
              <w:spacing w:line="360" w:lineRule="auto"/>
              <w:ind w:firstLine="482" w:firstLineChars="200"/>
              <w:jc w:val="center"/>
              <w:rPr>
                <w:b/>
                <w:color w:val="auto"/>
                <w:kern w:val="0"/>
                <w:szCs w:val="21"/>
              </w:rPr>
            </w:pPr>
            <w:r>
              <w:rPr>
                <w:b/>
                <w:color w:val="auto"/>
                <w:kern w:val="0"/>
                <w:szCs w:val="21"/>
              </w:rPr>
              <w:t>表3-8  《四川省施工场地扬尘排放标准》（DB51/2682-2020）排放限值</w:t>
            </w:r>
          </w:p>
          <w:tbl>
            <w:tblPr>
              <w:tblStyle w:val="4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1"/>
              <w:gridCol w:w="2923"/>
              <w:gridCol w:w="2228"/>
              <w:gridCol w:w="22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851" w:type="pct"/>
                  <w:noWrap/>
                  <w:vAlign w:val="center"/>
                </w:tcPr>
                <w:p>
                  <w:pPr>
                    <w:jc w:val="center"/>
                    <w:rPr>
                      <w:b/>
                      <w:snapToGrid w:val="0"/>
                      <w:color w:val="auto"/>
                      <w:szCs w:val="21"/>
                    </w:rPr>
                  </w:pPr>
                  <w:r>
                    <w:rPr>
                      <w:b/>
                      <w:snapToGrid w:val="0"/>
                      <w:color w:val="auto"/>
                      <w:szCs w:val="21"/>
                    </w:rPr>
                    <w:t>监测项目</w:t>
                  </w:r>
                </w:p>
              </w:tc>
              <w:tc>
                <w:tcPr>
                  <w:tcW w:w="1644" w:type="pct"/>
                  <w:noWrap/>
                  <w:vAlign w:val="center"/>
                </w:tcPr>
                <w:p>
                  <w:pPr>
                    <w:jc w:val="center"/>
                    <w:rPr>
                      <w:b/>
                      <w:snapToGrid w:val="0"/>
                      <w:color w:val="auto"/>
                      <w:szCs w:val="21"/>
                    </w:rPr>
                  </w:pPr>
                  <w:r>
                    <w:rPr>
                      <w:b/>
                      <w:snapToGrid w:val="0"/>
                      <w:color w:val="auto"/>
                      <w:szCs w:val="21"/>
                    </w:rPr>
                    <w:t>区域</w:t>
                  </w:r>
                </w:p>
              </w:tc>
              <w:tc>
                <w:tcPr>
                  <w:tcW w:w="1253" w:type="pct"/>
                  <w:noWrap/>
                  <w:vAlign w:val="center"/>
                </w:tcPr>
                <w:p>
                  <w:pPr>
                    <w:jc w:val="center"/>
                    <w:rPr>
                      <w:b/>
                      <w:snapToGrid w:val="0"/>
                      <w:color w:val="auto"/>
                      <w:szCs w:val="21"/>
                    </w:rPr>
                  </w:pPr>
                  <w:r>
                    <w:rPr>
                      <w:b/>
                      <w:snapToGrid w:val="0"/>
                      <w:color w:val="auto"/>
                      <w:szCs w:val="21"/>
                    </w:rPr>
                    <w:t>施工阶段</w:t>
                  </w:r>
                </w:p>
              </w:tc>
              <w:tc>
                <w:tcPr>
                  <w:tcW w:w="1250" w:type="pct"/>
                  <w:noWrap/>
                  <w:vAlign w:val="center"/>
                </w:tcPr>
                <w:p>
                  <w:pPr>
                    <w:jc w:val="center"/>
                    <w:rPr>
                      <w:b/>
                      <w:snapToGrid w:val="0"/>
                      <w:color w:val="auto"/>
                      <w:szCs w:val="21"/>
                    </w:rPr>
                  </w:pPr>
                  <w:r>
                    <w:rPr>
                      <w:b/>
                      <w:snapToGrid w:val="0"/>
                      <w:color w:val="auto"/>
                      <w:szCs w:val="21"/>
                    </w:rPr>
                    <w:t>监测点排放限值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851" w:type="pct"/>
                  <w:vMerge w:val="restart"/>
                  <w:noWrap/>
                  <w:vAlign w:val="center"/>
                </w:tcPr>
                <w:p>
                  <w:pPr>
                    <w:jc w:val="center"/>
                    <w:rPr>
                      <w:bCs/>
                      <w:snapToGrid w:val="0"/>
                      <w:color w:val="auto"/>
                      <w:szCs w:val="21"/>
                    </w:rPr>
                  </w:pPr>
                  <w:r>
                    <w:rPr>
                      <w:bCs/>
                      <w:snapToGrid w:val="0"/>
                      <w:color w:val="auto"/>
                      <w:szCs w:val="21"/>
                    </w:rPr>
                    <w:t>TSP</w:t>
                  </w:r>
                </w:p>
              </w:tc>
              <w:tc>
                <w:tcPr>
                  <w:tcW w:w="1644" w:type="pct"/>
                  <w:vMerge w:val="restart"/>
                  <w:noWrap/>
                  <w:vAlign w:val="center"/>
                </w:tcPr>
                <w:p>
                  <w:pPr>
                    <w:jc w:val="center"/>
                    <w:rPr>
                      <w:bCs/>
                      <w:snapToGrid w:val="0"/>
                      <w:color w:val="auto"/>
                      <w:szCs w:val="21"/>
                    </w:rPr>
                  </w:pPr>
                  <w:r>
                    <w:rPr>
                      <w:color w:val="auto"/>
                      <w:szCs w:val="21"/>
                    </w:rPr>
                    <w:t>成都市、自贡市、泸州市、德阳市、绵阳市、广元市、遂宁市、内江市、</w:t>
                  </w:r>
                  <w:r>
                    <w:rPr>
                      <w:b/>
                      <w:bCs/>
                      <w:color w:val="auto"/>
                      <w:szCs w:val="21"/>
                    </w:rPr>
                    <w:t>乐山市</w:t>
                  </w:r>
                  <w:r>
                    <w:rPr>
                      <w:color w:val="auto"/>
                      <w:szCs w:val="21"/>
                    </w:rPr>
                    <w:t>、南充市、宜宾市、广安市、达州市、巴中市、雅安市、眉山市、资阳市</w:t>
                  </w:r>
                </w:p>
              </w:tc>
              <w:tc>
                <w:tcPr>
                  <w:tcW w:w="1253" w:type="pct"/>
                  <w:noWrap/>
                  <w:vAlign w:val="center"/>
                </w:tcPr>
                <w:p>
                  <w:pPr>
                    <w:jc w:val="center"/>
                    <w:rPr>
                      <w:bCs/>
                      <w:snapToGrid w:val="0"/>
                      <w:color w:val="auto"/>
                      <w:szCs w:val="21"/>
                    </w:rPr>
                  </w:pPr>
                  <w:r>
                    <w:rPr>
                      <w:bCs/>
                      <w:snapToGrid w:val="0"/>
                      <w:color w:val="auto"/>
                      <w:szCs w:val="21"/>
                    </w:rPr>
                    <w:t>拆除工程/土石方开挖/土方回填阶段</w:t>
                  </w:r>
                </w:p>
              </w:tc>
              <w:tc>
                <w:tcPr>
                  <w:tcW w:w="1250" w:type="pct"/>
                  <w:noWrap/>
                  <w:vAlign w:val="center"/>
                </w:tcPr>
                <w:p>
                  <w:pPr>
                    <w:jc w:val="center"/>
                    <w:rPr>
                      <w:bCs/>
                      <w:snapToGrid w:val="0"/>
                      <w:color w:val="auto"/>
                      <w:szCs w:val="21"/>
                    </w:rPr>
                  </w:pPr>
                  <w:r>
                    <w:rPr>
                      <w:bCs/>
                      <w:snapToGrid w:val="0"/>
                      <w:color w:val="auto"/>
                      <w:szCs w:val="21"/>
                    </w:rPr>
                    <w:t>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851" w:type="pct"/>
                  <w:vMerge w:val="continue"/>
                  <w:noWrap/>
                  <w:vAlign w:val="center"/>
                </w:tcPr>
                <w:p>
                  <w:pPr>
                    <w:jc w:val="center"/>
                    <w:rPr>
                      <w:bCs/>
                      <w:snapToGrid w:val="0"/>
                      <w:color w:val="auto"/>
                      <w:szCs w:val="21"/>
                    </w:rPr>
                  </w:pPr>
                </w:p>
              </w:tc>
              <w:tc>
                <w:tcPr>
                  <w:tcW w:w="1644" w:type="pct"/>
                  <w:vMerge w:val="continue"/>
                  <w:noWrap/>
                  <w:vAlign w:val="center"/>
                </w:tcPr>
                <w:p>
                  <w:pPr>
                    <w:jc w:val="center"/>
                    <w:rPr>
                      <w:bCs/>
                      <w:snapToGrid w:val="0"/>
                      <w:color w:val="auto"/>
                      <w:szCs w:val="21"/>
                    </w:rPr>
                  </w:pPr>
                </w:p>
              </w:tc>
              <w:tc>
                <w:tcPr>
                  <w:tcW w:w="1253" w:type="pct"/>
                  <w:noWrap/>
                  <w:vAlign w:val="center"/>
                </w:tcPr>
                <w:p>
                  <w:pPr>
                    <w:jc w:val="center"/>
                    <w:rPr>
                      <w:bCs/>
                      <w:snapToGrid w:val="0"/>
                      <w:color w:val="auto"/>
                      <w:szCs w:val="21"/>
                    </w:rPr>
                  </w:pPr>
                  <w:r>
                    <w:rPr>
                      <w:bCs/>
                      <w:snapToGrid w:val="0"/>
                      <w:color w:val="auto"/>
                      <w:szCs w:val="21"/>
                    </w:rPr>
                    <w:t>其他工程阶段</w:t>
                  </w:r>
                </w:p>
              </w:tc>
              <w:tc>
                <w:tcPr>
                  <w:tcW w:w="1250" w:type="pct"/>
                  <w:noWrap/>
                  <w:vAlign w:val="center"/>
                </w:tcPr>
                <w:p>
                  <w:pPr>
                    <w:jc w:val="center"/>
                    <w:rPr>
                      <w:bCs/>
                      <w:snapToGrid w:val="0"/>
                      <w:color w:val="auto"/>
                      <w:szCs w:val="21"/>
                    </w:rPr>
                  </w:pPr>
                  <w:r>
                    <w:rPr>
                      <w:bCs/>
                      <w:snapToGrid w:val="0"/>
                      <w:color w:val="auto"/>
                      <w:szCs w:val="21"/>
                    </w:rPr>
                    <w:t>250</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Cs/>
                <w:color w:val="auto"/>
                <w:kern w:val="0"/>
                <w:sz w:val="24"/>
              </w:rPr>
            </w:pPr>
            <w:r>
              <w:rPr>
                <w:color w:val="auto"/>
                <w:sz w:val="24"/>
              </w:rPr>
              <w:t>运营期：本项目位于乐山市市中区，属于大气污染物重点防治区域</w:t>
            </w:r>
            <w:r>
              <w:rPr>
                <w:rFonts w:eastAsia="黑体"/>
                <w:color w:val="auto"/>
              </w:rPr>
              <w:t>，</w:t>
            </w:r>
            <w:r>
              <w:rPr>
                <w:color w:val="auto"/>
                <w:sz w:val="24"/>
              </w:rPr>
              <w:t>运营期粉尘排放执行《</w:t>
            </w:r>
            <w:r>
              <w:rPr>
                <w:rFonts w:hint="eastAsia"/>
                <w:color w:val="auto"/>
                <w:sz w:val="24"/>
                <w:lang w:eastAsia="zh-CN"/>
              </w:rPr>
              <w:t>四川省水泥工业大气污染物排放标准</w:t>
            </w:r>
            <w:r>
              <w:rPr>
                <w:color w:val="auto"/>
                <w:sz w:val="24"/>
              </w:rPr>
              <w:t>》（</w:t>
            </w:r>
            <w:r>
              <w:rPr>
                <w:rFonts w:hint="eastAsia"/>
                <w:color w:val="auto"/>
                <w:sz w:val="24"/>
                <w:lang w:eastAsia="zh-CN"/>
              </w:rPr>
              <w:t>DB51/2864</w:t>
            </w:r>
            <w:r>
              <w:rPr>
                <w:rFonts w:hint="eastAsia"/>
                <w:color w:val="auto"/>
                <w:sz w:val="24"/>
                <w:lang w:val="en-US" w:eastAsia="zh-CN"/>
              </w:rPr>
              <w:t>-</w:t>
            </w:r>
            <w:r>
              <w:rPr>
                <w:rFonts w:hint="eastAsia"/>
                <w:color w:val="auto"/>
                <w:sz w:val="24"/>
                <w:lang w:eastAsia="zh-CN"/>
              </w:rPr>
              <w:t>2021</w:t>
            </w:r>
            <w:r>
              <w:rPr>
                <w:color w:val="auto"/>
                <w:sz w:val="24"/>
              </w:rPr>
              <w:t>）表</w:t>
            </w:r>
            <w:r>
              <w:rPr>
                <w:rFonts w:hint="eastAsia"/>
                <w:color w:val="auto"/>
                <w:sz w:val="24"/>
                <w:lang w:val="en-US" w:eastAsia="zh-CN"/>
              </w:rPr>
              <w:t>1</w:t>
            </w:r>
            <w:r>
              <w:rPr>
                <w:color w:val="auto"/>
                <w:sz w:val="24"/>
              </w:rPr>
              <w:t>中相应的排放标准，无组织粉尘排放执行《</w:t>
            </w:r>
            <w:r>
              <w:rPr>
                <w:rFonts w:hint="eastAsia"/>
                <w:color w:val="auto"/>
                <w:sz w:val="24"/>
                <w:lang w:eastAsia="zh-CN"/>
              </w:rPr>
              <w:t>四川省水泥工业大气污染物排放标准</w:t>
            </w:r>
            <w:r>
              <w:rPr>
                <w:color w:val="auto"/>
                <w:sz w:val="24"/>
              </w:rPr>
              <w:t>》（</w:t>
            </w:r>
            <w:r>
              <w:rPr>
                <w:rFonts w:hint="eastAsia"/>
                <w:color w:val="auto"/>
                <w:sz w:val="24"/>
                <w:lang w:eastAsia="zh-CN"/>
              </w:rPr>
              <w:t>DB51/2864-2021</w:t>
            </w:r>
            <w:r>
              <w:rPr>
                <w:color w:val="auto"/>
                <w:sz w:val="24"/>
              </w:rPr>
              <w:t>）表</w:t>
            </w:r>
            <w:r>
              <w:rPr>
                <w:rFonts w:hint="eastAsia"/>
                <w:color w:val="auto"/>
                <w:sz w:val="24"/>
                <w:lang w:val="en-US" w:eastAsia="zh-CN"/>
              </w:rPr>
              <w:t>2</w:t>
            </w:r>
            <w:r>
              <w:rPr>
                <w:color w:val="auto"/>
                <w:sz w:val="24"/>
              </w:rPr>
              <w:t>中相应的排放标准</w:t>
            </w:r>
            <w:r>
              <w:rPr>
                <w:bCs/>
                <w:color w:val="auto"/>
                <w:kern w:val="0"/>
                <w:sz w:val="24"/>
              </w:rPr>
              <w:t>。</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eastAsia="黑体"/>
                <w:color w:val="auto"/>
              </w:rPr>
            </w:pPr>
            <w:r>
              <w:rPr>
                <w:rFonts w:eastAsia="黑体"/>
                <w:color w:val="auto"/>
              </w:rPr>
              <w:t>表3-9  《</w:t>
            </w:r>
            <w:r>
              <w:rPr>
                <w:rFonts w:hint="eastAsia" w:eastAsia="黑体"/>
                <w:color w:val="auto"/>
                <w:lang w:eastAsia="zh-CN"/>
              </w:rPr>
              <w:t>四川省水泥工业大气污染物排放标准</w:t>
            </w:r>
            <w:r>
              <w:rPr>
                <w:rFonts w:eastAsia="黑体"/>
                <w:color w:val="auto"/>
              </w:rPr>
              <w:t>》表</w:t>
            </w:r>
            <w:r>
              <w:rPr>
                <w:rFonts w:hint="eastAsia" w:eastAsia="黑体"/>
                <w:color w:val="auto"/>
                <w:lang w:val="en-US" w:eastAsia="zh-CN"/>
              </w:rPr>
              <w:t>1</w:t>
            </w:r>
            <w:r>
              <w:rPr>
                <w:rFonts w:eastAsia="黑体"/>
                <w:color w:val="auto"/>
              </w:rPr>
              <w:t>（</w:t>
            </w:r>
            <w:r>
              <w:rPr>
                <w:rFonts w:hint="eastAsia" w:eastAsia="黑体"/>
                <w:color w:val="auto"/>
                <w:lang w:eastAsia="zh-CN"/>
              </w:rPr>
              <w:t>DB51/2864-2021</w:t>
            </w:r>
            <w:r>
              <w:rPr>
                <w:rFonts w:eastAsia="黑体"/>
                <w:color w:val="auto"/>
              </w:rPr>
              <w:t>）</w:t>
            </w:r>
            <w:r>
              <w:rPr>
                <w:rFonts w:eastAsia="TimesNewRomanPSMT"/>
                <w:color w:val="auto"/>
              </w:rPr>
              <w:t>mg/m</w:t>
            </w:r>
            <w:r>
              <w:rPr>
                <w:color w:val="auto"/>
                <w:vertAlign w:val="superscript"/>
              </w:rPr>
              <w:t>3</w:t>
            </w:r>
          </w:p>
          <w:tbl>
            <w:tblPr>
              <w:tblStyle w:val="4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68"/>
              <w:gridCol w:w="2227"/>
              <w:gridCol w:w="1187"/>
              <w:gridCol w:w="26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13" w:type="pct"/>
                  <w:tcBorders>
                    <w:tl2br w:val="nil"/>
                    <w:tr2bl w:val="nil"/>
                  </w:tcBorders>
                  <w:vAlign w:val="center"/>
                </w:tcPr>
                <w:p>
                  <w:pPr>
                    <w:adjustRightInd w:val="0"/>
                    <w:snapToGrid w:val="0"/>
                    <w:jc w:val="center"/>
                    <w:rPr>
                      <w:b/>
                      <w:bCs/>
                      <w:color w:val="auto"/>
                      <w:spacing w:val="5"/>
                      <w:szCs w:val="21"/>
                    </w:rPr>
                  </w:pPr>
                  <w:r>
                    <w:rPr>
                      <w:b/>
                      <w:bCs/>
                      <w:color w:val="auto"/>
                      <w:spacing w:val="5"/>
                      <w:szCs w:val="21"/>
                    </w:rPr>
                    <w:t>生产过程</w:t>
                  </w:r>
                </w:p>
              </w:tc>
              <w:tc>
                <w:tcPr>
                  <w:tcW w:w="1253" w:type="pct"/>
                  <w:tcBorders>
                    <w:tl2br w:val="nil"/>
                    <w:tr2bl w:val="nil"/>
                  </w:tcBorders>
                  <w:vAlign w:val="center"/>
                </w:tcPr>
                <w:p>
                  <w:pPr>
                    <w:adjustRightInd w:val="0"/>
                    <w:snapToGrid w:val="0"/>
                    <w:jc w:val="center"/>
                    <w:rPr>
                      <w:b/>
                      <w:bCs/>
                      <w:color w:val="auto"/>
                      <w:spacing w:val="5"/>
                      <w:szCs w:val="21"/>
                    </w:rPr>
                  </w:pPr>
                  <w:r>
                    <w:rPr>
                      <w:b/>
                      <w:bCs/>
                      <w:color w:val="auto"/>
                      <w:spacing w:val="5"/>
                      <w:szCs w:val="21"/>
                    </w:rPr>
                    <w:t>生产设备</w:t>
                  </w:r>
                </w:p>
              </w:tc>
              <w:tc>
                <w:tcPr>
                  <w:tcW w:w="667" w:type="pct"/>
                  <w:tcBorders>
                    <w:tl2br w:val="nil"/>
                    <w:tr2bl w:val="nil"/>
                  </w:tcBorders>
                  <w:vAlign w:val="center"/>
                </w:tcPr>
                <w:p>
                  <w:pPr>
                    <w:adjustRightInd w:val="0"/>
                    <w:snapToGrid w:val="0"/>
                    <w:jc w:val="center"/>
                    <w:rPr>
                      <w:b/>
                      <w:bCs/>
                      <w:color w:val="auto"/>
                      <w:spacing w:val="5"/>
                      <w:szCs w:val="21"/>
                    </w:rPr>
                  </w:pPr>
                  <w:r>
                    <w:rPr>
                      <w:b/>
                      <w:bCs/>
                      <w:color w:val="auto"/>
                      <w:spacing w:val="5"/>
                      <w:szCs w:val="21"/>
                    </w:rPr>
                    <w:t>颗粒物</w:t>
                  </w:r>
                </w:p>
              </w:tc>
              <w:tc>
                <w:tcPr>
                  <w:tcW w:w="1464" w:type="pct"/>
                  <w:tcBorders>
                    <w:tl2br w:val="nil"/>
                    <w:tr2bl w:val="nil"/>
                  </w:tcBorders>
                  <w:vAlign w:val="center"/>
                </w:tcPr>
                <w:p>
                  <w:pPr>
                    <w:adjustRightInd w:val="0"/>
                    <w:snapToGrid w:val="0"/>
                    <w:jc w:val="center"/>
                    <w:rPr>
                      <w:b/>
                      <w:bCs/>
                      <w:color w:val="auto"/>
                      <w:spacing w:val="5"/>
                      <w:szCs w:val="21"/>
                    </w:rPr>
                  </w:pPr>
                  <w:r>
                    <w:rPr>
                      <w:b/>
                      <w:bCs/>
                      <w:color w:val="auto"/>
                      <w:spacing w:val="5"/>
                      <w:szCs w:val="21"/>
                    </w:rPr>
                    <w:t>排气筒高度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13" w:type="pct"/>
                  <w:tcBorders>
                    <w:tl2br w:val="nil"/>
                    <w:tr2bl w:val="nil"/>
                  </w:tcBorders>
                  <w:vAlign w:val="center"/>
                </w:tcPr>
                <w:p>
                  <w:pPr>
                    <w:adjustRightInd w:val="0"/>
                    <w:snapToGrid w:val="0"/>
                    <w:jc w:val="center"/>
                    <w:rPr>
                      <w:color w:val="auto"/>
                      <w:spacing w:val="5"/>
                      <w:szCs w:val="21"/>
                    </w:rPr>
                  </w:pPr>
                  <w:r>
                    <w:rPr>
                      <w:color w:val="auto"/>
                      <w:spacing w:val="5"/>
                      <w:szCs w:val="21"/>
                    </w:rPr>
                    <w:t>散装水泥中转站及水泥制品生产</w:t>
                  </w:r>
                </w:p>
              </w:tc>
              <w:tc>
                <w:tcPr>
                  <w:tcW w:w="1253" w:type="pct"/>
                  <w:tcBorders>
                    <w:tl2br w:val="nil"/>
                    <w:tr2bl w:val="nil"/>
                  </w:tcBorders>
                  <w:vAlign w:val="center"/>
                </w:tcPr>
                <w:p>
                  <w:pPr>
                    <w:adjustRightInd w:val="0"/>
                    <w:snapToGrid w:val="0"/>
                    <w:jc w:val="center"/>
                    <w:rPr>
                      <w:color w:val="auto"/>
                      <w:spacing w:val="5"/>
                      <w:szCs w:val="21"/>
                    </w:rPr>
                  </w:pPr>
                  <w:r>
                    <w:rPr>
                      <w:color w:val="auto"/>
                      <w:spacing w:val="5"/>
                      <w:szCs w:val="21"/>
                    </w:rPr>
                    <w:t>水泥仓及其他通风生产设备</w:t>
                  </w:r>
                </w:p>
              </w:tc>
              <w:tc>
                <w:tcPr>
                  <w:tcW w:w="667" w:type="pct"/>
                  <w:tcBorders>
                    <w:tl2br w:val="nil"/>
                    <w:tr2bl w:val="nil"/>
                  </w:tcBorders>
                  <w:vAlign w:val="center"/>
                </w:tcPr>
                <w:p>
                  <w:pPr>
                    <w:adjustRightInd w:val="0"/>
                    <w:snapToGrid w:val="0"/>
                    <w:jc w:val="center"/>
                    <w:rPr>
                      <w:color w:val="auto"/>
                      <w:spacing w:val="5"/>
                      <w:szCs w:val="21"/>
                    </w:rPr>
                  </w:pPr>
                  <w:r>
                    <w:rPr>
                      <w:color w:val="auto"/>
                      <w:spacing w:val="5"/>
                      <w:szCs w:val="21"/>
                    </w:rPr>
                    <w:t>10</w:t>
                  </w:r>
                </w:p>
              </w:tc>
              <w:tc>
                <w:tcPr>
                  <w:tcW w:w="1464" w:type="pct"/>
                  <w:tcBorders>
                    <w:tl2br w:val="nil"/>
                    <w:tr2bl w:val="nil"/>
                  </w:tcBorders>
                  <w:vAlign w:val="center"/>
                </w:tcPr>
                <w:p>
                  <w:pPr>
                    <w:adjustRightInd w:val="0"/>
                    <w:snapToGrid w:val="0"/>
                    <w:jc w:val="center"/>
                    <w:rPr>
                      <w:color w:val="auto"/>
                      <w:spacing w:val="5"/>
                      <w:szCs w:val="21"/>
                    </w:rPr>
                  </w:pPr>
                  <w:r>
                    <w:rPr>
                      <w:color w:val="auto"/>
                      <w:spacing w:val="5"/>
                      <w:szCs w:val="21"/>
                    </w:rPr>
                    <w:t>≥15m，排气筒高度应高出本体建（构）筑物3m以上</w:t>
                  </w:r>
                </w:p>
              </w:tc>
            </w:tr>
          </w:tbl>
          <w:p>
            <w:pPr>
              <w:adjustRightInd w:val="0"/>
              <w:snapToGrid w:val="0"/>
              <w:spacing w:line="360" w:lineRule="auto"/>
              <w:jc w:val="center"/>
              <w:rPr>
                <w:rFonts w:eastAsia="黑体"/>
                <w:color w:val="auto"/>
              </w:rPr>
            </w:pPr>
            <w:r>
              <w:rPr>
                <w:rFonts w:eastAsia="黑体"/>
                <w:color w:val="auto"/>
              </w:rPr>
              <w:t>表3-10</w:t>
            </w:r>
            <w:r>
              <w:rPr>
                <w:rFonts w:hint="eastAsia" w:eastAsia="黑体"/>
                <w:color w:val="auto"/>
                <w:lang w:val="en-US" w:eastAsia="zh-CN"/>
              </w:rPr>
              <w:t xml:space="preserve">  </w:t>
            </w:r>
            <w:r>
              <w:rPr>
                <w:rFonts w:eastAsia="黑体"/>
                <w:color w:val="auto"/>
              </w:rPr>
              <w:t>《</w:t>
            </w:r>
            <w:r>
              <w:rPr>
                <w:rFonts w:hint="eastAsia" w:eastAsia="黑体"/>
                <w:color w:val="auto"/>
                <w:lang w:eastAsia="zh-CN"/>
              </w:rPr>
              <w:t>四川省水泥工业大气污染物排放标准</w:t>
            </w:r>
            <w:r>
              <w:rPr>
                <w:rFonts w:eastAsia="黑体"/>
                <w:color w:val="auto"/>
              </w:rPr>
              <w:t>》表</w:t>
            </w:r>
            <w:r>
              <w:rPr>
                <w:rFonts w:hint="eastAsia" w:eastAsia="黑体"/>
                <w:color w:val="auto"/>
                <w:lang w:val="en-US" w:eastAsia="zh-CN"/>
              </w:rPr>
              <w:t>2</w:t>
            </w:r>
            <w:r>
              <w:rPr>
                <w:rFonts w:eastAsia="黑体"/>
                <w:color w:val="auto"/>
              </w:rPr>
              <w:t>（</w:t>
            </w:r>
            <w:r>
              <w:rPr>
                <w:rFonts w:hint="eastAsia" w:eastAsia="黑体"/>
                <w:color w:val="auto"/>
                <w:lang w:eastAsia="zh-CN"/>
              </w:rPr>
              <w:t>DB51/2864-2021</w:t>
            </w:r>
            <w:r>
              <w:rPr>
                <w:rFonts w:eastAsia="黑体"/>
                <w:color w:val="auto"/>
              </w:rPr>
              <w:t>）</w:t>
            </w:r>
            <w:r>
              <w:rPr>
                <w:rFonts w:eastAsia="TimesNewRomanPSMT"/>
                <w:color w:val="auto"/>
              </w:rPr>
              <w:t>mg/m</w:t>
            </w:r>
            <w:r>
              <w:rPr>
                <w:color w:val="auto"/>
                <w:vertAlign w:val="superscript"/>
              </w:rPr>
              <w:t>3</w:t>
            </w:r>
          </w:p>
          <w:tbl>
            <w:tblPr>
              <w:tblStyle w:val="4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6"/>
              <w:gridCol w:w="1328"/>
              <w:gridCol w:w="3080"/>
              <w:gridCol w:w="32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7" w:type="pct"/>
                  <w:tcBorders>
                    <w:tl2br w:val="nil"/>
                    <w:tr2bl w:val="nil"/>
                  </w:tcBorders>
                  <w:vAlign w:val="center"/>
                </w:tcPr>
                <w:p>
                  <w:pPr>
                    <w:adjustRightInd w:val="0"/>
                    <w:snapToGrid w:val="0"/>
                    <w:jc w:val="center"/>
                    <w:rPr>
                      <w:b/>
                      <w:bCs/>
                      <w:color w:val="auto"/>
                      <w:spacing w:val="5"/>
                      <w:szCs w:val="21"/>
                    </w:rPr>
                  </w:pPr>
                  <w:r>
                    <w:rPr>
                      <w:b/>
                      <w:bCs/>
                      <w:color w:val="auto"/>
                      <w:spacing w:val="5"/>
                      <w:szCs w:val="21"/>
                    </w:rPr>
                    <w:t>污染物</w:t>
                  </w:r>
                </w:p>
              </w:tc>
              <w:tc>
                <w:tcPr>
                  <w:tcW w:w="747" w:type="pct"/>
                  <w:tcBorders>
                    <w:tl2br w:val="nil"/>
                    <w:tr2bl w:val="nil"/>
                  </w:tcBorders>
                  <w:vAlign w:val="center"/>
                </w:tcPr>
                <w:p>
                  <w:pPr>
                    <w:adjustRightInd w:val="0"/>
                    <w:snapToGrid w:val="0"/>
                    <w:jc w:val="center"/>
                    <w:rPr>
                      <w:rFonts w:hint="eastAsia" w:eastAsia="宋体"/>
                      <w:b/>
                      <w:bCs/>
                      <w:color w:val="auto"/>
                      <w:spacing w:val="5"/>
                      <w:szCs w:val="21"/>
                      <w:lang w:eastAsia="zh-CN"/>
                    </w:rPr>
                  </w:pPr>
                  <w:r>
                    <w:rPr>
                      <w:rFonts w:hint="eastAsia"/>
                      <w:b/>
                      <w:bCs/>
                      <w:color w:val="auto"/>
                      <w:lang w:eastAsia="zh-CN"/>
                    </w:rPr>
                    <w:t>区域</w:t>
                  </w:r>
                </w:p>
              </w:tc>
              <w:tc>
                <w:tcPr>
                  <w:tcW w:w="1733" w:type="pct"/>
                  <w:tcBorders>
                    <w:tl2br w:val="nil"/>
                    <w:tr2bl w:val="nil"/>
                  </w:tcBorders>
                  <w:vAlign w:val="center"/>
                </w:tcPr>
                <w:p>
                  <w:pPr>
                    <w:adjustRightInd w:val="0"/>
                    <w:snapToGrid w:val="0"/>
                    <w:jc w:val="center"/>
                    <w:rPr>
                      <w:b/>
                      <w:bCs/>
                      <w:color w:val="auto"/>
                      <w:spacing w:val="5"/>
                      <w:szCs w:val="21"/>
                    </w:rPr>
                  </w:pPr>
                  <w:r>
                    <w:rPr>
                      <w:b/>
                      <w:bCs/>
                      <w:color w:val="auto"/>
                    </w:rPr>
                    <w:t>限值</w:t>
                  </w:r>
                </w:p>
              </w:tc>
              <w:tc>
                <w:tcPr>
                  <w:tcW w:w="1852" w:type="pct"/>
                  <w:tcBorders>
                    <w:tl2br w:val="nil"/>
                    <w:tr2bl w:val="nil"/>
                  </w:tcBorders>
                  <w:vAlign w:val="center"/>
                </w:tcPr>
                <w:p>
                  <w:pPr>
                    <w:adjustRightInd w:val="0"/>
                    <w:snapToGrid w:val="0"/>
                    <w:jc w:val="center"/>
                    <w:rPr>
                      <w:rFonts w:hint="eastAsia" w:eastAsia="宋体"/>
                      <w:b/>
                      <w:bCs/>
                      <w:color w:val="auto"/>
                      <w:lang w:eastAsia="zh-CN"/>
                    </w:rPr>
                  </w:pPr>
                  <w:r>
                    <w:rPr>
                      <w:rFonts w:hint="eastAsia"/>
                      <w:b/>
                      <w:bCs/>
                      <w:color w:val="auto"/>
                      <w:lang w:eastAsia="zh-CN"/>
                    </w:rPr>
                    <w:t>限制含义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7" w:type="pct"/>
                  <w:tcBorders>
                    <w:tl2br w:val="nil"/>
                    <w:tr2bl w:val="nil"/>
                  </w:tcBorders>
                  <w:vAlign w:val="center"/>
                </w:tcPr>
                <w:p>
                  <w:pPr>
                    <w:adjustRightInd w:val="0"/>
                    <w:snapToGrid w:val="0"/>
                    <w:jc w:val="center"/>
                    <w:rPr>
                      <w:color w:val="auto"/>
                      <w:spacing w:val="5"/>
                      <w:szCs w:val="21"/>
                    </w:rPr>
                  </w:pPr>
                  <w:r>
                    <w:rPr>
                      <w:color w:val="auto"/>
                      <w:spacing w:val="5"/>
                      <w:szCs w:val="21"/>
                    </w:rPr>
                    <w:t>颗粒物</w:t>
                  </w:r>
                </w:p>
              </w:tc>
              <w:tc>
                <w:tcPr>
                  <w:tcW w:w="747" w:type="pct"/>
                  <w:tcBorders>
                    <w:tl2br w:val="nil"/>
                    <w:tr2bl w:val="nil"/>
                  </w:tcBorders>
                  <w:vAlign w:val="center"/>
                </w:tcPr>
                <w:p>
                  <w:pPr>
                    <w:adjustRightInd w:val="0"/>
                    <w:snapToGrid w:val="0"/>
                    <w:jc w:val="center"/>
                    <w:rPr>
                      <w:rFonts w:hint="default" w:eastAsia="宋体"/>
                      <w:color w:val="auto"/>
                      <w:spacing w:val="5"/>
                      <w:szCs w:val="21"/>
                      <w:lang w:val="en-US" w:eastAsia="zh-CN"/>
                    </w:rPr>
                  </w:pPr>
                  <w:r>
                    <w:rPr>
                      <w:rFonts w:hint="eastAsia"/>
                      <w:color w:val="auto"/>
                      <w:spacing w:val="5"/>
                      <w:szCs w:val="21"/>
                      <w:lang w:val="en-US" w:eastAsia="zh-CN"/>
                    </w:rPr>
                    <w:t>乐山市</w:t>
                  </w:r>
                </w:p>
              </w:tc>
              <w:tc>
                <w:tcPr>
                  <w:tcW w:w="1733" w:type="pct"/>
                  <w:tcBorders>
                    <w:tl2br w:val="nil"/>
                    <w:tr2bl w:val="nil"/>
                  </w:tcBorders>
                  <w:vAlign w:val="center"/>
                </w:tcPr>
                <w:p>
                  <w:pPr>
                    <w:adjustRightInd w:val="0"/>
                    <w:snapToGrid w:val="0"/>
                    <w:jc w:val="center"/>
                    <w:rPr>
                      <w:rFonts w:hint="default" w:eastAsia="宋体"/>
                      <w:color w:val="auto"/>
                      <w:spacing w:val="5"/>
                      <w:szCs w:val="21"/>
                      <w:lang w:val="en-US" w:eastAsia="zh-CN"/>
                    </w:rPr>
                  </w:pPr>
                  <w:r>
                    <w:rPr>
                      <w:rFonts w:hint="eastAsia"/>
                      <w:color w:val="auto"/>
                      <w:spacing w:val="5"/>
                      <w:szCs w:val="21"/>
                      <w:lang w:val="en-US" w:eastAsia="zh-CN"/>
                    </w:rPr>
                    <w:t>0.3</w:t>
                  </w:r>
                </w:p>
              </w:tc>
              <w:tc>
                <w:tcPr>
                  <w:tcW w:w="1852" w:type="pct"/>
                  <w:tcBorders>
                    <w:tl2br w:val="nil"/>
                    <w:tr2bl w:val="nil"/>
                  </w:tcBorders>
                  <w:vAlign w:val="center"/>
                </w:tcPr>
                <w:p>
                  <w:pPr>
                    <w:adjustRightInd w:val="0"/>
                    <w:snapToGrid w:val="0"/>
                    <w:jc w:val="center"/>
                    <w:rPr>
                      <w:color w:val="auto"/>
                      <w:spacing w:val="5"/>
                      <w:szCs w:val="21"/>
                    </w:rPr>
                  </w:pPr>
                  <w:r>
                    <w:rPr>
                      <w:rFonts w:hint="eastAsia"/>
                      <w:color w:val="auto"/>
                      <w:spacing w:val="5"/>
                      <w:szCs w:val="21"/>
                    </w:rPr>
                    <w:t>企业边界任意1h大气污染物平均浓度</w:t>
                  </w:r>
                </w:p>
              </w:tc>
            </w:tr>
          </w:tbl>
          <w:p>
            <w:pPr>
              <w:spacing w:line="360" w:lineRule="auto"/>
              <w:ind w:firstLine="482" w:firstLineChars="200"/>
              <w:rPr>
                <w:color w:val="auto"/>
                <w:sz w:val="24"/>
              </w:rPr>
            </w:pPr>
            <w:r>
              <w:rPr>
                <w:b/>
                <w:bCs/>
                <w:color w:val="auto"/>
                <w:sz w:val="24"/>
              </w:rPr>
              <w:t>3、噪声</w:t>
            </w:r>
          </w:p>
          <w:p>
            <w:pPr>
              <w:spacing w:line="360" w:lineRule="auto"/>
              <w:ind w:firstLine="480" w:firstLineChars="200"/>
              <w:rPr>
                <w:color w:val="auto"/>
                <w:kern w:val="0"/>
                <w:sz w:val="24"/>
              </w:rPr>
            </w:pPr>
            <w:r>
              <w:rPr>
                <w:color w:val="auto"/>
                <w:sz w:val="24"/>
              </w:rPr>
              <w:t>施工期噪声执行《建筑施工场界环境噪声排放标准》（GB12523-2011），营运期执行国家《工业企业厂界环境噪声排放标准》（GB12348-2008）中2类标准。</w:t>
            </w:r>
          </w:p>
          <w:p>
            <w:pPr>
              <w:pStyle w:val="15"/>
              <w:snapToGrid/>
              <w:spacing w:before="0" w:after="0" w:line="360" w:lineRule="auto"/>
              <w:ind w:firstLine="422" w:firstLineChars="200"/>
              <w:jc w:val="center"/>
              <w:rPr>
                <w:b/>
                <w:color w:val="auto"/>
                <w:sz w:val="21"/>
                <w:szCs w:val="21"/>
              </w:rPr>
            </w:pPr>
            <w:r>
              <w:rPr>
                <w:b/>
                <w:color w:val="auto"/>
                <w:sz w:val="21"/>
                <w:szCs w:val="21"/>
              </w:rPr>
              <w:t>表3-11  厂界噪声排放标准限值表  等效声级Leq:dB（A）</w:t>
            </w:r>
          </w:p>
          <w:tbl>
            <w:tblPr>
              <w:tblStyle w:val="4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25"/>
              <w:gridCol w:w="2113"/>
              <w:gridCol w:w="8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 w:hRule="atLeast"/>
                <w:jc w:val="center"/>
              </w:trPr>
              <w:tc>
                <w:tcPr>
                  <w:tcW w:w="3334"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b/>
                      <w:bCs/>
                      <w:color w:val="auto"/>
                      <w:szCs w:val="21"/>
                      <w:lang w:val="en-GB"/>
                    </w:rPr>
                  </w:pPr>
                  <w:r>
                    <w:rPr>
                      <w:b/>
                      <w:bCs/>
                      <w:color w:val="auto"/>
                      <w:szCs w:val="21"/>
                      <w:lang w:val="en-GB"/>
                    </w:rPr>
                    <w:t>执行标准</w:t>
                  </w:r>
                </w:p>
              </w:tc>
              <w:tc>
                <w:tcPr>
                  <w:tcW w:w="1189"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b/>
                      <w:bCs/>
                      <w:color w:val="auto"/>
                      <w:szCs w:val="21"/>
                      <w:lang w:val="en-GB"/>
                    </w:rPr>
                  </w:pPr>
                  <w:r>
                    <w:rPr>
                      <w:b/>
                      <w:bCs/>
                      <w:color w:val="auto"/>
                      <w:szCs w:val="21"/>
                    </w:rPr>
                    <w:t>昼间</w:t>
                  </w:r>
                </w:p>
              </w:tc>
              <w:tc>
                <w:tcPr>
                  <w:tcW w:w="476"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b/>
                      <w:bCs/>
                      <w:color w:val="auto"/>
                      <w:szCs w:val="21"/>
                      <w:lang w:val="en-GB"/>
                    </w:rPr>
                  </w:pPr>
                  <w:r>
                    <w:rPr>
                      <w:b/>
                      <w:bCs/>
                      <w:color w:val="auto"/>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3334"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color w:val="auto"/>
                      <w:szCs w:val="21"/>
                      <w:lang w:val="en-GB"/>
                    </w:rPr>
                  </w:pPr>
                  <w:r>
                    <w:rPr>
                      <w:color w:val="auto"/>
                      <w:szCs w:val="21"/>
                    </w:rPr>
                    <w:t>《建筑施工场界环境噪声排放标准》（GB12523-2011）</w:t>
                  </w:r>
                </w:p>
              </w:tc>
              <w:tc>
                <w:tcPr>
                  <w:tcW w:w="1189"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color w:val="auto"/>
                      <w:szCs w:val="21"/>
                    </w:rPr>
                  </w:pPr>
                  <w:r>
                    <w:rPr>
                      <w:color w:val="auto"/>
                      <w:szCs w:val="21"/>
                    </w:rPr>
                    <w:t>70</w:t>
                  </w:r>
                </w:p>
              </w:tc>
              <w:tc>
                <w:tcPr>
                  <w:tcW w:w="476"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color w:val="auto"/>
                      <w:szCs w:val="21"/>
                    </w:rPr>
                  </w:pPr>
                  <w:r>
                    <w:rPr>
                      <w:color w:val="auto"/>
                      <w:szCs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 w:hRule="atLeast"/>
                <w:jc w:val="center"/>
              </w:trPr>
              <w:tc>
                <w:tcPr>
                  <w:tcW w:w="3334"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color w:val="auto"/>
                      <w:szCs w:val="21"/>
                      <w:lang w:val="en-GB"/>
                    </w:rPr>
                  </w:pPr>
                  <w:r>
                    <w:rPr>
                      <w:color w:val="auto"/>
                      <w:szCs w:val="21"/>
                    </w:rPr>
                    <w:t>《工业企业厂界环境噪声排放标准》（GB12348-2008）</w:t>
                  </w:r>
                </w:p>
              </w:tc>
              <w:tc>
                <w:tcPr>
                  <w:tcW w:w="1189"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color w:val="auto"/>
                      <w:szCs w:val="21"/>
                      <w:lang w:val="en-GB"/>
                    </w:rPr>
                  </w:pPr>
                  <w:r>
                    <w:rPr>
                      <w:color w:val="auto"/>
                      <w:szCs w:val="21"/>
                      <w:lang w:val="en-GB"/>
                    </w:rPr>
                    <w:t>60</w:t>
                  </w:r>
                </w:p>
              </w:tc>
              <w:tc>
                <w:tcPr>
                  <w:tcW w:w="476"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color w:val="auto"/>
                      <w:szCs w:val="21"/>
                      <w:lang w:val="en-GB"/>
                    </w:rPr>
                  </w:pPr>
                  <w:r>
                    <w:rPr>
                      <w:color w:val="auto"/>
                      <w:szCs w:val="21"/>
                      <w:lang w:val="en-GB"/>
                    </w:rPr>
                    <w:t>50</w:t>
                  </w:r>
                </w:p>
              </w:tc>
            </w:tr>
          </w:tbl>
          <w:p>
            <w:pPr>
              <w:spacing w:line="500" w:lineRule="exact"/>
              <w:ind w:firstLine="482" w:firstLineChars="200"/>
              <w:rPr>
                <w:b/>
                <w:bCs/>
                <w:color w:val="auto"/>
                <w:sz w:val="24"/>
              </w:rPr>
            </w:pPr>
            <w:r>
              <w:rPr>
                <w:b/>
                <w:bCs/>
                <w:color w:val="auto"/>
                <w:sz w:val="24"/>
              </w:rPr>
              <w:t>4、固废</w:t>
            </w:r>
          </w:p>
          <w:p>
            <w:pPr>
              <w:spacing w:line="500" w:lineRule="exact"/>
              <w:ind w:firstLine="480" w:firstLineChars="200"/>
              <w:rPr>
                <w:color w:val="auto"/>
                <w:sz w:val="24"/>
              </w:rPr>
            </w:pPr>
            <w:r>
              <w:rPr>
                <w:color w:val="auto"/>
                <w:sz w:val="24"/>
              </w:rPr>
              <w:t>一般固废：一般固废贮存、处置执行《一般工业固体废物贮存和填埋污染控制标准》（GB18599-2020）标准。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447" w:type="pct"/>
            <w:tcMar>
              <w:top w:w="16" w:type="dxa"/>
              <w:left w:w="16" w:type="dxa"/>
              <w:right w:w="16" w:type="dxa"/>
            </w:tcMar>
            <w:vAlign w:val="center"/>
          </w:tcPr>
          <w:p>
            <w:pPr>
              <w:adjustRightInd w:val="0"/>
              <w:snapToGrid w:val="0"/>
              <w:jc w:val="center"/>
              <w:rPr>
                <w:color w:val="auto"/>
                <w:kern w:val="0"/>
                <w:sz w:val="24"/>
              </w:rPr>
            </w:pPr>
            <w:r>
              <w:rPr>
                <w:color w:val="auto"/>
                <w:kern w:val="0"/>
                <w:sz w:val="24"/>
              </w:rPr>
              <w:t>总量</w:t>
            </w:r>
          </w:p>
          <w:p>
            <w:pPr>
              <w:adjustRightInd w:val="0"/>
              <w:snapToGrid w:val="0"/>
              <w:jc w:val="center"/>
              <w:rPr>
                <w:color w:val="auto"/>
                <w:kern w:val="0"/>
                <w:sz w:val="24"/>
              </w:rPr>
            </w:pPr>
            <w:r>
              <w:rPr>
                <w:color w:val="auto"/>
                <w:kern w:val="0"/>
                <w:sz w:val="24"/>
              </w:rPr>
              <w:t>控制</w:t>
            </w:r>
          </w:p>
          <w:p>
            <w:pPr>
              <w:adjustRightInd w:val="0"/>
              <w:snapToGrid w:val="0"/>
              <w:jc w:val="center"/>
              <w:rPr>
                <w:color w:val="auto"/>
                <w:kern w:val="0"/>
                <w:sz w:val="24"/>
              </w:rPr>
            </w:pPr>
            <w:r>
              <w:rPr>
                <w:color w:val="auto"/>
                <w:kern w:val="0"/>
                <w:sz w:val="24"/>
              </w:rPr>
              <w:t>指标</w:t>
            </w:r>
          </w:p>
        </w:tc>
        <w:tc>
          <w:tcPr>
            <w:tcW w:w="4552" w:type="pct"/>
          </w:tcPr>
          <w:p>
            <w:pPr>
              <w:pStyle w:val="15"/>
              <w:adjustRightInd w:val="0"/>
              <w:spacing w:before="0" w:after="0" w:line="360" w:lineRule="auto"/>
              <w:ind w:right="0" w:firstLine="482"/>
              <w:rPr>
                <w:snapToGrid w:val="0"/>
                <w:color w:val="auto"/>
                <w:sz w:val="24"/>
              </w:rPr>
            </w:pPr>
            <w:bookmarkStart w:id="12" w:name="_Toc99352690"/>
            <w:bookmarkStart w:id="13" w:name="_Toc91232839"/>
            <w:r>
              <w:rPr>
                <w:snapToGrid w:val="0"/>
                <w:color w:val="auto"/>
                <w:sz w:val="24"/>
              </w:rPr>
              <w:t>根据《生态环境部办公厅关于印发〈主要污染物总量减排核算技术指南（2022年修订）〉的通知》（环办综合函〔2022〕350号），主要控制的污染物包括：化学需氧量、氨氮、氮氧化物、挥发性有机物等4项污染物；此外，乐山市将颗粒物排放纳入总量控制污染物管理。</w:t>
            </w:r>
          </w:p>
          <w:p>
            <w:pPr>
              <w:pStyle w:val="15"/>
              <w:adjustRightInd w:val="0"/>
              <w:spacing w:before="0" w:after="0" w:line="360" w:lineRule="auto"/>
              <w:ind w:right="0" w:firstLine="482"/>
              <w:rPr>
                <w:snapToGrid w:val="0"/>
                <w:color w:val="auto"/>
                <w:sz w:val="24"/>
              </w:rPr>
            </w:pPr>
            <w:r>
              <w:rPr>
                <w:snapToGrid w:val="0"/>
                <w:color w:val="auto"/>
                <w:sz w:val="24"/>
              </w:rPr>
              <w:t>本项目生产废水经处理后全部回用，不外排。</w:t>
            </w:r>
          </w:p>
          <w:p>
            <w:pPr>
              <w:pStyle w:val="15"/>
              <w:adjustRightInd w:val="0"/>
              <w:spacing w:before="0" w:after="0" w:line="360" w:lineRule="auto"/>
              <w:ind w:right="0" w:firstLine="482"/>
              <w:rPr>
                <w:rFonts w:hint="eastAsia" w:eastAsia="宋体"/>
                <w:snapToGrid w:val="0"/>
                <w:color w:val="auto"/>
                <w:sz w:val="24"/>
                <w:lang w:eastAsia="zh-CN"/>
              </w:rPr>
            </w:pPr>
            <w:r>
              <w:rPr>
                <w:snapToGrid w:val="0"/>
                <w:color w:val="auto"/>
                <w:sz w:val="24"/>
              </w:rPr>
              <w:t>根据工程分析，本项目排放的废气总量控制污染物为颗粒物，</w:t>
            </w:r>
            <w:r>
              <w:rPr>
                <w:rFonts w:hint="eastAsia"/>
                <w:snapToGrid w:val="0"/>
                <w:color w:val="auto"/>
                <w:sz w:val="24"/>
                <w:lang w:eastAsia="zh-CN"/>
              </w:rPr>
              <w:t>均为无组织排放，建议不设置总量。</w:t>
            </w:r>
          </w:p>
          <w:bookmarkEnd w:id="12"/>
          <w:bookmarkEnd w:id="13"/>
          <w:p>
            <w:pPr>
              <w:spacing w:line="500" w:lineRule="exact"/>
              <w:rPr>
                <w:color w:val="auto"/>
                <w:sz w:val="24"/>
              </w:rPr>
            </w:pPr>
          </w:p>
        </w:tc>
      </w:tr>
    </w:tbl>
    <w:p>
      <w:pPr>
        <w:rPr>
          <w:color w:val="auto"/>
        </w:rPr>
      </w:pPr>
      <w:r>
        <w:rPr>
          <w:color w:val="auto"/>
        </w:rPr>
        <w:br w:type="page"/>
      </w:r>
    </w:p>
    <w:p>
      <w:pPr>
        <w:pStyle w:val="37"/>
        <w:spacing w:before="0" w:beforeAutospacing="0" w:after="0" w:afterAutospacing="0"/>
        <w:jc w:val="center"/>
        <w:outlineLvl w:val="0"/>
        <w:rPr>
          <w:rFonts w:ascii="Times New Roman" w:hAnsi="Times New Roman"/>
          <w:b/>
          <w:bCs/>
          <w:snapToGrid w:val="0"/>
          <w:color w:val="auto"/>
          <w:sz w:val="30"/>
          <w:szCs w:val="30"/>
        </w:rPr>
      </w:pPr>
      <w:r>
        <w:rPr>
          <w:rFonts w:ascii="Times New Roman" w:hAnsi="Times New Roman"/>
          <w:b/>
          <w:bCs/>
          <w:snapToGrid w:val="0"/>
          <w:color w:val="auto"/>
          <w:sz w:val="30"/>
          <w:szCs w:val="30"/>
        </w:rPr>
        <w:t>四、主要环境影响和保护措施</w:t>
      </w:r>
    </w:p>
    <w:tbl>
      <w:tblPr>
        <w:tblStyle w:val="41"/>
        <w:tblW w:w="510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064"/>
        <w:gridCol w:w="89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442" w:hRule="atLeast"/>
          <w:jc w:val="center"/>
        </w:trPr>
        <w:tc>
          <w:tcPr>
            <w:tcW w:w="531" w:type="pct"/>
            <w:tcMar>
              <w:top w:w="16" w:type="dxa"/>
              <w:left w:w="16" w:type="dxa"/>
              <w:right w:w="16" w:type="dxa"/>
            </w:tcMar>
            <w:vAlign w:val="center"/>
          </w:tcPr>
          <w:p>
            <w:pPr>
              <w:adjustRightInd w:val="0"/>
              <w:snapToGrid w:val="0"/>
              <w:jc w:val="center"/>
              <w:rPr>
                <w:color w:val="auto"/>
                <w:sz w:val="24"/>
              </w:rPr>
            </w:pPr>
            <w:r>
              <w:rPr>
                <w:color w:val="auto"/>
                <w:sz w:val="24"/>
              </w:rPr>
              <w:t>施工</w:t>
            </w:r>
          </w:p>
          <w:p>
            <w:pPr>
              <w:adjustRightInd w:val="0"/>
              <w:snapToGrid w:val="0"/>
              <w:jc w:val="center"/>
              <w:rPr>
                <w:color w:val="auto"/>
                <w:sz w:val="24"/>
              </w:rPr>
            </w:pPr>
            <w:r>
              <w:rPr>
                <w:color w:val="auto"/>
                <w:sz w:val="24"/>
              </w:rPr>
              <w:t>期环</w:t>
            </w:r>
          </w:p>
          <w:p>
            <w:pPr>
              <w:adjustRightInd w:val="0"/>
              <w:snapToGrid w:val="0"/>
              <w:jc w:val="center"/>
              <w:rPr>
                <w:color w:val="auto"/>
                <w:sz w:val="24"/>
              </w:rPr>
            </w:pPr>
            <w:r>
              <w:rPr>
                <w:color w:val="auto"/>
                <w:sz w:val="24"/>
              </w:rPr>
              <w:t>境保</w:t>
            </w:r>
          </w:p>
          <w:p>
            <w:pPr>
              <w:adjustRightInd w:val="0"/>
              <w:snapToGrid w:val="0"/>
              <w:jc w:val="center"/>
              <w:rPr>
                <w:color w:val="auto"/>
                <w:sz w:val="24"/>
              </w:rPr>
            </w:pPr>
            <w:r>
              <w:rPr>
                <w:color w:val="auto"/>
                <w:sz w:val="24"/>
              </w:rPr>
              <w:t>护措</w:t>
            </w:r>
          </w:p>
          <w:p>
            <w:pPr>
              <w:adjustRightInd w:val="0"/>
              <w:snapToGrid w:val="0"/>
              <w:jc w:val="center"/>
              <w:rPr>
                <w:color w:val="auto"/>
                <w:sz w:val="24"/>
              </w:rPr>
            </w:pPr>
            <w:r>
              <w:rPr>
                <w:color w:val="auto"/>
                <w:sz w:val="24"/>
              </w:rPr>
              <w:t>施</w:t>
            </w:r>
          </w:p>
        </w:tc>
        <w:tc>
          <w:tcPr>
            <w:tcW w:w="4468" w:type="pct"/>
            <w:vAlign w:val="center"/>
          </w:tcPr>
          <w:p>
            <w:pPr>
              <w:adjustRightInd w:val="0"/>
              <w:snapToGrid w:val="0"/>
              <w:spacing w:line="360" w:lineRule="auto"/>
              <w:ind w:firstLine="482" w:firstLineChars="200"/>
              <w:jc w:val="left"/>
              <w:rPr>
                <w:b/>
                <w:bCs/>
                <w:color w:val="auto"/>
                <w:sz w:val="24"/>
              </w:rPr>
            </w:pPr>
            <w:r>
              <w:rPr>
                <w:b/>
                <w:bCs/>
                <w:color w:val="auto"/>
                <w:sz w:val="24"/>
              </w:rPr>
              <w:t>1.施工期产污环节分析</w:t>
            </w:r>
          </w:p>
          <w:p>
            <w:pPr>
              <w:pStyle w:val="102"/>
              <w:snapToGrid w:val="0"/>
              <w:spacing w:line="360" w:lineRule="auto"/>
              <w:ind w:left="0" w:right="0" w:firstLine="480" w:firstLineChars="200"/>
              <w:jc w:val="both"/>
              <w:rPr>
                <w:color w:val="auto"/>
                <w:szCs w:val="24"/>
              </w:rPr>
            </w:pPr>
            <w:r>
              <w:rPr>
                <w:color w:val="auto"/>
                <w:szCs w:val="24"/>
              </w:rPr>
              <w:t>本项目施工期主要对原有地上构筑物拆除、厂房修建、设备安装等工程，主要污染物产生和治理情况如下：</w:t>
            </w:r>
          </w:p>
          <w:p>
            <w:pPr>
              <w:adjustRightInd w:val="0"/>
              <w:snapToGrid w:val="0"/>
              <w:spacing w:line="360" w:lineRule="auto"/>
              <w:ind w:firstLine="482" w:firstLineChars="200"/>
              <w:rPr>
                <w:b/>
                <w:bCs/>
                <w:color w:val="auto"/>
                <w:sz w:val="24"/>
              </w:rPr>
            </w:pPr>
            <w:r>
              <w:rPr>
                <w:b/>
                <w:bCs/>
                <w:color w:val="auto"/>
                <w:sz w:val="24"/>
              </w:rPr>
              <w:t>2.施工期污染排放及治理措施</w:t>
            </w:r>
          </w:p>
          <w:p>
            <w:pPr>
              <w:adjustRightInd w:val="0"/>
              <w:snapToGrid w:val="0"/>
              <w:spacing w:line="360" w:lineRule="auto"/>
              <w:ind w:firstLine="480"/>
              <w:jc w:val="left"/>
              <w:rPr>
                <w:color w:val="auto"/>
                <w:sz w:val="24"/>
              </w:rPr>
            </w:pPr>
            <w:r>
              <w:rPr>
                <w:color w:val="auto"/>
                <w:sz w:val="24"/>
              </w:rPr>
              <w:t>（1）施工期废水产生及治理措施</w:t>
            </w:r>
          </w:p>
          <w:p>
            <w:pPr>
              <w:adjustRightInd w:val="0"/>
              <w:snapToGrid w:val="0"/>
              <w:spacing w:line="360" w:lineRule="auto"/>
              <w:ind w:firstLine="480" w:firstLineChars="200"/>
              <w:jc w:val="left"/>
              <w:rPr>
                <w:color w:val="auto"/>
                <w:sz w:val="24"/>
              </w:rPr>
            </w:pPr>
            <w:r>
              <w:rPr>
                <w:color w:val="auto"/>
                <w:sz w:val="24"/>
              </w:rPr>
              <w:t>本项目施工期产生的废水为施工人员生活污水和施工废水。</w:t>
            </w:r>
          </w:p>
          <w:p>
            <w:pPr>
              <w:adjustRightInd w:val="0"/>
              <w:snapToGrid w:val="0"/>
              <w:spacing w:line="360" w:lineRule="auto"/>
              <w:ind w:firstLine="480" w:firstLineChars="200"/>
              <w:rPr>
                <w:color w:val="auto"/>
                <w:sz w:val="24"/>
              </w:rPr>
            </w:pPr>
            <w:r>
              <w:rPr>
                <w:color w:val="auto"/>
                <w:sz w:val="24"/>
              </w:rPr>
              <w:t>项目拟建工期为2个月，施工期最大施工人员数量为20人，施工人员租住附近民房，不设住宿、食堂等临时生活设施，用水量按照50L/人﹒d计，则施工期的生活用水量约为1m</w:t>
            </w:r>
            <w:r>
              <w:rPr>
                <w:color w:val="auto"/>
                <w:sz w:val="24"/>
                <w:vertAlign w:val="superscript"/>
              </w:rPr>
              <w:t>3</w:t>
            </w:r>
            <w:r>
              <w:rPr>
                <w:color w:val="auto"/>
                <w:sz w:val="24"/>
              </w:rPr>
              <w:t>/d，2个月共用水约60m</w:t>
            </w:r>
            <w:r>
              <w:rPr>
                <w:color w:val="auto"/>
                <w:sz w:val="24"/>
                <w:vertAlign w:val="superscript"/>
              </w:rPr>
              <w:t>3</w:t>
            </w:r>
            <w:r>
              <w:rPr>
                <w:color w:val="auto"/>
                <w:sz w:val="24"/>
              </w:rPr>
              <w:t>；产污系数按0.8计，则施工期生活污水产生量约为0.8m</w:t>
            </w:r>
            <w:r>
              <w:rPr>
                <w:color w:val="auto"/>
                <w:sz w:val="24"/>
                <w:vertAlign w:val="superscript"/>
              </w:rPr>
              <w:t>3</w:t>
            </w:r>
            <w:r>
              <w:rPr>
                <w:color w:val="auto"/>
                <w:sz w:val="24"/>
              </w:rPr>
              <w:t>/d、共48m</w:t>
            </w:r>
            <w:r>
              <w:rPr>
                <w:color w:val="auto"/>
                <w:sz w:val="24"/>
                <w:vertAlign w:val="superscript"/>
              </w:rPr>
              <w:t>3</w:t>
            </w:r>
            <w:r>
              <w:rPr>
                <w:color w:val="auto"/>
                <w:sz w:val="24"/>
              </w:rPr>
              <w:t>。本项目施工期废水产生及排放情况见表</w:t>
            </w:r>
            <w:r>
              <w:rPr>
                <w:rFonts w:hint="eastAsia"/>
                <w:color w:val="auto"/>
                <w:sz w:val="24"/>
              </w:rPr>
              <w:t>4</w:t>
            </w:r>
            <w:r>
              <w:rPr>
                <w:color w:val="auto"/>
                <w:sz w:val="24"/>
              </w:rPr>
              <w:t>-</w:t>
            </w:r>
            <w:r>
              <w:rPr>
                <w:rFonts w:hint="eastAsia"/>
                <w:color w:val="auto"/>
                <w:sz w:val="24"/>
              </w:rPr>
              <w:t>1</w:t>
            </w:r>
            <w:r>
              <w:rPr>
                <w:color w:val="auto"/>
                <w:sz w:val="24"/>
              </w:rPr>
              <w:t>所示。</w:t>
            </w:r>
          </w:p>
          <w:p>
            <w:pPr>
              <w:adjustRightInd w:val="0"/>
              <w:snapToGrid w:val="0"/>
              <w:spacing w:line="360" w:lineRule="auto"/>
              <w:ind w:firstLine="482" w:firstLineChars="200"/>
              <w:jc w:val="center"/>
              <w:rPr>
                <w:b/>
                <w:bCs/>
                <w:color w:val="auto"/>
                <w:szCs w:val="21"/>
              </w:rPr>
            </w:pPr>
            <w:r>
              <w:rPr>
                <w:b/>
                <w:bCs/>
                <w:color w:val="auto"/>
                <w:szCs w:val="21"/>
              </w:rPr>
              <w:t>表4-1  项目施工期生活污水产生及排放情况表</w:t>
            </w:r>
          </w:p>
          <w:tbl>
            <w:tblPr>
              <w:tblStyle w:val="41"/>
              <w:tblW w:w="87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4"/>
              <w:gridCol w:w="1829"/>
              <w:gridCol w:w="3953"/>
              <w:gridCol w:w="10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864" w:type="dxa"/>
                  <w:vAlign w:val="center"/>
                </w:tcPr>
                <w:p>
                  <w:pPr>
                    <w:adjustRightInd w:val="0"/>
                    <w:snapToGrid w:val="0"/>
                    <w:jc w:val="center"/>
                    <w:rPr>
                      <w:b/>
                      <w:bCs/>
                      <w:color w:val="auto"/>
                    </w:rPr>
                  </w:pPr>
                  <w:r>
                    <w:rPr>
                      <w:b/>
                      <w:bCs/>
                      <w:color w:val="auto"/>
                    </w:rPr>
                    <w:t>污染源</w:t>
                  </w:r>
                </w:p>
              </w:tc>
              <w:tc>
                <w:tcPr>
                  <w:tcW w:w="1829" w:type="dxa"/>
                  <w:vAlign w:val="center"/>
                </w:tcPr>
                <w:p>
                  <w:pPr>
                    <w:adjustRightInd w:val="0"/>
                    <w:snapToGrid w:val="0"/>
                    <w:jc w:val="center"/>
                    <w:rPr>
                      <w:b/>
                      <w:bCs/>
                      <w:color w:val="auto"/>
                    </w:rPr>
                  </w:pPr>
                  <w:r>
                    <w:rPr>
                      <w:b/>
                      <w:bCs/>
                      <w:color w:val="auto"/>
                    </w:rPr>
                    <w:t>产生量（2个月）</w:t>
                  </w:r>
                </w:p>
              </w:tc>
              <w:tc>
                <w:tcPr>
                  <w:tcW w:w="3953" w:type="dxa"/>
                  <w:vAlign w:val="center"/>
                </w:tcPr>
                <w:p>
                  <w:pPr>
                    <w:adjustRightInd w:val="0"/>
                    <w:snapToGrid w:val="0"/>
                    <w:jc w:val="center"/>
                    <w:rPr>
                      <w:b/>
                      <w:bCs/>
                      <w:color w:val="auto"/>
                    </w:rPr>
                  </w:pPr>
                  <w:r>
                    <w:rPr>
                      <w:b/>
                      <w:bCs/>
                      <w:color w:val="auto"/>
                    </w:rPr>
                    <w:t>处理方式</w:t>
                  </w:r>
                </w:p>
              </w:tc>
              <w:tc>
                <w:tcPr>
                  <w:tcW w:w="1093" w:type="dxa"/>
                  <w:vAlign w:val="center"/>
                </w:tcPr>
                <w:p>
                  <w:pPr>
                    <w:adjustRightInd w:val="0"/>
                    <w:snapToGrid w:val="0"/>
                    <w:jc w:val="center"/>
                    <w:rPr>
                      <w:b/>
                      <w:bCs/>
                      <w:color w:val="auto"/>
                    </w:rPr>
                  </w:pPr>
                  <w:r>
                    <w:rPr>
                      <w:b/>
                      <w:bCs/>
                      <w:color w:val="auto"/>
                    </w:rPr>
                    <w:t>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1864" w:type="dxa"/>
                  <w:vAlign w:val="center"/>
                </w:tcPr>
                <w:p>
                  <w:pPr>
                    <w:adjustRightInd w:val="0"/>
                    <w:snapToGrid w:val="0"/>
                    <w:jc w:val="center"/>
                    <w:rPr>
                      <w:color w:val="auto"/>
                    </w:rPr>
                  </w:pPr>
                  <w:r>
                    <w:rPr>
                      <w:color w:val="auto"/>
                    </w:rPr>
                    <w:t>生活污水</w:t>
                  </w:r>
                </w:p>
              </w:tc>
              <w:tc>
                <w:tcPr>
                  <w:tcW w:w="1829" w:type="dxa"/>
                  <w:vAlign w:val="center"/>
                </w:tcPr>
                <w:p>
                  <w:pPr>
                    <w:adjustRightInd w:val="0"/>
                    <w:snapToGrid w:val="0"/>
                    <w:jc w:val="center"/>
                    <w:rPr>
                      <w:color w:val="auto"/>
                    </w:rPr>
                  </w:pPr>
                  <w:r>
                    <w:rPr>
                      <w:color w:val="auto"/>
                    </w:rPr>
                    <w:t>48m</w:t>
                  </w:r>
                  <w:r>
                    <w:rPr>
                      <w:color w:val="auto"/>
                      <w:vertAlign w:val="superscript"/>
                    </w:rPr>
                    <w:t>3</w:t>
                  </w:r>
                </w:p>
              </w:tc>
              <w:tc>
                <w:tcPr>
                  <w:tcW w:w="3953" w:type="dxa"/>
                  <w:vAlign w:val="center"/>
                </w:tcPr>
                <w:p>
                  <w:pPr>
                    <w:adjustRightInd w:val="0"/>
                    <w:snapToGrid w:val="0"/>
                    <w:jc w:val="center"/>
                    <w:rPr>
                      <w:color w:val="auto"/>
                    </w:rPr>
                  </w:pPr>
                  <w:r>
                    <w:rPr>
                      <w:color w:val="auto"/>
                    </w:rPr>
                    <w:t>生活污水依托乐山铁匠世家手工刀具有限公司化粪池（10m</w:t>
                  </w:r>
                  <w:r>
                    <w:rPr>
                      <w:color w:val="auto"/>
                      <w:vertAlign w:val="superscript"/>
                    </w:rPr>
                    <w:t>3</w:t>
                  </w:r>
                  <w:r>
                    <w:rPr>
                      <w:color w:val="auto"/>
                    </w:rPr>
                    <w:t>）处理后用于农田施肥</w:t>
                  </w:r>
                </w:p>
              </w:tc>
              <w:tc>
                <w:tcPr>
                  <w:tcW w:w="1093" w:type="dxa"/>
                  <w:vAlign w:val="center"/>
                </w:tcPr>
                <w:p>
                  <w:pPr>
                    <w:adjustRightInd w:val="0"/>
                    <w:snapToGrid w:val="0"/>
                    <w:jc w:val="center"/>
                    <w:rPr>
                      <w:color w:val="auto"/>
                    </w:rPr>
                  </w:pPr>
                  <w:r>
                    <w:rPr>
                      <w:color w:val="auto"/>
                    </w:rPr>
                    <w:t>不排放</w:t>
                  </w:r>
                </w:p>
              </w:tc>
            </w:tr>
          </w:tbl>
          <w:p>
            <w:pPr>
              <w:adjustRightInd w:val="0"/>
              <w:snapToGrid w:val="0"/>
              <w:spacing w:line="360" w:lineRule="auto"/>
              <w:ind w:firstLine="480" w:firstLineChars="200"/>
              <w:rPr>
                <w:color w:val="auto"/>
                <w:sz w:val="24"/>
              </w:rPr>
            </w:pPr>
            <w:r>
              <w:rPr>
                <w:color w:val="auto"/>
                <w:sz w:val="24"/>
              </w:rPr>
              <w:t>本项目施工期间废水排放量统计见表4-2所示。</w:t>
            </w:r>
          </w:p>
          <w:p>
            <w:pPr>
              <w:adjustRightInd w:val="0"/>
              <w:snapToGrid w:val="0"/>
              <w:spacing w:line="360" w:lineRule="auto"/>
              <w:ind w:firstLine="482" w:firstLineChars="200"/>
              <w:jc w:val="center"/>
              <w:rPr>
                <w:b/>
                <w:bCs/>
                <w:color w:val="auto"/>
                <w:szCs w:val="21"/>
              </w:rPr>
            </w:pPr>
            <w:r>
              <w:rPr>
                <w:b/>
                <w:bCs/>
                <w:color w:val="auto"/>
                <w:szCs w:val="21"/>
              </w:rPr>
              <w:t>表4-2  项目施工期间生活污水及污染物排放情况表</w:t>
            </w:r>
          </w:p>
          <w:tbl>
            <w:tblPr>
              <w:tblStyle w:val="41"/>
              <w:tblW w:w="88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92"/>
              <w:gridCol w:w="1550"/>
              <w:gridCol w:w="903"/>
              <w:gridCol w:w="1034"/>
              <w:gridCol w:w="1031"/>
              <w:gridCol w:w="962"/>
              <w:gridCol w:w="8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4042" w:type="dxa"/>
                  <w:gridSpan w:val="2"/>
                  <w:vAlign w:val="center"/>
                </w:tcPr>
                <w:p>
                  <w:pPr>
                    <w:tabs>
                      <w:tab w:val="left" w:pos="2861"/>
                    </w:tabs>
                    <w:adjustRightInd w:val="0"/>
                    <w:snapToGrid w:val="0"/>
                    <w:jc w:val="center"/>
                    <w:rPr>
                      <w:b/>
                      <w:bCs/>
                      <w:color w:val="auto"/>
                    </w:rPr>
                  </w:pPr>
                  <w:r>
                    <w:rPr>
                      <w:b/>
                      <w:bCs/>
                      <w:color w:val="auto"/>
                    </w:rPr>
                    <w:t>项 目</w:t>
                  </w:r>
                </w:p>
              </w:tc>
              <w:tc>
                <w:tcPr>
                  <w:tcW w:w="903" w:type="dxa"/>
                  <w:vAlign w:val="center"/>
                </w:tcPr>
                <w:p>
                  <w:pPr>
                    <w:tabs>
                      <w:tab w:val="left" w:pos="2861"/>
                    </w:tabs>
                    <w:adjustRightInd w:val="0"/>
                    <w:snapToGrid w:val="0"/>
                    <w:jc w:val="center"/>
                    <w:rPr>
                      <w:b/>
                      <w:bCs/>
                      <w:color w:val="auto"/>
                    </w:rPr>
                  </w:pPr>
                  <w:r>
                    <w:rPr>
                      <w:b/>
                      <w:bCs/>
                      <w:color w:val="auto"/>
                    </w:rPr>
                    <w:t>废水量</w:t>
                  </w:r>
                </w:p>
              </w:tc>
              <w:tc>
                <w:tcPr>
                  <w:tcW w:w="1034" w:type="dxa"/>
                  <w:vAlign w:val="center"/>
                </w:tcPr>
                <w:p>
                  <w:pPr>
                    <w:tabs>
                      <w:tab w:val="left" w:pos="2861"/>
                    </w:tabs>
                    <w:adjustRightInd w:val="0"/>
                    <w:snapToGrid w:val="0"/>
                    <w:jc w:val="center"/>
                    <w:rPr>
                      <w:b/>
                      <w:bCs/>
                      <w:color w:val="auto"/>
                    </w:rPr>
                  </w:pPr>
                  <w:r>
                    <w:rPr>
                      <w:b/>
                      <w:bCs/>
                      <w:color w:val="auto"/>
                    </w:rPr>
                    <w:t>COD</w:t>
                  </w:r>
                </w:p>
              </w:tc>
              <w:tc>
                <w:tcPr>
                  <w:tcW w:w="1031" w:type="dxa"/>
                  <w:vAlign w:val="center"/>
                </w:tcPr>
                <w:p>
                  <w:pPr>
                    <w:tabs>
                      <w:tab w:val="left" w:pos="2861"/>
                    </w:tabs>
                    <w:adjustRightInd w:val="0"/>
                    <w:snapToGrid w:val="0"/>
                    <w:jc w:val="center"/>
                    <w:rPr>
                      <w:b/>
                      <w:bCs/>
                      <w:color w:val="auto"/>
                    </w:rPr>
                  </w:pPr>
                  <w:r>
                    <w:rPr>
                      <w:b/>
                      <w:bCs/>
                      <w:color w:val="auto"/>
                    </w:rPr>
                    <w:t>BOD</w:t>
                  </w:r>
                  <w:r>
                    <w:rPr>
                      <w:b/>
                      <w:bCs/>
                      <w:color w:val="auto"/>
                      <w:vertAlign w:val="subscript"/>
                    </w:rPr>
                    <w:t>5</w:t>
                  </w:r>
                </w:p>
              </w:tc>
              <w:tc>
                <w:tcPr>
                  <w:tcW w:w="962" w:type="dxa"/>
                  <w:vAlign w:val="center"/>
                </w:tcPr>
                <w:p>
                  <w:pPr>
                    <w:tabs>
                      <w:tab w:val="left" w:pos="2861"/>
                    </w:tabs>
                    <w:adjustRightInd w:val="0"/>
                    <w:snapToGrid w:val="0"/>
                    <w:jc w:val="center"/>
                    <w:rPr>
                      <w:b/>
                      <w:bCs/>
                      <w:color w:val="auto"/>
                    </w:rPr>
                  </w:pPr>
                  <w:r>
                    <w:rPr>
                      <w:b/>
                      <w:bCs/>
                      <w:color w:val="auto"/>
                    </w:rPr>
                    <w:t>SS</w:t>
                  </w:r>
                </w:p>
              </w:tc>
              <w:tc>
                <w:tcPr>
                  <w:tcW w:w="884" w:type="dxa"/>
                  <w:vAlign w:val="center"/>
                </w:tcPr>
                <w:p>
                  <w:pPr>
                    <w:tabs>
                      <w:tab w:val="left" w:pos="2861"/>
                    </w:tabs>
                    <w:adjustRightInd w:val="0"/>
                    <w:snapToGrid w:val="0"/>
                    <w:jc w:val="center"/>
                    <w:rPr>
                      <w:b/>
                      <w:bCs/>
                      <w:color w:val="auto"/>
                    </w:rPr>
                  </w:pPr>
                  <w:r>
                    <w:rPr>
                      <w:b/>
                      <w:bCs/>
                      <w:color w:val="auto"/>
                    </w:rPr>
                    <w:t>NH</w:t>
                  </w:r>
                  <w:r>
                    <w:rPr>
                      <w:b/>
                      <w:bCs/>
                      <w:color w:val="auto"/>
                      <w:vertAlign w:val="subscript"/>
                    </w:rPr>
                    <w:t>3</w:t>
                  </w:r>
                  <w:r>
                    <w:rPr>
                      <w:b/>
                      <w:bCs/>
                      <w:color w:val="auto"/>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2492" w:type="dxa"/>
                  <w:vMerge w:val="restart"/>
                  <w:vAlign w:val="center"/>
                </w:tcPr>
                <w:p>
                  <w:pPr>
                    <w:tabs>
                      <w:tab w:val="left" w:pos="2861"/>
                    </w:tabs>
                    <w:adjustRightInd w:val="0"/>
                    <w:snapToGrid w:val="0"/>
                    <w:jc w:val="center"/>
                    <w:rPr>
                      <w:color w:val="auto"/>
                    </w:rPr>
                  </w:pPr>
                  <w:r>
                    <w:rPr>
                      <w:color w:val="auto"/>
                    </w:rPr>
                    <w:t>处理前</w:t>
                  </w:r>
                </w:p>
              </w:tc>
              <w:tc>
                <w:tcPr>
                  <w:tcW w:w="1550" w:type="dxa"/>
                  <w:vAlign w:val="center"/>
                </w:tcPr>
                <w:p>
                  <w:pPr>
                    <w:tabs>
                      <w:tab w:val="left" w:pos="2861"/>
                    </w:tabs>
                    <w:adjustRightInd w:val="0"/>
                    <w:snapToGrid w:val="0"/>
                    <w:jc w:val="center"/>
                    <w:rPr>
                      <w:color w:val="auto"/>
                    </w:rPr>
                  </w:pPr>
                  <w:r>
                    <w:rPr>
                      <w:color w:val="auto"/>
                    </w:rPr>
                    <w:t>浓度（mg/L）</w:t>
                  </w:r>
                </w:p>
              </w:tc>
              <w:tc>
                <w:tcPr>
                  <w:tcW w:w="903" w:type="dxa"/>
                  <w:vMerge w:val="restart"/>
                  <w:vAlign w:val="center"/>
                </w:tcPr>
                <w:p>
                  <w:pPr>
                    <w:tabs>
                      <w:tab w:val="left" w:pos="2861"/>
                    </w:tabs>
                    <w:adjustRightInd w:val="0"/>
                    <w:snapToGrid w:val="0"/>
                    <w:jc w:val="center"/>
                    <w:rPr>
                      <w:color w:val="auto"/>
                    </w:rPr>
                  </w:pPr>
                  <w:r>
                    <w:rPr>
                      <w:color w:val="auto"/>
                    </w:rPr>
                    <w:t>48m</w:t>
                  </w:r>
                  <w:r>
                    <w:rPr>
                      <w:color w:val="auto"/>
                      <w:vertAlign w:val="superscript"/>
                    </w:rPr>
                    <w:t>3</w:t>
                  </w:r>
                </w:p>
              </w:tc>
              <w:tc>
                <w:tcPr>
                  <w:tcW w:w="1034" w:type="dxa"/>
                  <w:vAlign w:val="center"/>
                </w:tcPr>
                <w:p>
                  <w:pPr>
                    <w:tabs>
                      <w:tab w:val="left" w:pos="2861"/>
                    </w:tabs>
                    <w:adjustRightInd w:val="0"/>
                    <w:snapToGrid w:val="0"/>
                    <w:jc w:val="center"/>
                    <w:rPr>
                      <w:color w:val="auto"/>
                    </w:rPr>
                  </w:pPr>
                  <w:r>
                    <w:rPr>
                      <w:color w:val="auto"/>
                    </w:rPr>
                    <w:t>350</w:t>
                  </w:r>
                </w:p>
              </w:tc>
              <w:tc>
                <w:tcPr>
                  <w:tcW w:w="1031" w:type="dxa"/>
                  <w:vAlign w:val="center"/>
                </w:tcPr>
                <w:p>
                  <w:pPr>
                    <w:tabs>
                      <w:tab w:val="left" w:pos="2861"/>
                    </w:tabs>
                    <w:adjustRightInd w:val="0"/>
                    <w:snapToGrid w:val="0"/>
                    <w:jc w:val="center"/>
                    <w:rPr>
                      <w:color w:val="auto"/>
                    </w:rPr>
                  </w:pPr>
                  <w:r>
                    <w:rPr>
                      <w:color w:val="auto"/>
                    </w:rPr>
                    <w:t>200</w:t>
                  </w:r>
                </w:p>
              </w:tc>
              <w:tc>
                <w:tcPr>
                  <w:tcW w:w="962" w:type="dxa"/>
                  <w:vAlign w:val="center"/>
                </w:tcPr>
                <w:p>
                  <w:pPr>
                    <w:tabs>
                      <w:tab w:val="left" w:pos="2861"/>
                    </w:tabs>
                    <w:adjustRightInd w:val="0"/>
                    <w:snapToGrid w:val="0"/>
                    <w:jc w:val="center"/>
                    <w:rPr>
                      <w:color w:val="auto"/>
                    </w:rPr>
                  </w:pPr>
                  <w:r>
                    <w:rPr>
                      <w:color w:val="auto"/>
                    </w:rPr>
                    <w:t>200</w:t>
                  </w:r>
                </w:p>
              </w:tc>
              <w:tc>
                <w:tcPr>
                  <w:tcW w:w="884" w:type="dxa"/>
                  <w:vAlign w:val="center"/>
                </w:tcPr>
                <w:p>
                  <w:pPr>
                    <w:tabs>
                      <w:tab w:val="left" w:pos="2861"/>
                    </w:tabs>
                    <w:adjustRightInd w:val="0"/>
                    <w:snapToGrid w:val="0"/>
                    <w:jc w:val="center"/>
                    <w:rPr>
                      <w:color w:val="auto"/>
                    </w:rPr>
                  </w:pPr>
                  <w:r>
                    <w:rPr>
                      <w:color w:val="auto"/>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2492" w:type="dxa"/>
                  <w:vMerge w:val="continue"/>
                  <w:vAlign w:val="center"/>
                </w:tcPr>
                <w:p>
                  <w:pPr>
                    <w:tabs>
                      <w:tab w:val="left" w:pos="2861"/>
                    </w:tabs>
                    <w:adjustRightInd w:val="0"/>
                    <w:snapToGrid w:val="0"/>
                    <w:jc w:val="center"/>
                    <w:rPr>
                      <w:color w:val="auto"/>
                    </w:rPr>
                  </w:pPr>
                </w:p>
              </w:tc>
              <w:tc>
                <w:tcPr>
                  <w:tcW w:w="1550" w:type="dxa"/>
                  <w:vAlign w:val="center"/>
                </w:tcPr>
                <w:p>
                  <w:pPr>
                    <w:tabs>
                      <w:tab w:val="left" w:pos="2861"/>
                    </w:tabs>
                    <w:adjustRightInd w:val="0"/>
                    <w:snapToGrid w:val="0"/>
                    <w:jc w:val="center"/>
                    <w:rPr>
                      <w:color w:val="auto"/>
                    </w:rPr>
                  </w:pPr>
                  <w:r>
                    <w:rPr>
                      <w:color w:val="auto"/>
                    </w:rPr>
                    <w:t>排放量（t）</w:t>
                  </w:r>
                </w:p>
              </w:tc>
              <w:tc>
                <w:tcPr>
                  <w:tcW w:w="903" w:type="dxa"/>
                  <w:vMerge w:val="continue"/>
                  <w:vAlign w:val="center"/>
                </w:tcPr>
                <w:p>
                  <w:pPr>
                    <w:tabs>
                      <w:tab w:val="left" w:pos="2861"/>
                    </w:tabs>
                    <w:adjustRightInd w:val="0"/>
                    <w:snapToGrid w:val="0"/>
                    <w:jc w:val="center"/>
                    <w:rPr>
                      <w:color w:val="auto"/>
                    </w:rPr>
                  </w:pPr>
                </w:p>
              </w:tc>
              <w:tc>
                <w:tcPr>
                  <w:tcW w:w="1034" w:type="dxa"/>
                  <w:vAlign w:val="center"/>
                </w:tcPr>
                <w:p>
                  <w:pPr>
                    <w:tabs>
                      <w:tab w:val="left" w:pos="2861"/>
                    </w:tabs>
                    <w:adjustRightInd w:val="0"/>
                    <w:snapToGrid w:val="0"/>
                    <w:jc w:val="center"/>
                    <w:rPr>
                      <w:color w:val="auto"/>
                    </w:rPr>
                  </w:pPr>
                  <w:r>
                    <w:rPr>
                      <w:color w:val="auto"/>
                    </w:rPr>
                    <w:t>0.0168</w:t>
                  </w:r>
                </w:p>
              </w:tc>
              <w:tc>
                <w:tcPr>
                  <w:tcW w:w="1031" w:type="dxa"/>
                  <w:vAlign w:val="center"/>
                </w:tcPr>
                <w:p>
                  <w:pPr>
                    <w:tabs>
                      <w:tab w:val="left" w:pos="2861"/>
                    </w:tabs>
                    <w:adjustRightInd w:val="0"/>
                    <w:snapToGrid w:val="0"/>
                    <w:jc w:val="center"/>
                    <w:rPr>
                      <w:color w:val="auto"/>
                    </w:rPr>
                  </w:pPr>
                  <w:r>
                    <w:rPr>
                      <w:color w:val="auto"/>
                    </w:rPr>
                    <w:t>0.0096</w:t>
                  </w:r>
                </w:p>
              </w:tc>
              <w:tc>
                <w:tcPr>
                  <w:tcW w:w="962" w:type="dxa"/>
                  <w:vAlign w:val="center"/>
                </w:tcPr>
                <w:p>
                  <w:pPr>
                    <w:tabs>
                      <w:tab w:val="left" w:pos="2861"/>
                    </w:tabs>
                    <w:adjustRightInd w:val="0"/>
                    <w:snapToGrid w:val="0"/>
                    <w:jc w:val="center"/>
                    <w:rPr>
                      <w:color w:val="auto"/>
                    </w:rPr>
                  </w:pPr>
                  <w:r>
                    <w:rPr>
                      <w:color w:val="auto"/>
                    </w:rPr>
                    <w:t>0.0096</w:t>
                  </w:r>
                </w:p>
              </w:tc>
              <w:tc>
                <w:tcPr>
                  <w:tcW w:w="884" w:type="dxa"/>
                  <w:vAlign w:val="center"/>
                </w:tcPr>
                <w:p>
                  <w:pPr>
                    <w:tabs>
                      <w:tab w:val="left" w:pos="2861"/>
                    </w:tabs>
                    <w:adjustRightInd w:val="0"/>
                    <w:snapToGrid w:val="0"/>
                    <w:jc w:val="center"/>
                    <w:rPr>
                      <w:color w:val="auto"/>
                    </w:rPr>
                  </w:pPr>
                  <w:r>
                    <w:rPr>
                      <w:color w:val="auto"/>
                    </w:rPr>
                    <w:t>0.00144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2492" w:type="dxa"/>
                  <w:vMerge w:val="restart"/>
                  <w:vAlign w:val="center"/>
                </w:tcPr>
                <w:p>
                  <w:pPr>
                    <w:tabs>
                      <w:tab w:val="left" w:pos="2861"/>
                    </w:tabs>
                    <w:adjustRightInd w:val="0"/>
                    <w:snapToGrid w:val="0"/>
                    <w:jc w:val="center"/>
                    <w:rPr>
                      <w:color w:val="auto"/>
                    </w:rPr>
                  </w:pPr>
                  <w:r>
                    <w:rPr>
                      <w:color w:val="auto"/>
                    </w:rPr>
                    <w:t>处理后</w:t>
                  </w:r>
                </w:p>
                <w:p>
                  <w:pPr>
                    <w:tabs>
                      <w:tab w:val="left" w:pos="2861"/>
                    </w:tabs>
                    <w:adjustRightInd w:val="0"/>
                    <w:snapToGrid w:val="0"/>
                    <w:jc w:val="center"/>
                    <w:rPr>
                      <w:color w:val="auto"/>
                    </w:rPr>
                  </w:pPr>
                  <w:r>
                    <w:rPr>
                      <w:color w:val="auto"/>
                    </w:rPr>
                    <w:t>（化粪池）</w:t>
                  </w:r>
                </w:p>
              </w:tc>
              <w:tc>
                <w:tcPr>
                  <w:tcW w:w="1550" w:type="dxa"/>
                  <w:vAlign w:val="center"/>
                </w:tcPr>
                <w:p>
                  <w:pPr>
                    <w:tabs>
                      <w:tab w:val="left" w:pos="2861"/>
                    </w:tabs>
                    <w:adjustRightInd w:val="0"/>
                    <w:snapToGrid w:val="0"/>
                    <w:jc w:val="center"/>
                    <w:rPr>
                      <w:color w:val="auto"/>
                    </w:rPr>
                  </w:pPr>
                  <w:r>
                    <w:rPr>
                      <w:color w:val="auto"/>
                    </w:rPr>
                    <w:t>浓度（mg/L）</w:t>
                  </w:r>
                </w:p>
              </w:tc>
              <w:tc>
                <w:tcPr>
                  <w:tcW w:w="903" w:type="dxa"/>
                  <w:vMerge w:val="restart"/>
                  <w:vAlign w:val="center"/>
                </w:tcPr>
                <w:p>
                  <w:pPr>
                    <w:tabs>
                      <w:tab w:val="left" w:pos="2861"/>
                    </w:tabs>
                    <w:adjustRightInd w:val="0"/>
                    <w:snapToGrid w:val="0"/>
                    <w:jc w:val="center"/>
                    <w:rPr>
                      <w:color w:val="auto"/>
                    </w:rPr>
                  </w:pPr>
                  <w:r>
                    <w:rPr>
                      <w:color w:val="auto"/>
                    </w:rPr>
                    <w:t>48m</w:t>
                  </w:r>
                  <w:r>
                    <w:rPr>
                      <w:color w:val="auto"/>
                      <w:vertAlign w:val="superscript"/>
                    </w:rPr>
                    <w:t>3</w:t>
                  </w:r>
                </w:p>
              </w:tc>
              <w:tc>
                <w:tcPr>
                  <w:tcW w:w="1034" w:type="dxa"/>
                  <w:vAlign w:val="center"/>
                </w:tcPr>
                <w:p>
                  <w:pPr>
                    <w:tabs>
                      <w:tab w:val="left" w:pos="2861"/>
                    </w:tabs>
                    <w:adjustRightInd w:val="0"/>
                    <w:snapToGrid w:val="0"/>
                    <w:jc w:val="center"/>
                    <w:rPr>
                      <w:color w:val="auto"/>
                    </w:rPr>
                  </w:pPr>
                  <w:r>
                    <w:rPr>
                      <w:color w:val="auto"/>
                    </w:rPr>
                    <w:t>300</w:t>
                  </w:r>
                </w:p>
              </w:tc>
              <w:tc>
                <w:tcPr>
                  <w:tcW w:w="1031" w:type="dxa"/>
                  <w:vAlign w:val="center"/>
                </w:tcPr>
                <w:p>
                  <w:pPr>
                    <w:tabs>
                      <w:tab w:val="left" w:pos="2861"/>
                    </w:tabs>
                    <w:adjustRightInd w:val="0"/>
                    <w:snapToGrid w:val="0"/>
                    <w:jc w:val="center"/>
                    <w:rPr>
                      <w:color w:val="auto"/>
                    </w:rPr>
                  </w:pPr>
                  <w:r>
                    <w:rPr>
                      <w:color w:val="auto"/>
                    </w:rPr>
                    <w:t>180</w:t>
                  </w:r>
                </w:p>
              </w:tc>
              <w:tc>
                <w:tcPr>
                  <w:tcW w:w="962" w:type="dxa"/>
                  <w:vAlign w:val="center"/>
                </w:tcPr>
                <w:p>
                  <w:pPr>
                    <w:tabs>
                      <w:tab w:val="left" w:pos="2861"/>
                    </w:tabs>
                    <w:adjustRightInd w:val="0"/>
                    <w:snapToGrid w:val="0"/>
                    <w:jc w:val="center"/>
                    <w:rPr>
                      <w:color w:val="auto"/>
                    </w:rPr>
                  </w:pPr>
                  <w:r>
                    <w:rPr>
                      <w:color w:val="auto"/>
                    </w:rPr>
                    <w:t>150</w:t>
                  </w:r>
                </w:p>
              </w:tc>
              <w:tc>
                <w:tcPr>
                  <w:tcW w:w="884" w:type="dxa"/>
                  <w:vAlign w:val="center"/>
                </w:tcPr>
                <w:p>
                  <w:pPr>
                    <w:tabs>
                      <w:tab w:val="left" w:pos="2861"/>
                    </w:tabs>
                    <w:adjustRightInd w:val="0"/>
                    <w:snapToGrid w:val="0"/>
                    <w:jc w:val="center"/>
                    <w:rPr>
                      <w:color w:val="auto"/>
                    </w:rPr>
                  </w:pPr>
                  <w:r>
                    <w:rPr>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2492" w:type="dxa"/>
                  <w:vMerge w:val="continue"/>
                  <w:vAlign w:val="center"/>
                </w:tcPr>
                <w:p>
                  <w:pPr>
                    <w:tabs>
                      <w:tab w:val="left" w:pos="2861"/>
                    </w:tabs>
                    <w:adjustRightInd w:val="0"/>
                    <w:snapToGrid w:val="0"/>
                    <w:jc w:val="center"/>
                    <w:rPr>
                      <w:color w:val="auto"/>
                    </w:rPr>
                  </w:pPr>
                </w:p>
              </w:tc>
              <w:tc>
                <w:tcPr>
                  <w:tcW w:w="1550" w:type="dxa"/>
                  <w:vAlign w:val="center"/>
                </w:tcPr>
                <w:p>
                  <w:pPr>
                    <w:tabs>
                      <w:tab w:val="left" w:pos="2861"/>
                    </w:tabs>
                    <w:adjustRightInd w:val="0"/>
                    <w:snapToGrid w:val="0"/>
                    <w:jc w:val="center"/>
                    <w:rPr>
                      <w:color w:val="auto"/>
                    </w:rPr>
                  </w:pPr>
                  <w:r>
                    <w:rPr>
                      <w:color w:val="auto"/>
                    </w:rPr>
                    <w:t>排放量（t）</w:t>
                  </w:r>
                </w:p>
              </w:tc>
              <w:tc>
                <w:tcPr>
                  <w:tcW w:w="903" w:type="dxa"/>
                  <w:vMerge w:val="continue"/>
                  <w:vAlign w:val="center"/>
                </w:tcPr>
                <w:p>
                  <w:pPr>
                    <w:tabs>
                      <w:tab w:val="left" w:pos="2861"/>
                    </w:tabs>
                    <w:adjustRightInd w:val="0"/>
                    <w:snapToGrid w:val="0"/>
                    <w:jc w:val="center"/>
                    <w:rPr>
                      <w:color w:val="auto"/>
                    </w:rPr>
                  </w:pPr>
                </w:p>
              </w:tc>
              <w:tc>
                <w:tcPr>
                  <w:tcW w:w="1034" w:type="dxa"/>
                  <w:vAlign w:val="center"/>
                </w:tcPr>
                <w:p>
                  <w:pPr>
                    <w:tabs>
                      <w:tab w:val="left" w:pos="2861"/>
                    </w:tabs>
                    <w:adjustRightInd w:val="0"/>
                    <w:snapToGrid w:val="0"/>
                    <w:jc w:val="center"/>
                    <w:rPr>
                      <w:color w:val="auto"/>
                    </w:rPr>
                  </w:pPr>
                  <w:r>
                    <w:rPr>
                      <w:color w:val="auto"/>
                    </w:rPr>
                    <w:t>0.0144</w:t>
                  </w:r>
                </w:p>
              </w:tc>
              <w:tc>
                <w:tcPr>
                  <w:tcW w:w="1031" w:type="dxa"/>
                  <w:vAlign w:val="center"/>
                </w:tcPr>
                <w:p>
                  <w:pPr>
                    <w:tabs>
                      <w:tab w:val="left" w:pos="2861"/>
                    </w:tabs>
                    <w:adjustRightInd w:val="0"/>
                    <w:snapToGrid w:val="0"/>
                    <w:jc w:val="center"/>
                    <w:rPr>
                      <w:color w:val="auto"/>
                    </w:rPr>
                  </w:pPr>
                  <w:r>
                    <w:rPr>
                      <w:color w:val="auto"/>
                    </w:rPr>
                    <w:t>0.0864</w:t>
                  </w:r>
                </w:p>
              </w:tc>
              <w:tc>
                <w:tcPr>
                  <w:tcW w:w="962" w:type="dxa"/>
                  <w:vAlign w:val="center"/>
                </w:tcPr>
                <w:p>
                  <w:pPr>
                    <w:tabs>
                      <w:tab w:val="left" w:pos="2861"/>
                    </w:tabs>
                    <w:adjustRightInd w:val="0"/>
                    <w:snapToGrid w:val="0"/>
                    <w:jc w:val="center"/>
                    <w:rPr>
                      <w:color w:val="auto"/>
                    </w:rPr>
                  </w:pPr>
                  <w:r>
                    <w:rPr>
                      <w:color w:val="auto"/>
                    </w:rPr>
                    <w:t>0.0072</w:t>
                  </w:r>
                </w:p>
              </w:tc>
              <w:tc>
                <w:tcPr>
                  <w:tcW w:w="884" w:type="dxa"/>
                  <w:vAlign w:val="center"/>
                </w:tcPr>
                <w:p>
                  <w:pPr>
                    <w:tabs>
                      <w:tab w:val="left" w:pos="2861"/>
                    </w:tabs>
                    <w:adjustRightInd w:val="0"/>
                    <w:snapToGrid w:val="0"/>
                    <w:jc w:val="center"/>
                    <w:rPr>
                      <w:color w:val="auto"/>
                    </w:rPr>
                  </w:pPr>
                  <w:r>
                    <w:rPr>
                      <w:color w:val="auto"/>
                    </w:rPr>
                    <w:t>0.00096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4042" w:type="dxa"/>
                  <w:gridSpan w:val="2"/>
                  <w:vAlign w:val="center"/>
                </w:tcPr>
                <w:p>
                  <w:pPr>
                    <w:tabs>
                      <w:tab w:val="left" w:pos="2861"/>
                    </w:tabs>
                    <w:adjustRightInd w:val="0"/>
                    <w:snapToGrid w:val="0"/>
                    <w:jc w:val="center"/>
                    <w:rPr>
                      <w:color w:val="auto"/>
                    </w:rPr>
                  </w:pPr>
                  <w:r>
                    <w:rPr>
                      <w:color w:val="auto"/>
                    </w:rPr>
                    <w:t>处理去除率%</w:t>
                  </w:r>
                </w:p>
              </w:tc>
              <w:tc>
                <w:tcPr>
                  <w:tcW w:w="903" w:type="dxa"/>
                  <w:vAlign w:val="center"/>
                </w:tcPr>
                <w:p>
                  <w:pPr>
                    <w:tabs>
                      <w:tab w:val="left" w:pos="2861"/>
                    </w:tabs>
                    <w:adjustRightInd w:val="0"/>
                    <w:snapToGrid w:val="0"/>
                    <w:jc w:val="center"/>
                    <w:rPr>
                      <w:color w:val="auto"/>
                    </w:rPr>
                  </w:pPr>
                  <w:r>
                    <w:rPr>
                      <w:color w:val="auto"/>
                    </w:rPr>
                    <w:t>/</w:t>
                  </w:r>
                </w:p>
              </w:tc>
              <w:tc>
                <w:tcPr>
                  <w:tcW w:w="1034" w:type="dxa"/>
                  <w:vAlign w:val="center"/>
                </w:tcPr>
                <w:p>
                  <w:pPr>
                    <w:tabs>
                      <w:tab w:val="left" w:pos="2861"/>
                    </w:tabs>
                    <w:adjustRightInd w:val="0"/>
                    <w:snapToGrid w:val="0"/>
                    <w:jc w:val="center"/>
                    <w:rPr>
                      <w:color w:val="auto"/>
                    </w:rPr>
                  </w:pPr>
                  <w:r>
                    <w:rPr>
                      <w:color w:val="auto"/>
                    </w:rPr>
                    <w:t>14</w:t>
                  </w:r>
                </w:p>
              </w:tc>
              <w:tc>
                <w:tcPr>
                  <w:tcW w:w="1031" w:type="dxa"/>
                  <w:vAlign w:val="center"/>
                </w:tcPr>
                <w:p>
                  <w:pPr>
                    <w:tabs>
                      <w:tab w:val="left" w:pos="2861"/>
                    </w:tabs>
                    <w:adjustRightInd w:val="0"/>
                    <w:snapToGrid w:val="0"/>
                    <w:jc w:val="center"/>
                    <w:rPr>
                      <w:color w:val="auto"/>
                    </w:rPr>
                  </w:pPr>
                  <w:r>
                    <w:rPr>
                      <w:color w:val="auto"/>
                    </w:rPr>
                    <w:t>10</w:t>
                  </w:r>
                </w:p>
              </w:tc>
              <w:tc>
                <w:tcPr>
                  <w:tcW w:w="962" w:type="dxa"/>
                  <w:vAlign w:val="center"/>
                </w:tcPr>
                <w:p>
                  <w:pPr>
                    <w:tabs>
                      <w:tab w:val="left" w:pos="2861"/>
                    </w:tabs>
                    <w:adjustRightInd w:val="0"/>
                    <w:snapToGrid w:val="0"/>
                    <w:jc w:val="center"/>
                    <w:rPr>
                      <w:color w:val="auto"/>
                    </w:rPr>
                  </w:pPr>
                  <w:r>
                    <w:rPr>
                      <w:color w:val="auto"/>
                    </w:rPr>
                    <w:t>25</w:t>
                  </w:r>
                </w:p>
              </w:tc>
              <w:tc>
                <w:tcPr>
                  <w:tcW w:w="884" w:type="dxa"/>
                  <w:vAlign w:val="center"/>
                </w:tcPr>
                <w:p>
                  <w:pPr>
                    <w:tabs>
                      <w:tab w:val="left" w:pos="2861"/>
                    </w:tabs>
                    <w:adjustRightInd w:val="0"/>
                    <w:snapToGrid w:val="0"/>
                    <w:jc w:val="center"/>
                    <w:rPr>
                      <w:color w:val="auto"/>
                    </w:rPr>
                  </w:pPr>
                  <w:r>
                    <w:rPr>
                      <w:color w:val="auto"/>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4042" w:type="dxa"/>
                  <w:gridSpan w:val="2"/>
                  <w:vAlign w:val="center"/>
                </w:tcPr>
                <w:p>
                  <w:pPr>
                    <w:tabs>
                      <w:tab w:val="left" w:pos="2861"/>
                    </w:tabs>
                    <w:adjustRightInd w:val="0"/>
                    <w:snapToGrid w:val="0"/>
                    <w:jc w:val="center"/>
                    <w:rPr>
                      <w:color w:val="auto"/>
                    </w:rPr>
                  </w:pPr>
                  <w:r>
                    <w:rPr>
                      <w:color w:val="auto"/>
                    </w:rPr>
                    <w:t>处理后去向</w:t>
                  </w:r>
                </w:p>
              </w:tc>
              <w:tc>
                <w:tcPr>
                  <w:tcW w:w="4814" w:type="dxa"/>
                  <w:gridSpan w:val="5"/>
                  <w:vAlign w:val="center"/>
                </w:tcPr>
                <w:p>
                  <w:pPr>
                    <w:tabs>
                      <w:tab w:val="left" w:pos="2861"/>
                    </w:tabs>
                    <w:adjustRightInd w:val="0"/>
                    <w:snapToGrid w:val="0"/>
                    <w:jc w:val="center"/>
                    <w:rPr>
                      <w:color w:val="auto"/>
                    </w:rPr>
                  </w:pPr>
                  <w:r>
                    <w:rPr>
                      <w:color w:val="auto"/>
                    </w:rPr>
                    <w:t>生活污水依托乐山铁匠世家手工刀具有限公司化粪池（10m</w:t>
                  </w:r>
                  <w:r>
                    <w:rPr>
                      <w:color w:val="auto"/>
                      <w:vertAlign w:val="superscript"/>
                    </w:rPr>
                    <w:t>3</w:t>
                  </w:r>
                  <w:r>
                    <w:rPr>
                      <w:color w:val="auto"/>
                    </w:rPr>
                    <w:t>）处理后用于农田施肥</w:t>
                  </w:r>
                </w:p>
              </w:tc>
            </w:tr>
          </w:tbl>
          <w:p>
            <w:pPr>
              <w:adjustRightInd w:val="0"/>
              <w:snapToGrid w:val="0"/>
              <w:spacing w:line="360" w:lineRule="auto"/>
              <w:ind w:firstLine="480" w:firstLineChars="200"/>
              <w:jc w:val="left"/>
              <w:rPr>
                <w:color w:val="auto"/>
                <w:sz w:val="24"/>
              </w:rPr>
            </w:pPr>
            <w:r>
              <w:rPr>
                <w:color w:val="auto"/>
                <w:sz w:val="24"/>
              </w:rPr>
              <w:t>治理措施：生活污水依托乐山铁匠世家手工刀具有限公司化粪池（10m</w:t>
            </w:r>
            <w:r>
              <w:rPr>
                <w:color w:val="auto"/>
                <w:sz w:val="24"/>
                <w:vertAlign w:val="superscript"/>
              </w:rPr>
              <w:t>3</w:t>
            </w:r>
            <w:r>
              <w:rPr>
                <w:color w:val="auto"/>
                <w:sz w:val="24"/>
              </w:rPr>
              <w:t>）处理后用于农田施肥。</w:t>
            </w:r>
          </w:p>
          <w:p>
            <w:pPr>
              <w:pStyle w:val="102"/>
              <w:snapToGrid w:val="0"/>
              <w:spacing w:line="360" w:lineRule="auto"/>
              <w:ind w:left="0" w:right="0"/>
              <w:rPr>
                <w:color w:val="auto"/>
                <w:szCs w:val="24"/>
              </w:rPr>
            </w:pPr>
            <w:r>
              <w:rPr>
                <w:color w:val="auto"/>
                <w:szCs w:val="24"/>
              </w:rPr>
              <w:t>本项目施工废水主要为车辆冲洗、施工机械冲洗、地面冲洗废水，产生量约为1m</w:t>
            </w:r>
            <w:r>
              <w:rPr>
                <w:color w:val="auto"/>
                <w:szCs w:val="24"/>
                <w:vertAlign w:val="superscript"/>
              </w:rPr>
              <w:t>3</w:t>
            </w:r>
            <w:r>
              <w:rPr>
                <w:color w:val="auto"/>
                <w:szCs w:val="24"/>
              </w:rPr>
              <w:t>/d，其主要污染物为SS。环评要求施工期设置简易沉淀池，施工废水经简易沉淀池处理后，全部回用洒水降尘，不外排。</w:t>
            </w:r>
          </w:p>
          <w:p>
            <w:pPr>
              <w:adjustRightInd w:val="0"/>
              <w:snapToGrid w:val="0"/>
              <w:spacing w:line="360" w:lineRule="auto"/>
              <w:ind w:firstLine="480" w:firstLineChars="200"/>
              <w:rPr>
                <w:color w:val="auto"/>
                <w:sz w:val="24"/>
              </w:rPr>
            </w:pPr>
            <w:r>
              <w:rPr>
                <w:color w:val="auto"/>
                <w:sz w:val="24"/>
              </w:rPr>
              <w:t>（2）施工期废气产生及治理措施</w:t>
            </w:r>
          </w:p>
          <w:p>
            <w:pPr>
              <w:adjustRightInd w:val="0"/>
              <w:snapToGrid w:val="0"/>
              <w:spacing w:line="360" w:lineRule="auto"/>
              <w:ind w:firstLine="480" w:firstLineChars="200"/>
              <w:rPr>
                <w:color w:val="auto"/>
                <w:sz w:val="24"/>
              </w:rPr>
            </w:pPr>
            <w:r>
              <w:rPr>
                <w:color w:val="auto"/>
                <w:sz w:val="24"/>
              </w:rPr>
              <w:t>本项目施工期产生的废气为施工扬尘和机械废气。</w:t>
            </w:r>
          </w:p>
          <w:p>
            <w:pPr>
              <w:adjustRightInd w:val="0"/>
              <w:snapToGrid w:val="0"/>
              <w:spacing w:line="360" w:lineRule="auto"/>
              <w:ind w:firstLine="470" w:firstLineChars="196"/>
              <w:rPr>
                <w:color w:val="auto"/>
                <w:sz w:val="24"/>
              </w:rPr>
            </w:pPr>
            <w:r>
              <w:rPr>
                <w:color w:val="auto"/>
                <w:sz w:val="24"/>
              </w:rPr>
              <w:t>1）施工扬尘产生及治理措施</w:t>
            </w:r>
          </w:p>
          <w:p>
            <w:pPr>
              <w:adjustRightInd w:val="0"/>
              <w:snapToGrid w:val="0"/>
              <w:spacing w:line="360" w:lineRule="auto"/>
              <w:ind w:firstLine="480" w:firstLineChars="200"/>
              <w:rPr>
                <w:bCs/>
                <w:color w:val="auto"/>
                <w:sz w:val="24"/>
              </w:rPr>
            </w:pPr>
            <w:r>
              <w:rPr>
                <w:bCs/>
                <w:color w:val="auto"/>
                <w:sz w:val="24"/>
              </w:rPr>
              <w:t>施工扬尘主要来自土方的挖掘扬尘及现场堆放扬尘；建筑材料（水泥、沙子、石子、砖等）的现场搬运及堆放扬尘；施工垃圾的清理及堆放扬尘；人来车往造成的现场道路扬尘。</w:t>
            </w:r>
          </w:p>
          <w:p>
            <w:pPr>
              <w:adjustRightInd w:val="0"/>
              <w:snapToGrid w:val="0"/>
              <w:spacing w:line="360" w:lineRule="auto"/>
              <w:ind w:firstLine="480" w:firstLineChars="200"/>
              <w:rPr>
                <w:bCs/>
                <w:color w:val="auto"/>
                <w:sz w:val="24"/>
              </w:rPr>
            </w:pPr>
            <w:r>
              <w:rPr>
                <w:bCs/>
                <w:color w:val="auto"/>
                <w:sz w:val="24"/>
              </w:rPr>
              <w:t>根据《四川省建筑工程扬尘污染防治技术导则（试行）》的通知，川建发〔2018〕16号，《住房和城乡建设部办公厅关于进一步加强施工工地和道路扬尘管控工作的通知》（建办质〔2019〕23号）、《四川省人民政府关于印发四川省打赢蓝天保卫战等九个实施方案的通知》（川府发〔2019〕4号），施工期采取以下扬尘防治措施：</w:t>
            </w:r>
          </w:p>
          <w:p>
            <w:pPr>
              <w:widowControl/>
              <w:adjustRightInd w:val="0"/>
              <w:snapToGrid w:val="0"/>
              <w:spacing w:line="360" w:lineRule="auto"/>
              <w:ind w:firstLine="480" w:firstLineChars="200"/>
              <w:jc w:val="left"/>
              <w:rPr>
                <w:color w:val="auto"/>
                <w:sz w:val="24"/>
              </w:rPr>
            </w:pPr>
            <w:r>
              <w:rPr>
                <w:color w:val="auto"/>
                <w:sz w:val="24"/>
              </w:rPr>
              <w:t>①工程建设单位根据施工工序编制施工期内扬尘污染防治任务书，实施扬尘防治全过程管理，责任到每个施工工序。</w:t>
            </w:r>
          </w:p>
          <w:p>
            <w:pPr>
              <w:widowControl/>
              <w:adjustRightInd w:val="0"/>
              <w:snapToGrid w:val="0"/>
              <w:spacing w:line="360" w:lineRule="auto"/>
              <w:ind w:firstLine="480" w:firstLineChars="200"/>
              <w:jc w:val="left"/>
              <w:rPr>
                <w:color w:val="auto"/>
                <w:sz w:val="24"/>
              </w:rPr>
            </w:pPr>
            <w:r>
              <w:rPr>
                <w:color w:val="auto"/>
                <w:sz w:val="24"/>
              </w:rPr>
              <w:t>②施工单位根据《建设工程施工现场管理规定》的规定设置现场平面布置图、工程概况牌、安全生产牌、消防保卫牌、文明施工牌、环境保护牌、管理人员名单及监督电话牌等。</w:t>
            </w:r>
          </w:p>
          <w:p>
            <w:pPr>
              <w:widowControl/>
              <w:adjustRightInd w:val="0"/>
              <w:snapToGrid w:val="0"/>
              <w:spacing w:line="360" w:lineRule="auto"/>
              <w:ind w:firstLine="480" w:firstLineChars="200"/>
              <w:jc w:val="left"/>
              <w:rPr>
                <w:color w:val="auto"/>
                <w:sz w:val="24"/>
              </w:rPr>
            </w:pPr>
            <w:r>
              <w:rPr>
                <w:color w:val="auto"/>
                <w:sz w:val="24"/>
              </w:rPr>
              <w:t>③根据《打赢蓝天保卫战三年行动计划的通知》（国发〔2018</w:t>
            </w:r>
            <w:r>
              <w:rPr>
                <w:bCs/>
                <w:color w:val="auto"/>
                <w:sz w:val="24"/>
              </w:rPr>
              <w:t>〕</w:t>
            </w:r>
            <w:r>
              <w:rPr>
                <w:color w:val="auto"/>
                <w:sz w:val="24"/>
              </w:rPr>
              <w:t>22号），施工工地做到工地周边围挡、物料堆放覆盖、土方开挖湿法作业、路面硬化、出入车辆清洗、渣土车辆密闭运输“六个百分之百”。</w:t>
            </w:r>
          </w:p>
          <w:p>
            <w:pPr>
              <w:widowControl/>
              <w:adjustRightInd w:val="0"/>
              <w:snapToGrid w:val="0"/>
              <w:spacing w:line="360" w:lineRule="auto"/>
              <w:ind w:firstLine="480" w:firstLineChars="200"/>
              <w:jc w:val="left"/>
              <w:rPr>
                <w:color w:val="auto"/>
                <w:sz w:val="24"/>
              </w:rPr>
            </w:pPr>
            <w:r>
              <w:rPr>
                <w:color w:val="auto"/>
                <w:sz w:val="24"/>
              </w:rPr>
              <w:t>④施工现场架设1.8m</w:t>
            </w:r>
            <w:r>
              <w:rPr>
                <w:bCs/>
                <w:color w:val="auto"/>
                <w:sz w:val="24"/>
              </w:rPr>
              <w:t>围挡</w:t>
            </w:r>
            <w:r>
              <w:rPr>
                <w:color w:val="auto"/>
                <w:sz w:val="24"/>
              </w:rPr>
              <w:t>，封闭施工现场，采用密目安全网，减少了建筑结构和装修过程中的粉尘飞扬现象，降低了粉尘向大气中的排放。</w:t>
            </w:r>
          </w:p>
          <w:p>
            <w:pPr>
              <w:widowControl/>
              <w:adjustRightInd w:val="0"/>
              <w:snapToGrid w:val="0"/>
              <w:spacing w:line="360" w:lineRule="auto"/>
              <w:ind w:firstLine="480" w:firstLineChars="200"/>
              <w:jc w:val="left"/>
              <w:rPr>
                <w:color w:val="auto"/>
                <w:sz w:val="24"/>
              </w:rPr>
            </w:pPr>
            <w:r>
              <w:rPr>
                <w:color w:val="auto"/>
                <w:sz w:val="24"/>
              </w:rPr>
              <w:t>⑤施工单位按要求文明施工，定期对地面及施工道路洒水，每天定时洒水达到有效防尘。</w:t>
            </w:r>
          </w:p>
          <w:p>
            <w:pPr>
              <w:widowControl/>
              <w:adjustRightInd w:val="0"/>
              <w:snapToGrid w:val="0"/>
              <w:spacing w:line="360" w:lineRule="auto"/>
              <w:ind w:firstLine="480" w:firstLineChars="200"/>
              <w:jc w:val="left"/>
              <w:rPr>
                <w:bCs/>
                <w:color w:val="auto"/>
                <w:sz w:val="24"/>
              </w:rPr>
            </w:pPr>
            <w:r>
              <w:rPr>
                <w:color w:val="auto"/>
                <w:sz w:val="24"/>
              </w:rPr>
              <w:t>⑥施工运输车辆</w:t>
            </w:r>
            <w:r>
              <w:rPr>
                <w:bCs/>
                <w:color w:val="auto"/>
                <w:sz w:val="24"/>
              </w:rPr>
              <w:t>采取覆盖措施，严禁超载，严禁装载冒出车辆栏板，防止道路遗撒。</w:t>
            </w:r>
          </w:p>
          <w:p>
            <w:pPr>
              <w:widowControl/>
              <w:adjustRightInd w:val="0"/>
              <w:snapToGrid w:val="0"/>
              <w:spacing w:line="360" w:lineRule="auto"/>
              <w:ind w:firstLine="480" w:firstLineChars="200"/>
              <w:jc w:val="left"/>
              <w:rPr>
                <w:color w:val="auto"/>
                <w:sz w:val="24"/>
              </w:rPr>
            </w:pPr>
            <w:r>
              <w:rPr>
                <w:bCs/>
                <w:color w:val="auto"/>
                <w:sz w:val="24"/>
              </w:rPr>
              <w:t>⑦施工期运输车辆限速</w:t>
            </w:r>
            <w:r>
              <w:rPr>
                <w:color w:val="auto"/>
                <w:sz w:val="24"/>
              </w:rPr>
              <w:t>行驶，将扬尘控制在可接受水平。</w:t>
            </w:r>
          </w:p>
          <w:p>
            <w:pPr>
              <w:widowControl/>
              <w:adjustRightInd w:val="0"/>
              <w:snapToGrid w:val="0"/>
              <w:spacing w:line="360" w:lineRule="auto"/>
              <w:ind w:firstLine="480" w:firstLineChars="200"/>
              <w:jc w:val="left"/>
              <w:rPr>
                <w:color w:val="auto"/>
                <w:sz w:val="24"/>
              </w:rPr>
            </w:pPr>
            <w:r>
              <w:rPr>
                <w:color w:val="auto"/>
                <w:sz w:val="24"/>
              </w:rPr>
              <w:t>⑧施工场地出口设置车辆冲洗系统设施，保证运输车辆出场整洁。</w:t>
            </w:r>
          </w:p>
          <w:p>
            <w:pPr>
              <w:widowControl/>
              <w:adjustRightInd w:val="0"/>
              <w:snapToGrid w:val="0"/>
              <w:spacing w:line="360" w:lineRule="auto"/>
              <w:ind w:firstLine="480" w:firstLineChars="200"/>
              <w:jc w:val="left"/>
              <w:rPr>
                <w:color w:val="auto"/>
                <w:sz w:val="24"/>
              </w:rPr>
            </w:pPr>
            <w:r>
              <w:rPr>
                <w:color w:val="auto"/>
                <w:sz w:val="24"/>
              </w:rPr>
              <w:t>⑨建材堆放地点集中设置，采取毡布覆盖，</w:t>
            </w:r>
            <w:r>
              <w:rPr>
                <w:rFonts w:hint="eastAsia"/>
                <w:color w:val="auto"/>
                <w:sz w:val="24"/>
              </w:rPr>
              <w:t>禁止</w:t>
            </w:r>
            <w:r>
              <w:rPr>
                <w:color w:val="auto"/>
                <w:sz w:val="24"/>
              </w:rPr>
              <w:t>材料露天堆放。</w:t>
            </w:r>
          </w:p>
          <w:p>
            <w:pPr>
              <w:widowControl/>
              <w:adjustRightInd w:val="0"/>
              <w:snapToGrid w:val="0"/>
              <w:spacing w:line="360" w:lineRule="auto"/>
              <w:ind w:firstLine="480" w:firstLineChars="200"/>
              <w:jc w:val="left"/>
              <w:rPr>
                <w:color w:val="auto"/>
                <w:sz w:val="24"/>
              </w:rPr>
            </w:pPr>
            <w:r>
              <w:rPr>
                <w:color w:val="auto"/>
                <w:sz w:val="24"/>
              </w:rPr>
              <w:t>⑩在大风天停止施工，土石方堆场采用塑料篷布遮盖，覆盖率达100%。</w:t>
            </w:r>
          </w:p>
          <w:p>
            <w:pPr>
              <w:adjustRightInd w:val="0"/>
              <w:snapToGrid w:val="0"/>
              <w:spacing w:line="360" w:lineRule="auto"/>
              <w:ind w:firstLine="470" w:firstLineChars="196"/>
              <w:rPr>
                <w:color w:val="auto"/>
                <w:sz w:val="24"/>
              </w:rPr>
            </w:pPr>
            <w:r>
              <w:rPr>
                <w:color w:val="auto"/>
                <w:sz w:val="24"/>
              </w:rPr>
              <w:t>2）施工机械废气及治理</w:t>
            </w:r>
          </w:p>
          <w:p>
            <w:pPr>
              <w:adjustRightInd w:val="0"/>
              <w:snapToGrid w:val="0"/>
              <w:spacing w:line="360" w:lineRule="auto"/>
              <w:ind w:firstLine="470" w:firstLineChars="196"/>
              <w:rPr>
                <w:color w:val="auto"/>
                <w:sz w:val="24"/>
              </w:rPr>
            </w:pPr>
            <w:r>
              <w:rPr>
                <w:color w:val="auto"/>
                <w:sz w:val="24"/>
              </w:rPr>
              <w:t>施工期间，使用机动车运送原材料、设备和建筑机械设备的运转，均会排放一定量的CO、NO</w:t>
            </w:r>
            <w:r>
              <w:rPr>
                <w:color w:val="auto"/>
                <w:sz w:val="24"/>
                <w:vertAlign w:val="subscript"/>
              </w:rPr>
              <w:t>x</w:t>
            </w:r>
            <w:r>
              <w:rPr>
                <w:color w:val="auto"/>
                <w:sz w:val="24"/>
              </w:rPr>
              <w:t>以及未完全燃烧的THC等，其特点是排放量小，且属间断性无组织排放，由于其这一特点，加之施工场地开阔，扩散条件良好，因此对其不加处理也可达到相应的排放标准。在施工期内应多加注意施工设备的维护，使其能够正常的运行，提高设备原料的利用率。</w:t>
            </w:r>
          </w:p>
          <w:p>
            <w:pPr>
              <w:numPr>
                <w:ilvl w:val="0"/>
                <w:numId w:val="15"/>
              </w:numPr>
              <w:adjustRightInd w:val="0"/>
              <w:snapToGrid w:val="0"/>
              <w:spacing w:line="360" w:lineRule="auto"/>
              <w:ind w:firstLine="470" w:firstLineChars="196"/>
              <w:rPr>
                <w:color w:val="auto"/>
                <w:sz w:val="24"/>
              </w:rPr>
            </w:pPr>
            <w:r>
              <w:rPr>
                <w:color w:val="auto"/>
                <w:sz w:val="24"/>
              </w:rPr>
              <w:t>汽车尾气及治理</w:t>
            </w:r>
          </w:p>
          <w:p>
            <w:pPr>
              <w:adjustRightInd w:val="0"/>
              <w:snapToGrid w:val="0"/>
              <w:spacing w:line="360" w:lineRule="auto"/>
              <w:ind w:firstLine="480" w:firstLineChars="200"/>
              <w:rPr>
                <w:color w:val="auto"/>
                <w:sz w:val="24"/>
              </w:rPr>
            </w:pPr>
            <w:r>
              <w:rPr>
                <w:color w:val="auto"/>
                <w:sz w:val="24"/>
              </w:rPr>
              <w:t>施工期间，有运输车辆尾气排放，其特点是排放量小，属于间断性排放，项目施工场地扩散条件良好，这些废气可得到有效地稀释扩散，能够达标排放。本环评要求建设方对运输车辆加强保养，选取优质燃料，禁止运输车辆超载行驶；并做好施工现场的交通组织，避免因施工造成的交通阻塞，减少运输车辆怠速产生的废气排放，进一步降低其对外界环境的影响。</w:t>
            </w:r>
          </w:p>
          <w:p>
            <w:pPr>
              <w:adjustRightInd w:val="0"/>
              <w:snapToGrid w:val="0"/>
              <w:spacing w:line="360" w:lineRule="auto"/>
              <w:ind w:firstLine="470" w:firstLineChars="196"/>
              <w:rPr>
                <w:color w:val="auto"/>
                <w:sz w:val="24"/>
              </w:rPr>
            </w:pPr>
            <w:r>
              <w:rPr>
                <w:color w:val="auto"/>
                <w:sz w:val="24"/>
              </w:rPr>
              <w:t>在采取以上大气污染物防治措施后，加上项目所在场地扩散条件较好，因此本项目施工阶段产生的废气可达标排放。</w:t>
            </w:r>
          </w:p>
          <w:p>
            <w:pPr>
              <w:adjustRightInd w:val="0"/>
              <w:snapToGrid w:val="0"/>
              <w:spacing w:line="360" w:lineRule="auto"/>
              <w:ind w:firstLine="480" w:firstLineChars="200"/>
              <w:rPr>
                <w:color w:val="auto"/>
                <w:sz w:val="24"/>
              </w:rPr>
            </w:pPr>
            <w:r>
              <w:rPr>
                <w:color w:val="auto"/>
                <w:sz w:val="24"/>
              </w:rPr>
              <w:t>（3）噪声产生及治理措施</w:t>
            </w:r>
          </w:p>
          <w:p>
            <w:pPr>
              <w:adjustRightInd w:val="0"/>
              <w:snapToGrid w:val="0"/>
              <w:spacing w:line="360" w:lineRule="auto"/>
              <w:ind w:firstLine="480" w:firstLineChars="200"/>
              <w:rPr>
                <w:color w:val="auto"/>
                <w:sz w:val="24"/>
              </w:rPr>
            </w:pPr>
            <w:r>
              <w:rPr>
                <w:color w:val="auto"/>
                <w:sz w:val="24"/>
              </w:rPr>
              <w:t>1）产生情况</w:t>
            </w:r>
          </w:p>
          <w:p>
            <w:pPr>
              <w:adjustRightInd w:val="0"/>
              <w:snapToGrid w:val="0"/>
              <w:spacing w:line="360" w:lineRule="auto"/>
              <w:ind w:firstLine="480" w:firstLineChars="200"/>
              <w:rPr>
                <w:color w:val="auto"/>
                <w:sz w:val="24"/>
              </w:rPr>
            </w:pPr>
            <w:r>
              <w:rPr>
                <w:color w:val="auto"/>
                <w:sz w:val="24"/>
              </w:rPr>
              <w:t>施工用机械设备有：推土机、挖掘机、装载机、搅拌机、运输车辆等，均系强噪声源，在施工过程，这些设备产生的噪声可能对作业人员和厂址周围环境敏感点造成一定的影响。主要施工机械噪声源强见表4-3。</w:t>
            </w:r>
          </w:p>
          <w:p>
            <w:pPr>
              <w:adjustRightInd w:val="0"/>
              <w:snapToGrid w:val="0"/>
              <w:spacing w:line="360" w:lineRule="auto"/>
              <w:jc w:val="center"/>
              <w:rPr>
                <w:rFonts w:hint="default" w:eastAsia="宋体"/>
                <w:b/>
                <w:bCs/>
                <w:color w:val="auto"/>
                <w:szCs w:val="21"/>
                <w:lang w:val="en-US" w:eastAsia="zh-CN"/>
              </w:rPr>
            </w:pPr>
            <w:bookmarkStart w:id="14" w:name="_Ref442225475"/>
            <w:r>
              <w:rPr>
                <w:b/>
                <w:bCs/>
                <w:color w:val="auto"/>
                <w:szCs w:val="21"/>
              </w:rPr>
              <w:t>表</w:t>
            </w:r>
            <w:bookmarkEnd w:id="14"/>
            <w:r>
              <w:rPr>
                <w:b/>
                <w:bCs/>
                <w:color w:val="auto"/>
                <w:szCs w:val="21"/>
              </w:rPr>
              <w:t>4-3  主要施工期机械噪声源强</w:t>
            </w:r>
            <w:r>
              <w:rPr>
                <w:rFonts w:hint="eastAsia"/>
                <w:color w:val="auto"/>
                <w:lang w:val="en-US" w:eastAsia="zh-CN"/>
              </w:rPr>
              <w:t xml:space="preserve">  </w:t>
            </w:r>
            <w:r>
              <w:rPr>
                <w:b/>
                <w:bCs/>
                <w:color w:val="auto"/>
                <w:szCs w:val="21"/>
              </w:rPr>
              <w:t>dB（A）</w:t>
            </w:r>
          </w:p>
          <w:tbl>
            <w:tblPr>
              <w:tblStyle w:val="41"/>
              <w:tblW w:w="88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5"/>
              <w:gridCol w:w="1339"/>
              <w:gridCol w:w="1338"/>
              <w:gridCol w:w="1338"/>
              <w:gridCol w:w="1339"/>
              <w:gridCol w:w="13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2125" w:type="dxa"/>
                  <w:vAlign w:val="center"/>
                </w:tcPr>
                <w:p>
                  <w:pPr>
                    <w:autoSpaceDE w:val="0"/>
                    <w:autoSpaceDN w:val="0"/>
                    <w:adjustRightInd w:val="0"/>
                    <w:snapToGrid w:val="0"/>
                    <w:jc w:val="center"/>
                    <w:rPr>
                      <w:b/>
                      <w:bCs/>
                      <w:color w:val="auto"/>
                    </w:rPr>
                  </w:pPr>
                  <w:r>
                    <w:rPr>
                      <w:b/>
                      <w:bCs/>
                      <w:color w:val="auto"/>
                    </w:rPr>
                    <w:t>序号</w:t>
                  </w:r>
                </w:p>
              </w:tc>
              <w:tc>
                <w:tcPr>
                  <w:tcW w:w="1339" w:type="dxa"/>
                  <w:vAlign w:val="center"/>
                </w:tcPr>
                <w:p>
                  <w:pPr>
                    <w:autoSpaceDE w:val="0"/>
                    <w:autoSpaceDN w:val="0"/>
                    <w:adjustRightInd w:val="0"/>
                    <w:snapToGrid w:val="0"/>
                    <w:jc w:val="center"/>
                    <w:rPr>
                      <w:b/>
                      <w:bCs/>
                      <w:color w:val="auto"/>
                    </w:rPr>
                  </w:pPr>
                  <w:r>
                    <w:rPr>
                      <w:b/>
                      <w:bCs/>
                      <w:color w:val="auto"/>
                    </w:rPr>
                    <w:t>机械</w:t>
                  </w:r>
                </w:p>
              </w:tc>
              <w:tc>
                <w:tcPr>
                  <w:tcW w:w="1338" w:type="dxa"/>
                  <w:vAlign w:val="center"/>
                </w:tcPr>
                <w:p>
                  <w:pPr>
                    <w:autoSpaceDE w:val="0"/>
                    <w:autoSpaceDN w:val="0"/>
                    <w:adjustRightInd w:val="0"/>
                    <w:snapToGrid w:val="0"/>
                    <w:jc w:val="center"/>
                    <w:rPr>
                      <w:b/>
                      <w:bCs/>
                      <w:color w:val="auto"/>
                    </w:rPr>
                  </w:pPr>
                  <w:r>
                    <w:rPr>
                      <w:b/>
                      <w:bCs/>
                      <w:color w:val="auto"/>
                    </w:rPr>
                    <w:t>等效声级</w:t>
                  </w:r>
                </w:p>
              </w:tc>
              <w:tc>
                <w:tcPr>
                  <w:tcW w:w="1338" w:type="dxa"/>
                  <w:vAlign w:val="center"/>
                </w:tcPr>
                <w:p>
                  <w:pPr>
                    <w:autoSpaceDE w:val="0"/>
                    <w:autoSpaceDN w:val="0"/>
                    <w:adjustRightInd w:val="0"/>
                    <w:snapToGrid w:val="0"/>
                    <w:jc w:val="center"/>
                    <w:rPr>
                      <w:b/>
                      <w:bCs/>
                      <w:color w:val="auto"/>
                    </w:rPr>
                  </w:pPr>
                  <w:r>
                    <w:rPr>
                      <w:b/>
                      <w:bCs/>
                      <w:color w:val="auto"/>
                    </w:rPr>
                    <w:t>序号</w:t>
                  </w:r>
                </w:p>
              </w:tc>
              <w:tc>
                <w:tcPr>
                  <w:tcW w:w="1339" w:type="dxa"/>
                  <w:vAlign w:val="center"/>
                </w:tcPr>
                <w:p>
                  <w:pPr>
                    <w:autoSpaceDE w:val="0"/>
                    <w:autoSpaceDN w:val="0"/>
                    <w:adjustRightInd w:val="0"/>
                    <w:snapToGrid w:val="0"/>
                    <w:jc w:val="center"/>
                    <w:rPr>
                      <w:b/>
                      <w:bCs/>
                      <w:color w:val="auto"/>
                    </w:rPr>
                  </w:pPr>
                  <w:r>
                    <w:rPr>
                      <w:b/>
                      <w:bCs/>
                      <w:color w:val="auto"/>
                    </w:rPr>
                    <w:t>机械</w:t>
                  </w:r>
                </w:p>
              </w:tc>
              <w:tc>
                <w:tcPr>
                  <w:tcW w:w="1340" w:type="dxa"/>
                  <w:vAlign w:val="center"/>
                </w:tcPr>
                <w:p>
                  <w:pPr>
                    <w:autoSpaceDE w:val="0"/>
                    <w:autoSpaceDN w:val="0"/>
                    <w:adjustRightInd w:val="0"/>
                    <w:snapToGrid w:val="0"/>
                    <w:jc w:val="center"/>
                    <w:rPr>
                      <w:b/>
                      <w:bCs/>
                      <w:color w:val="auto"/>
                    </w:rPr>
                  </w:pPr>
                  <w:r>
                    <w:rPr>
                      <w:b/>
                      <w:bCs/>
                      <w:color w:val="auto"/>
                    </w:rPr>
                    <w:t>等效声级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2125" w:type="dxa"/>
                  <w:vAlign w:val="center"/>
                </w:tcPr>
                <w:p>
                  <w:pPr>
                    <w:autoSpaceDE w:val="0"/>
                    <w:autoSpaceDN w:val="0"/>
                    <w:adjustRightInd w:val="0"/>
                    <w:snapToGrid w:val="0"/>
                    <w:jc w:val="center"/>
                    <w:rPr>
                      <w:color w:val="auto"/>
                    </w:rPr>
                  </w:pPr>
                  <w:r>
                    <w:rPr>
                      <w:color w:val="auto"/>
                    </w:rPr>
                    <w:t>1</w:t>
                  </w:r>
                </w:p>
              </w:tc>
              <w:tc>
                <w:tcPr>
                  <w:tcW w:w="1339" w:type="dxa"/>
                  <w:vAlign w:val="center"/>
                </w:tcPr>
                <w:p>
                  <w:pPr>
                    <w:autoSpaceDE w:val="0"/>
                    <w:autoSpaceDN w:val="0"/>
                    <w:adjustRightInd w:val="0"/>
                    <w:snapToGrid w:val="0"/>
                    <w:jc w:val="center"/>
                    <w:rPr>
                      <w:color w:val="auto"/>
                    </w:rPr>
                  </w:pPr>
                  <w:r>
                    <w:rPr>
                      <w:color w:val="auto"/>
                    </w:rPr>
                    <w:t>推土机</w:t>
                  </w:r>
                </w:p>
              </w:tc>
              <w:tc>
                <w:tcPr>
                  <w:tcW w:w="1338" w:type="dxa"/>
                  <w:vAlign w:val="center"/>
                </w:tcPr>
                <w:p>
                  <w:pPr>
                    <w:autoSpaceDE w:val="0"/>
                    <w:autoSpaceDN w:val="0"/>
                    <w:adjustRightInd w:val="0"/>
                    <w:snapToGrid w:val="0"/>
                    <w:jc w:val="center"/>
                    <w:rPr>
                      <w:color w:val="auto"/>
                    </w:rPr>
                  </w:pPr>
                  <w:r>
                    <w:rPr>
                      <w:color w:val="auto"/>
                    </w:rPr>
                    <w:t>86</w:t>
                  </w:r>
                </w:p>
              </w:tc>
              <w:tc>
                <w:tcPr>
                  <w:tcW w:w="1338" w:type="dxa"/>
                  <w:vAlign w:val="center"/>
                </w:tcPr>
                <w:p>
                  <w:pPr>
                    <w:autoSpaceDE w:val="0"/>
                    <w:autoSpaceDN w:val="0"/>
                    <w:adjustRightInd w:val="0"/>
                    <w:snapToGrid w:val="0"/>
                    <w:jc w:val="center"/>
                    <w:rPr>
                      <w:color w:val="auto"/>
                    </w:rPr>
                  </w:pPr>
                  <w:r>
                    <w:rPr>
                      <w:color w:val="auto"/>
                    </w:rPr>
                    <w:t>5</w:t>
                  </w:r>
                </w:p>
              </w:tc>
              <w:tc>
                <w:tcPr>
                  <w:tcW w:w="1339" w:type="dxa"/>
                  <w:vAlign w:val="center"/>
                </w:tcPr>
                <w:p>
                  <w:pPr>
                    <w:autoSpaceDE w:val="0"/>
                    <w:autoSpaceDN w:val="0"/>
                    <w:adjustRightInd w:val="0"/>
                    <w:snapToGrid w:val="0"/>
                    <w:jc w:val="center"/>
                    <w:rPr>
                      <w:color w:val="auto"/>
                    </w:rPr>
                  </w:pPr>
                  <w:r>
                    <w:rPr>
                      <w:color w:val="auto"/>
                    </w:rPr>
                    <w:t>振捣机</w:t>
                  </w:r>
                </w:p>
              </w:tc>
              <w:tc>
                <w:tcPr>
                  <w:tcW w:w="1340" w:type="dxa"/>
                  <w:vAlign w:val="center"/>
                </w:tcPr>
                <w:p>
                  <w:pPr>
                    <w:autoSpaceDE w:val="0"/>
                    <w:autoSpaceDN w:val="0"/>
                    <w:adjustRightInd w:val="0"/>
                    <w:snapToGrid w:val="0"/>
                    <w:jc w:val="center"/>
                    <w:rPr>
                      <w:color w:val="auto"/>
                    </w:rPr>
                  </w:pPr>
                  <w:r>
                    <w:rPr>
                      <w:color w:val="auto"/>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2125" w:type="dxa"/>
                  <w:vAlign w:val="center"/>
                </w:tcPr>
                <w:p>
                  <w:pPr>
                    <w:autoSpaceDE w:val="0"/>
                    <w:autoSpaceDN w:val="0"/>
                    <w:adjustRightInd w:val="0"/>
                    <w:snapToGrid w:val="0"/>
                    <w:jc w:val="center"/>
                    <w:rPr>
                      <w:color w:val="auto"/>
                    </w:rPr>
                  </w:pPr>
                  <w:r>
                    <w:rPr>
                      <w:color w:val="auto"/>
                    </w:rPr>
                    <w:t>2</w:t>
                  </w:r>
                </w:p>
              </w:tc>
              <w:tc>
                <w:tcPr>
                  <w:tcW w:w="1339" w:type="dxa"/>
                  <w:vAlign w:val="center"/>
                </w:tcPr>
                <w:p>
                  <w:pPr>
                    <w:autoSpaceDE w:val="0"/>
                    <w:autoSpaceDN w:val="0"/>
                    <w:adjustRightInd w:val="0"/>
                    <w:snapToGrid w:val="0"/>
                    <w:jc w:val="center"/>
                    <w:rPr>
                      <w:color w:val="auto"/>
                    </w:rPr>
                  </w:pPr>
                  <w:r>
                    <w:rPr>
                      <w:color w:val="auto"/>
                    </w:rPr>
                    <w:t>挖掘机</w:t>
                  </w:r>
                </w:p>
              </w:tc>
              <w:tc>
                <w:tcPr>
                  <w:tcW w:w="1338" w:type="dxa"/>
                  <w:vAlign w:val="center"/>
                </w:tcPr>
                <w:p>
                  <w:pPr>
                    <w:autoSpaceDE w:val="0"/>
                    <w:autoSpaceDN w:val="0"/>
                    <w:adjustRightInd w:val="0"/>
                    <w:snapToGrid w:val="0"/>
                    <w:jc w:val="center"/>
                    <w:rPr>
                      <w:color w:val="auto"/>
                    </w:rPr>
                  </w:pPr>
                  <w:r>
                    <w:rPr>
                      <w:color w:val="auto"/>
                    </w:rPr>
                    <w:t>85</w:t>
                  </w:r>
                </w:p>
              </w:tc>
              <w:tc>
                <w:tcPr>
                  <w:tcW w:w="1338" w:type="dxa"/>
                  <w:vAlign w:val="center"/>
                </w:tcPr>
                <w:p>
                  <w:pPr>
                    <w:autoSpaceDE w:val="0"/>
                    <w:autoSpaceDN w:val="0"/>
                    <w:adjustRightInd w:val="0"/>
                    <w:snapToGrid w:val="0"/>
                    <w:jc w:val="center"/>
                    <w:rPr>
                      <w:color w:val="auto"/>
                    </w:rPr>
                  </w:pPr>
                  <w:r>
                    <w:rPr>
                      <w:color w:val="auto"/>
                    </w:rPr>
                    <w:t>6</w:t>
                  </w:r>
                </w:p>
              </w:tc>
              <w:tc>
                <w:tcPr>
                  <w:tcW w:w="1339" w:type="dxa"/>
                  <w:vAlign w:val="center"/>
                </w:tcPr>
                <w:p>
                  <w:pPr>
                    <w:autoSpaceDE w:val="0"/>
                    <w:autoSpaceDN w:val="0"/>
                    <w:adjustRightInd w:val="0"/>
                    <w:snapToGrid w:val="0"/>
                    <w:jc w:val="center"/>
                    <w:rPr>
                      <w:color w:val="auto"/>
                    </w:rPr>
                  </w:pPr>
                  <w:r>
                    <w:rPr>
                      <w:color w:val="auto"/>
                    </w:rPr>
                    <w:t>切割机</w:t>
                  </w:r>
                </w:p>
              </w:tc>
              <w:tc>
                <w:tcPr>
                  <w:tcW w:w="1340" w:type="dxa"/>
                  <w:vAlign w:val="center"/>
                </w:tcPr>
                <w:p>
                  <w:pPr>
                    <w:autoSpaceDE w:val="0"/>
                    <w:autoSpaceDN w:val="0"/>
                    <w:adjustRightInd w:val="0"/>
                    <w:snapToGrid w:val="0"/>
                    <w:jc w:val="center"/>
                    <w:rPr>
                      <w:color w:val="auto"/>
                    </w:rPr>
                  </w:pPr>
                  <w:r>
                    <w:rPr>
                      <w:color w:val="auto"/>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2125" w:type="dxa"/>
                  <w:vAlign w:val="center"/>
                </w:tcPr>
                <w:p>
                  <w:pPr>
                    <w:autoSpaceDE w:val="0"/>
                    <w:autoSpaceDN w:val="0"/>
                    <w:adjustRightInd w:val="0"/>
                    <w:snapToGrid w:val="0"/>
                    <w:jc w:val="center"/>
                    <w:rPr>
                      <w:color w:val="auto"/>
                    </w:rPr>
                  </w:pPr>
                  <w:r>
                    <w:rPr>
                      <w:color w:val="auto"/>
                    </w:rPr>
                    <w:t>3</w:t>
                  </w:r>
                </w:p>
              </w:tc>
              <w:tc>
                <w:tcPr>
                  <w:tcW w:w="1339" w:type="dxa"/>
                  <w:vAlign w:val="center"/>
                </w:tcPr>
                <w:p>
                  <w:pPr>
                    <w:autoSpaceDE w:val="0"/>
                    <w:autoSpaceDN w:val="0"/>
                    <w:adjustRightInd w:val="0"/>
                    <w:snapToGrid w:val="0"/>
                    <w:jc w:val="center"/>
                    <w:rPr>
                      <w:color w:val="auto"/>
                    </w:rPr>
                  </w:pPr>
                  <w:r>
                    <w:rPr>
                      <w:color w:val="auto"/>
                    </w:rPr>
                    <w:t>装载机</w:t>
                  </w:r>
                </w:p>
              </w:tc>
              <w:tc>
                <w:tcPr>
                  <w:tcW w:w="1338" w:type="dxa"/>
                  <w:vAlign w:val="center"/>
                </w:tcPr>
                <w:p>
                  <w:pPr>
                    <w:autoSpaceDE w:val="0"/>
                    <w:autoSpaceDN w:val="0"/>
                    <w:adjustRightInd w:val="0"/>
                    <w:snapToGrid w:val="0"/>
                    <w:jc w:val="center"/>
                    <w:rPr>
                      <w:color w:val="auto"/>
                    </w:rPr>
                  </w:pPr>
                  <w:r>
                    <w:rPr>
                      <w:color w:val="auto"/>
                    </w:rPr>
                    <w:t>90</w:t>
                  </w:r>
                </w:p>
              </w:tc>
              <w:tc>
                <w:tcPr>
                  <w:tcW w:w="1338" w:type="dxa"/>
                  <w:vAlign w:val="center"/>
                </w:tcPr>
                <w:p>
                  <w:pPr>
                    <w:autoSpaceDE w:val="0"/>
                    <w:autoSpaceDN w:val="0"/>
                    <w:adjustRightInd w:val="0"/>
                    <w:snapToGrid w:val="0"/>
                    <w:jc w:val="center"/>
                    <w:rPr>
                      <w:color w:val="auto"/>
                    </w:rPr>
                  </w:pPr>
                  <w:r>
                    <w:rPr>
                      <w:color w:val="auto"/>
                    </w:rPr>
                    <w:t>7</w:t>
                  </w:r>
                </w:p>
              </w:tc>
              <w:tc>
                <w:tcPr>
                  <w:tcW w:w="1339" w:type="dxa"/>
                  <w:vAlign w:val="center"/>
                </w:tcPr>
                <w:p>
                  <w:pPr>
                    <w:autoSpaceDE w:val="0"/>
                    <w:autoSpaceDN w:val="0"/>
                    <w:adjustRightInd w:val="0"/>
                    <w:snapToGrid w:val="0"/>
                    <w:jc w:val="center"/>
                    <w:rPr>
                      <w:color w:val="auto"/>
                    </w:rPr>
                  </w:pPr>
                  <w:r>
                    <w:rPr>
                      <w:color w:val="auto"/>
                    </w:rPr>
                    <w:t>翻斗车</w:t>
                  </w:r>
                </w:p>
              </w:tc>
              <w:tc>
                <w:tcPr>
                  <w:tcW w:w="1340" w:type="dxa"/>
                  <w:vAlign w:val="center"/>
                </w:tcPr>
                <w:p>
                  <w:pPr>
                    <w:autoSpaceDE w:val="0"/>
                    <w:autoSpaceDN w:val="0"/>
                    <w:adjustRightInd w:val="0"/>
                    <w:snapToGrid w:val="0"/>
                    <w:jc w:val="center"/>
                    <w:rPr>
                      <w:color w:val="auto"/>
                    </w:rPr>
                  </w:pPr>
                  <w:r>
                    <w:rPr>
                      <w:color w:val="auto"/>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2125" w:type="dxa"/>
                  <w:vAlign w:val="center"/>
                </w:tcPr>
                <w:p>
                  <w:pPr>
                    <w:autoSpaceDE w:val="0"/>
                    <w:autoSpaceDN w:val="0"/>
                    <w:adjustRightInd w:val="0"/>
                    <w:snapToGrid w:val="0"/>
                    <w:jc w:val="center"/>
                    <w:rPr>
                      <w:color w:val="auto"/>
                    </w:rPr>
                  </w:pPr>
                  <w:r>
                    <w:rPr>
                      <w:color w:val="auto"/>
                    </w:rPr>
                    <w:t>4</w:t>
                  </w:r>
                </w:p>
              </w:tc>
              <w:tc>
                <w:tcPr>
                  <w:tcW w:w="1339" w:type="dxa"/>
                  <w:vAlign w:val="center"/>
                </w:tcPr>
                <w:p>
                  <w:pPr>
                    <w:autoSpaceDE w:val="0"/>
                    <w:autoSpaceDN w:val="0"/>
                    <w:adjustRightInd w:val="0"/>
                    <w:snapToGrid w:val="0"/>
                    <w:jc w:val="center"/>
                    <w:rPr>
                      <w:color w:val="auto"/>
                    </w:rPr>
                  </w:pPr>
                  <w:r>
                    <w:rPr>
                      <w:color w:val="auto"/>
                    </w:rPr>
                    <w:t>搅拌机</w:t>
                  </w:r>
                </w:p>
              </w:tc>
              <w:tc>
                <w:tcPr>
                  <w:tcW w:w="1338" w:type="dxa"/>
                  <w:vAlign w:val="center"/>
                </w:tcPr>
                <w:p>
                  <w:pPr>
                    <w:autoSpaceDE w:val="0"/>
                    <w:autoSpaceDN w:val="0"/>
                    <w:adjustRightInd w:val="0"/>
                    <w:snapToGrid w:val="0"/>
                    <w:jc w:val="center"/>
                    <w:rPr>
                      <w:color w:val="auto"/>
                    </w:rPr>
                  </w:pPr>
                  <w:r>
                    <w:rPr>
                      <w:color w:val="auto"/>
                    </w:rPr>
                    <w:t>87</w:t>
                  </w:r>
                </w:p>
              </w:tc>
              <w:tc>
                <w:tcPr>
                  <w:tcW w:w="1338" w:type="dxa"/>
                  <w:vAlign w:val="center"/>
                </w:tcPr>
                <w:p>
                  <w:pPr>
                    <w:autoSpaceDE w:val="0"/>
                    <w:autoSpaceDN w:val="0"/>
                    <w:adjustRightInd w:val="0"/>
                    <w:snapToGrid w:val="0"/>
                    <w:jc w:val="center"/>
                    <w:rPr>
                      <w:color w:val="auto"/>
                    </w:rPr>
                  </w:pPr>
                  <w:r>
                    <w:rPr>
                      <w:color w:val="auto"/>
                    </w:rPr>
                    <w:t>8</w:t>
                  </w:r>
                </w:p>
              </w:tc>
              <w:tc>
                <w:tcPr>
                  <w:tcW w:w="1339" w:type="dxa"/>
                  <w:vAlign w:val="center"/>
                </w:tcPr>
                <w:p>
                  <w:pPr>
                    <w:autoSpaceDE w:val="0"/>
                    <w:autoSpaceDN w:val="0"/>
                    <w:adjustRightInd w:val="0"/>
                    <w:snapToGrid w:val="0"/>
                    <w:jc w:val="center"/>
                    <w:rPr>
                      <w:color w:val="auto"/>
                    </w:rPr>
                  </w:pPr>
                  <w:r>
                    <w:rPr>
                      <w:color w:val="auto"/>
                    </w:rPr>
                    <w:t>卡车</w:t>
                  </w:r>
                </w:p>
              </w:tc>
              <w:tc>
                <w:tcPr>
                  <w:tcW w:w="1340" w:type="dxa"/>
                  <w:vAlign w:val="center"/>
                </w:tcPr>
                <w:p>
                  <w:pPr>
                    <w:autoSpaceDE w:val="0"/>
                    <w:autoSpaceDN w:val="0"/>
                    <w:adjustRightInd w:val="0"/>
                    <w:snapToGrid w:val="0"/>
                    <w:jc w:val="center"/>
                    <w:rPr>
                      <w:color w:val="auto"/>
                    </w:rPr>
                  </w:pPr>
                  <w:r>
                    <w:rPr>
                      <w:color w:val="auto"/>
                    </w:rPr>
                    <w:t>80</w:t>
                  </w:r>
                </w:p>
              </w:tc>
            </w:tr>
          </w:tbl>
          <w:p>
            <w:pPr>
              <w:adjustRightInd w:val="0"/>
              <w:snapToGrid w:val="0"/>
              <w:spacing w:line="360" w:lineRule="auto"/>
              <w:ind w:firstLine="480" w:firstLineChars="200"/>
              <w:rPr>
                <w:color w:val="auto"/>
                <w:sz w:val="24"/>
              </w:rPr>
            </w:pPr>
            <w:r>
              <w:rPr>
                <w:color w:val="auto"/>
                <w:sz w:val="24"/>
              </w:rPr>
              <w:t>2）治理措施</w:t>
            </w:r>
          </w:p>
          <w:p>
            <w:pPr>
              <w:adjustRightInd w:val="0"/>
              <w:snapToGrid w:val="0"/>
              <w:spacing w:line="360" w:lineRule="auto"/>
              <w:ind w:firstLine="480" w:firstLineChars="200"/>
              <w:rPr>
                <w:color w:val="auto"/>
                <w:sz w:val="24"/>
              </w:rPr>
            </w:pPr>
            <w:r>
              <w:rPr>
                <w:color w:val="auto"/>
                <w:sz w:val="24"/>
              </w:rPr>
              <w:t>施工的噪声对环境的影响是非连续的，昼间由于环境噪声背景值较大，建筑施工噪声的影响不会太明显；而到了夜间，环境噪声背景值较小施工噪声的影响较明显。</w:t>
            </w:r>
          </w:p>
          <w:p>
            <w:pPr>
              <w:adjustRightInd w:val="0"/>
              <w:snapToGrid w:val="0"/>
              <w:spacing w:line="360" w:lineRule="auto"/>
              <w:ind w:firstLine="480" w:firstLineChars="200"/>
              <w:rPr>
                <w:color w:val="auto"/>
                <w:sz w:val="24"/>
              </w:rPr>
            </w:pPr>
            <w:r>
              <w:rPr>
                <w:color w:val="auto"/>
                <w:sz w:val="24"/>
              </w:rPr>
              <w:t>因此，建设单位及施工单位应遵守有关法规和《建筑施工场界环境噪声排放标准》（GB12523-2011）中的标准与规定，并做到：</w:t>
            </w:r>
          </w:p>
          <w:p>
            <w:pPr>
              <w:adjustRightInd w:val="0"/>
              <w:snapToGrid w:val="0"/>
              <w:spacing w:line="360" w:lineRule="auto"/>
              <w:ind w:firstLine="480" w:firstLineChars="200"/>
              <w:rPr>
                <w:color w:val="auto"/>
                <w:sz w:val="24"/>
              </w:rPr>
            </w:pPr>
            <w:r>
              <w:rPr>
                <w:color w:val="auto"/>
                <w:sz w:val="24"/>
              </w:rPr>
              <w:t>①施工时采用降噪作业方式：施工机械选型时尽量选用可替代的低噪声的设备，对动力机械设备进行定期的维修、养护，避免设备因松动部件的振动或消声器的损坏而增加其工作时的声压级，设备用完后或不用时应立即关闭。</w:t>
            </w:r>
          </w:p>
          <w:p>
            <w:pPr>
              <w:adjustRightInd w:val="0"/>
              <w:snapToGrid w:val="0"/>
              <w:spacing w:line="360" w:lineRule="auto"/>
              <w:ind w:firstLine="480" w:firstLineChars="200"/>
              <w:rPr>
                <w:color w:val="auto"/>
                <w:sz w:val="24"/>
              </w:rPr>
            </w:pPr>
            <w:r>
              <w:rPr>
                <w:color w:val="auto"/>
                <w:sz w:val="24"/>
              </w:rPr>
              <w:t>②合理设计施工总平面图：合理布置产噪区，将</w:t>
            </w:r>
            <w:r>
              <w:rPr>
                <w:rFonts w:hint="eastAsia"/>
                <w:color w:val="auto"/>
                <w:sz w:val="24"/>
              </w:rPr>
              <w:t>高噪设备</w:t>
            </w:r>
            <w:r>
              <w:rPr>
                <w:color w:val="auto"/>
                <w:sz w:val="24"/>
              </w:rPr>
              <w:t>等设置在</w:t>
            </w:r>
            <w:r>
              <w:rPr>
                <w:rFonts w:hint="eastAsia"/>
                <w:color w:val="auto"/>
                <w:sz w:val="24"/>
              </w:rPr>
              <w:t>远离</w:t>
            </w:r>
            <w:r>
              <w:rPr>
                <w:color w:val="auto"/>
                <w:sz w:val="24"/>
              </w:rPr>
              <w:t>居民点一侧，减小对周围敏感点的影响。</w:t>
            </w:r>
          </w:p>
          <w:p>
            <w:pPr>
              <w:adjustRightInd w:val="0"/>
              <w:snapToGrid w:val="0"/>
              <w:spacing w:line="360" w:lineRule="auto"/>
              <w:ind w:firstLine="480" w:firstLineChars="200"/>
              <w:rPr>
                <w:color w:val="auto"/>
                <w:sz w:val="24"/>
              </w:rPr>
            </w:pPr>
            <w:r>
              <w:rPr>
                <w:color w:val="auto"/>
                <w:sz w:val="24"/>
              </w:rPr>
              <w:t>③合理安排施工工序，尽量缩短施工周期。</w:t>
            </w:r>
          </w:p>
          <w:p>
            <w:pPr>
              <w:adjustRightInd w:val="0"/>
              <w:snapToGrid w:val="0"/>
              <w:spacing w:line="360" w:lineRule="auto"/>
              <w:ind w:firstLine="480" w:firstLineChars="200"/>
              <w:rPr>
                <w:color w:val="auto"/>
                <w:sz w:val="24"/>
              </w:rPr>
            </w:pPr>
            <w:r>
              <w:rPr>
                <w:color w:val="auto"/>
                <w:sz w:val="24"/>
              </w:rPr>
              <w:t>④合理安排施工时间：将强噪声作业尽量安排在白天进行；如果工艺要求必须连续作业的强噪声施工，制订施工计划时，应尽可能避免大量高噪声设备同时施工；尽量不在夜间施工，除非有些施工工艺必须连续作业，主要有钻孔灌注桩机钻孔、清孔和灌注砼，土石方阶段挖基坑，屋面浇砼等，除这些作业外，其他情况如装修阶段的切割机、电锯、电钻、电砂轮、水磨石机、钢模板作业、禁止夜间施工；特殊需要在夜间施工的，应首先征得当地城管等行政主管部门及周边住户的同意。</w:t>
            </w:r>
          </w:p>
          <w:p>
            <w:pPr>
              <w:adjustRightInd w:val="0"/>
              <w:snapToGrid w:val="0"/>
              <w:spacing w:line="360" w:lineRule="auto"/>
              <w:ind w:firstLine="480" w:firstLineChars="200"/>
              <w:rPr>
                <w:color w:val="auto"/>
                <w:sz w:val="24"/>
              </w:rPr>
            </w:pPr>
            <w:r>
              <w:rPr>
                <w:color w:val="auto"/>
                <w:sz w:val="24"/>
              </w:rPr>
              <w:t>⑤最大限度地降低人为噪声：不要采取噪声较大的钢模板作业方式；在操作中尽量避免敲打砼导管；搬卸物品应轻放，施工工具不要乱扔、远扔</w:t>
            </w:r>
            <w:r>
              <w:rPr>
                <w:rFonts w:hint="eastAsia"/>
                <w:color w:val="auto"/>
                <w:sz w:val="24"/>
                <w:lang w:eastAsia="zh-CN"/>
              </w:rPr>
              <w:t>。</w:t>
            </w:r>
          </w:p>
          <w:p>
            <w:pPr>
              <w:adjustRightInd w:val="0"/>
              <w:snapToGrid w:val="0"/>
              <w:spacing w:line="360" w:lineRule="auto"/>
              <w:ind w:firstLine="480" w:firstLineChars="200"/>
              <w:rPr>
                <w:color w:val="auto"/>
                <w:sz w:val="24"/>
              </w:rPr>
            </w:pPr>
            <w:r>
              <w:rPr>
                <w:color w:val="auto"/>
                <w:sz w:val="24"/>
              </w:rPr>
              <w:t>⑥严格执行中高考禁噪的要求，夜间及午休时间禁止施工。</w:t>
            </w:r>
          </w:p>
          <w:p>
            <w:pPr>
              <w:adjustRightInd w:val="0"/>
              <w:snapToGrid w:val="0"/>
              <w:spacing w:line="360" w:lineRule="auto"/>
              <w:ind w:firstLine="480" w:firstLineChars="200"/>
              <w:rPr>
                <w:color w:val="auto"/>
                <w:sz w:val="24"/>
              </w:rPr>
            </w:pPr>
            <w:r>
              <w:rPr>
                <w:color w:val="auto"/>
                <w:sz w:val="24"/>
              </w:rPr>
              <w:t>综上所述，施工期噪声经过治理后，可使施工期间的场界噪声满足《建筑施工场界环境噪声排放标准》（GB12523-2011）标准的要求，实现达标排放。</w:t>
            </w:r>
          </w:p>
          <w:p>
            <w:pPr>
              <w:adjustRightInd w:val="0"/>
              <w:snapToGrid w:val="0"/>
              <w:spacing w:line="360" w:lineRule="auto"/>
              <w:ind w:firstLine="480" w:firstLineChars="200"/>
              <w:jc w:val="left"/>
              <w:rPr>
                <w:color w:val="auto"/>
                <w:sz w:val="24"/>
              </w:rPr>
            </w:pPr>
            <w:r>
              <w:rPr>
                <w:color w:val="auto"/>
                <w:sz w:val="24"/>
              </w:rPr>
              <w:t>（4）固体废物产生及治理措施</w:t>
            </w:r>
          </w:p>
          <w:p>
            <w:pPr>
              <w:adjustRightInd w:val="0"/>
              <w:snapToGrid w:val="0"/>
              <w:spacing w:line="360" w:lineRule="auto"/>
              <w:ind w:firstLine="480" w:firstLineChars="200"/>
              <w:rPr>
                <w:color w:val="auto"/>
                <w:sz w:val="24"/>
              </w:rPr>
            </w:pPr>
            <w:r>
              <w:rPr>
                <w:color w:val="auto"/>
                <w:sz w:val="24"/>
              </w:rPr>
              <w:t>本项目进场后无较大土石方开挖，根据</w:t>
            </w:r>
            <w:r>
              <w:rPr>
                <w:rFonts w:hint="eastAsia"/>
                <w:color w:val="auto"/>
                <w:sz w:val="24"/>
              </w:rPr>
              <w:t>建设单位</w:t>
            </w:r>
            <w:r>
              <w:rPr>
                <w:color w:val="auto"/>
                <w:sz w:val="24"/>
              </w:rPr>
              <w:t>提供资料，本项目开挖土石方全部回填，无弃方产生。本项目施工期产生的固体废物主要是相应的建筑垃圾与</w:t>
            </w:r>
            <w:r>
              <w:rPr>
                <w:rFonts w:hint="eastAsia"/>
                <w:color w:val="auto"/>
                <w:sz w:val="24"/>
              </w:rPr>
              <w:t>施工人员</w:t>
            </w:r>
            <w:r>
              <w:rPr>
                <w:color w:val="auto"/>
                <w:sz w:val="24"/>
              </w:rPr>
              <w:t>生活垃圾。</w:t>
            </w:r>
          </w:p>
          <w:p>
            <w:pPr>
              <w:adjustRightInd w:val="0"/>
              <w:snapToGrid w:val="0"/>
              <w:spacing w:line="360" w:lineRule="auto"/>
              <w:ind w:firstLine="480" w:firstLineChars="200"/>
              <w:rPr>
                <w:color w:val="auto"/>
                <w:sz w:val="24"/>
              </w:rPr>
            </w:pPr>
            <w:r>
              <w:rPr>
                <w:color w:val="auto"/>
                <w:sz w:val="24"/>
              </w:rPr>
              <w:t>①建筑垃圾：根据同类项目分析，本项目施工期产生的建筑垃圾主要指建筑弃渣、废包装材料、废板材边角料等，产生量约为20t。</w:t>
            </w:r>
          </w:p>
          <w:p>
            <w:pPr>
              <w:adjustRightInd w:val="0"/>
              <w:snapToGrid w:val="0"/>
              <w:spacing w:line="360" w:lineRule="auto"/>
              <w:ind w:firstLine="480" w:firstLineChars="200"/>
              <w:rPr>
                <w:color w:val="auto"/>
                <w:sz w:val="24"/>
              </w:rPr>
            </w:pPr>
            <w:r>
              <w:rPr>
                <w:color w:val="auto"/>
                <w:sz w:val="24"/>
              </w:rPr>
              <w:t>②生活垃圾：项目施工定员20人，生活垃圾的产生量按照每人1.0kg/d计，则估算出本项目施工期产生的生活垃圾约为20kg/d，施工期2个月期间共产生0.4t。</w:t>
            </w:r>
          </w:p>
          <w:p>
            <w:pPr>
              <w:adjustRightInd w:val="0"/>
              <w:snapToGrid w:val="0"/>
              <w:spacing w:line="360" w:lineRule="auto"/>
              <w:ind w:firstLine="480" w:firstLineChars="200"/>
              <w:rPr>
                <w:color w:val="auto"/>
              </w:rPr>
            </w:pPr>
            <w:r>
              <w:rPr>
                <w:color w:val="auto"/>
                <w:sz w:val="24"/>
              </w:rPr>
              <w:t>治理措施：建筑垃圾中能回收的部分出售给废品回收站处理，不能回收的运至政府部门指定渣场进行处置；生活垃圾收集后由环卫部门统一清运处理。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97" w:hRule="atLeast"/>
          <w:jc w:val="center"/>
        </w:trPr>
        <w:tc>
          <w:tcPr>
            <w:tcW w:w="531" w:type="pct"/>
            <w:tcMar>
              <w:top w:w="16" w:type="dxa"/>
              <w:left w:w="16" w:type="dxa"/>
              <w:right w:w="16" w:type="dxa"/>
            </w:tcMar>
            <w:vAlign w:val="center"/>
          </w:tcPr>
          <w:p>
            <w:pPr>
              <w:adjustRightInd w:val="0"/>
              <w:snapToGrid w:val="0"/>
              <w:jc w:val="center"/>
              <w:rPr>
                <w:color w:val="auto"/>
                <w:sz w:val="24"/>
              </w:rPr>
            </w:pPr>
            <w:r>
              <w:rPr>
                <w:color w:val="auto"/>
                <w:sz w:val="24"/>
              </w:rPr>
              <w:t>运营</w:t>
            </w:r>
          </w:p>
          <w:p>
            <w:pPr>
              <w:adjustRightInd w:val="0"/>
              <w:snapToGrid w:val="0"/>
              <w:jc w:val="center"/>
              <w:rPr>
                <w:color w:val="auto"/>
                <w:sz w:val="24"/>
              </w:rPr>
            </w:pPr>
            <w:r>
              <w:rPr>
                <w:color w:val="auto"/>
                <w:sz w:val="24"/>
              </w:rPr>
              <w:t>期环</w:t>
            </w:r>
          </w:p>
          <w:p>
            <w:pPr>
              <w:adjustRightInd w:val="0"/>
              <w:snapToGrid w:val="0"/>
              <w:jc w:val="center"/>
              <w:rPr>
                <w:color w:val="auto"/>
                <w:sz w:val="24"/>
              </w:rPr>
            </w:pPr>
            <w:r>
              <w:rPr>
                <w:color w:val="auto"/>
                <w:sz w:val="24"/>
              </w:rPr>
              <w:t>境影</w:t>
            </w:r>
          </w:p>
          <w:p>
            <w:pPr>
              <w:adjustRightInd w:val="0"/>
              <w:snapToGrid w:val="0"/>
              <w:jc w:val="center"/>
              <w:rPr>
                <w:color w:val="auto"/>
                <w:sz w:val="24"/>
              </w:rPr>
            </w:pPr>
            <w:r>
              <w:rPr>
                <w:color w:val="auto"/>
                <w:sz w:val="24"/>
              </w:rPr>
              <w:t>响和</w:t>
            </w:r>
          </w:p>
          <w:p>
            <w:pPr>
              <w:adjustRightInd w:val="0"/>
              <w:snapToGrid w:val="0"/>
              <w:jc w:val="center"/>
              <w:rPr>
                <w:color w:val="auto"/>
                <w:sz w:val="24"/>
              </w:rPr>
            </w:pPr>
            <w:r>
              <w:rPr>
                <w:color w:val="auto"/>
                <w:sz w:val="24"/>
              </w:rPr>
              <w:t>保护</w:t>
            </w:r>
          </w:p>
          <w:p>
            <w:pPr>
              <w:adjustRightInd w:val="0"/>
              <w:snapToGrid w:val="0"/>
              <w:jc w:val="center"/>
              <w:rPr>
                <w:color w:val="auto"/>
                <w:sz w:val="24"/>
              </w:rPr>
            </w:pPr>
            <w:r>
              <w:rPr>
                <w:color w:val="auto"/>
                <w:sz w:val="24"/>
              </w:rPr>
              <w:t>措施</w:t>
            </w:r>
          </w:p>
        </w:tc>
        <w:tc>
          <w:tcPr>
            <w:tcW w:w="4468" w:type="pct"/>
            <w:vAlign w:val="center"/>
          </w:tcPr>
          <w:p>
            <w:pPr>
              <w:adjustRightInd w:val="0"/>
              <w:snapToGrid w:val="0"/>
              <w:spacing w:line="360" w:lineRule="auto"/>
              <w:rPr>
                <w:color w:val="auto"/>
                <w:sz w:val="28"/>
                <w:szCs w:val="28"/>
                <w:lang w:val="en-GB"/>
              </w:rPr>
            </w:pPr>
            <w:r>
              <w:rPr>
                <w:b/>
                <w:bCs/>
                <w:color w:val="auto"/>
                <w:sz w:val="28"/>
                <w:szCs w:val="28"/>
              </w:rPr>
              <w:t>运营期污染物产生、治理及排放情况分析：</w:t>
            </w:r>
          </w:p>
          <w:p>
            <w:pPr>
              <w:adjustRightInd w:val="0"/>
              <w:snapToGrid w:val="0"/>
              <w:spacing w:line="360" w:lineRule="auto"/>
              <w:ind w:firstLine="482" w:firstLineChars="200"/>
              <w:rPr>
                <w:b/>
                <w:bCs/>
                <w:color w:val="auto"/>
                <w:sz w:val="24"/>
              </w:rPr>
            </w:pPr>
            <w:r>
              <w:rPr>
                <w:b/>
                <w:bCs/>
                <w:color w:val="auto"/>
                <w:sz w:val="24"/>
              </w:rPr>
              <w:t>1、废气</w:t>
            </w:r>
          </w:p>
          <w:p>
            <w:pPr>
              <w:adjustRightInd w:val="0"/>
              <w:snapToGrid w:val="0"/>
              <w:spacing w:line="360" w:lineRule="auto"/>
              <w:ind w:firstLine="480" w:firstLineChars="200"/>
              <w:rPr>
                <w:color w:val="auto"/>
                <w:sz w:val="24"/>
              </w:rPr>
            </w:pPr>
            <w:r>
              <w:rPr>
                <w:color w:val="auto"/>
                <w:sz w:val="24"/>
              </w:rPr>
              <w:t>营运期废气主要为粉尘及燃油废气、汽车尾气。其中粉尘来源于运输车辆动力起尘、堆场粉尘、铲车投料粉尘、物料输送粉尘、筒仓呼吸粉尘</w:t>
            </w:r>
            <w:r>
              <w:rPr>
                <w:rFonts w:hint="eastAsia"/>
                <w:color w:val="auto"/>
                <w:sz w:val="24"/>
                <w:lang w:eastAsia="zh-CN"/>
              </w:rPr>
              <w:t>（</w:t>
            </w:r>
            <w:r>
              <w:rPr>
                <w:color w:val="auto"/>
                <w:sz w:val="24"/>
              </w:rPr>
              <w:t>筒仓</w:t>
            </w:r>
            <w:r>
              <w:rPr>
                <w:rFonts w:hint="eastAsia"/>
                <w:color w:val="auto"/>
                <w:sz w:val="24"/>
                <w:lang w:eastAsia="zh-CN"/>
              </w:rPr>
              <w:t>位于封闭厂房内）</w:t>
            </w:r>
            <w:r>
              <w:rPr>
                <w:color w:val="auto"/>
                <w:sz w:val="24"/>
              </w:rPr>
              <w:t>、搅拌机拌料粉尘，均为无组织排放。</w:t>
            </w:r>
          </w:p>
          <w:p>
            <w:pPr>
              <w:adjustRightInd w:val="0"/>
              <w:snapToGrid w:val="0"/>
              <w:spacing w:line="360" w:lineRule="auto"/>
              <w:ind w:firstLine="482" w:firstLineChars="200"/>
              <w:rPr>
                <w:b/>
                <w:bCs/>
                <w:color w:val="auto"/>
                <w:sz w:val="24"/>
                <w:szCs w:val="20"/>
              </w:rPr>
            </w:pPr>
            <w:r>
              <w:rPr>
                <w:b/>
                <w:bCs/>
                <w:color w:val="auto"/>
                <w:sz w:val="24"/>
                <w:szCs w:val="20"/>
              </w:rPr>
              <w:t>（1）运输车辆的动力起尘</w:t>
            </w:r>
          </w:p>
          <w:p>
            <w:pPr>
              <w:autoSpaceDE w:val="0"/>
              <w:autoSpaceDN w:val="0"/>
              <w:adjustRightInd w:val="0"/>
              <w:snapToGrid w:val="0"/>
              <w:spacing w:line="360" w:lineRule="auto"/>
              <w:ind w:firstLine="480" w:firstLineChars="200"/>
              <w:rPr>
                <w:color w:val="auto"/>
                <w:sz w:val="24"/>
              </w:rPr>
            </w:pPr>
            <w:r>
              <w:rPr>
                <w:color w:val="auto"/>
                <w:sz w:val="24"/>
              </w:rPr>
              <w:t>厂区内部车辆在运输过程中将产生道路扬尘，属于无组织排放。运输道路扬尘产生量的大小与道路清洁程度、车辆行驶速度及运输车辆数量等因素有关，项目运输道路设计时速按10km/h，采用车辆运输道路扬尘经验公式对单位车辆在不同车速、不同路面清洁度下的道路扬尘进行计算。</w:t>
            </w:r>
          </w:p>
          <w:p>
            <w:pPr>
              <w:autoSpaceDE w:val="0"/>
              <w:autoSpaceDN w:val="0"/>
              <w:adjustRightInd w:val="0"/>
              <w:snapToGrid w:val="0"/>
              <w:spacing w:line="360" w:lineRule="auto"/>
              <w:ind w:firstLine="560" w:firstLineChars="200"/>
              <w:rPr>
                <w:color w:val="auto"/>
                <w:sz w:val="24"/>
              </w:rPr>
            </w:pPr>
            <w:r>
              <w:rPr>
                <w:color w:val="auto"/>
                <w:sz w:val="28"/>
                <w:szCs w:val="28"/>
              </w:rPr>
              <w:drawing>
                <wp:anchor distT="0" distB="0" distL="114300" distR="114300" simplePos="0" relativeHeight="251670528" behindDoc="0" locked="0" layoutInCell="1" allowOverlap="1">
                  <wp:simplePos x="0" y="0"/>
                  <wp:positionH relativeFrom="column">
                    <wp:posOffset>1421130</wp:posOffset>
                  </wp:positionH>
                  <wp:positionV relativeFrom="paragraph">
                    <wp:posOffset>434340</wp:posOffset>
                  </wp:positionV>
                  <wp:extent cx="2286000" cy="501650"/>
                  <wp:effectExtent l="0" t="0" r="0" b="12700"/>
                  <wp:wrapNone/>
                  <wp:docPr id="176" name="图片 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508"/>
                          <pic:cNvPicPr>
                            <a:picLocks noChangeAspect="1"/>
                          </pic:cNvPicPr>
                        </pic:nvPicPr>
                        <pic:blipFill>
                          <a:blip r:embed="rId55" r:link="rId56"/>
                          <a:srcRect l="9645" r="8345"/>
                          <a:stretch>
                            <a:fillRect/>
                          </a:stretch>
                        </pic:blipFill>
                        <pic:spPr>
                          <a:xfrm>
                            <a:off x="0" y="0"/>
                            <a:ext cx="2286000" cy="501650"/>
                          </a:xfrm>
                          <a:prstGeom prst="rect">
                            <a:avLst/>
                          </a:prstGeom>
                          <a:noFill/>
                          <a:ln>
                            <a:noFill/>
                          </a:ln>
                        </pic:spPr>
                      </pic:pic>
                    </a:graphicData>
                  </a:graphic>
                </wp:anchor>
              </w:drawing>
            </w:r>
            <w:r>
              <w:rPr>
                <w:color w:val="auto"/>
                <w:sz w:val="24"/>
              </w:rPr>
              <w:t>车辆道路扬尘产生量选用上海港环境保护中心和武汉水运工程学院提出的经验公式计算：</w:t>
            </w:r>
          </w:p>
          <w:p>
            <w:pPr>
              <w:adjustRightInd w:val="0"/>
              <w:snapToGrid w:val="0"/>
              <w:spacing w:line="360" w:lineRule="auto"/>
              <w:ind w:firstLine="560" w:firstLineChars="200"/>
              <w:rPr>
                <w:color w:val="auto"/>
                <w:sz w:val="28"/>
                <w:szCs w:val="28"/>
              </w:rPr>
            </w:pPr>
          </w:p>
          <w:p>
            <w:pPr>
              <w:autoSpaceDE w:val="0"/>
              <w:autoSpaceDN w:val="0"/>
              <w:adjustRightInd w:val="0"/>
              <w:snapToGrid w:val="0"/>
              <w:spacing w:line="360" w:lineRule="auto"/>
              <w:ind w:firstLine="480" w:firstLineChars="200"/>
              <w:rPr>
                <w:color w:val="auto"/>
                <w:sz w:val="24"/>
              </w:rPr>
            </w:pPr>
          </w:p>
          <w:p>
            <w:pPr>
              <w:autoSpaceDE w:val="0"/>
              <w:autoSpaceDN w:val="0"/>
              <w:adjustRightInd w:val="0"/>
              <w:snapToGrid w:val="0"/>
              <w:spacing w:line="360" w:lineRule="auto"/>
              <w:ind w:firstLine="480" w:firstLineChars="200"/>
              <w:rPr>
                <w:color w:val="auto"/>
                <w:sz w:val="24"/>
              </w:rPr>
            </w:pPr>
            <w:r>
              <w:rPr>
                <w:color w:val="auto"/>
                <w:sz w:val="24"/>
              </w:rPr>
              <w:t>式中：Q</w:t>
            </w:r>
            <w:r>
              <w:rPr>
                <w:color w:val="auto"/>
                <w:sz w:val="24"/>
                <w:vertAlign w:val="subscript"/>
              </w:rPr>
              <w:t>y</w:t>
            </w:r>
            <w:r>
              <w:rPr>
                <w:color w:val="auto"/>
                <w:sz w:val="24"/>
              </w:rPr>
              <w:t>——汽车行驶的扬尘，kg/km·辆；</w:t>
            </w:r>
          </w:p>
          <w:p>
            <w:pPr>
              <w:autoSpaceDE w:val="0"/>
              <w:autoSpaceDN w:val="0"/>
              <w:adjustRightInd w:val="0"/>
              <w:snapToGrid w:val="0"/>
              <w:spacing w:line="360" w:lineRule="auto"/>
              <w:ind w:firstLine="480" w:firstLineChars="200"/>
              <w:rPr>
                <w:color w:val="auto"/>
                <w:sz w:val="24"/>
              </w:rPr>
            </w:pPr>
            <w:r>
              <w:rPr>
                <w:color w:val="auto"/>
                <w:sz w:val="24"/>
              </w:rPr>
              <w:t xml:space="preserve">      V——汽车速度，km/h；</w:t>
            </w:r>
          </w:p>
          <w:p>
            <w:pPr>
              <w:autoSpaceDE w:val="0"/>
              <w:autoSpaceDN w:val="0"/>
              <w:adjustRightInd w:val="0"/>
              <w:snapToGrid w:val="0"/>
              <w:spacing w:line="360" w:lineRule="auto"/>
              <w:ind w:firstLine="480" w:firstLineChars="200"/>
              <w:rPr>
                <w:color w:val="auto"/>
                <w:sz w:val="24"/>
              </w:rPr>
            </w:pPr>
            <w:r>
              <w:rPr>
                <w:color w:val="auto"/>
                <w:sz w:val="24"/>
              </w:rPr>
              <w:t xml:space="preserve">      M——汽车载重量，吨；</w:t>
            </w:r>
          </w:p>
          <w:p>
            <w:pPr>
              <w:autoSpaceDE w:val="0"/>
              <w:autoSpaceDN w:val="0"/>
              <w:adjustRightInd w:val="0"/>
              <w:snapToGrid w:val="0"/>
              <w:spacing w:line="360" w:lineRule="auto"/>
              <w:ind w:firstLine="480" w:firstLineChars="200"/>
              <w:rPr>
                <w:color w:val="auto"/>
                <w:sz w:val="24"/>
              </w:rPr>
            </w:pPr>
            <w:r>
              <w:rPr>
                <w:color w:val="auto"/>
                <w:sz w:val="24"/>
              </w:rPr>
              <w:t xml:space="preserve">      P——道路表面粉尘量，kg/m</w:t>
            </w:r>
            <w:r>
              <w:rPr>
                <w:color w:val="auto"/>
                <w:sz w:val="24"/>
                <w:vertAlign w:val="superscript"/>
              </w:rPr>
              <w:t>2</w:t>
            </w:r>
            <w:r>
              <w:rPr>
                <w:color w:val="auto"/>
                <w:sz w:val="24"/>
              </w:rPr>
              <w:t>。</w:t>
            </w:r>
          </w:p>
          <w:p>
            <w:pPr>
              <w:adjustRightInd w:val="0"/>
              <w:snapToGrid w:val="0"/>
              <w:spacing w:line="360" w:lineRule="auto"/>
              <w:ind w:firstLine="480" w:firstLineChars="200"/>
              <w:rPr>
                <w:b/>
                <w:bCs/>
                <w:color w:val="auto"/>
                <w:sz w:val="24"/>
              </w:rPr>
            </w:pPr>
            <w:r>
              <w:rPr>
                <w:color w:val="auto"/>
                <w:sz w:val="24"/>
              </w:rPr>
              <w:t>在本项目中，车辆行驶速度按10km/h、汽车载重质量按30t、道路表面粉尘量按0.3kg/m</w:t>
            </w:r>
            <w:r>
              <w:rPr>
                <w:color w:val="auto"/>
                <w:sz w:val="24"/>
                <w:vertAlign w:val="superscript"/>
              </w:rPr>
              <w:t>2</w:t>
            </w:r>
            <w:r>
              <w:rPr>
                <w:color w:val="auto"/>
                <w:sz w:val="24"/>
              </w:rPr>
              <w:t>，Q</w:t>
            </w:r>
            <w:r>
              <w:rPr>
                <w:color w:val="auto"/>
                <w:sz w:val="24"/>
                <w:vertAlign w:val="subscript"/>
              </w:rPr>
              <w:t>y=</w:t>
            </w:r>
            <w:r>
              <w:rPr>
                <w:color w:val="auto"/>
                <w:sz w:val="24"/>
              </w:rPr>
              <w:t>0.6kg/km·辆，厂区运输距离约0.1km，项目年运输原料约8万t。则本项目运输过程中产生的扬尘量约为0.16t/a，0.05kg/h。</w:t>
            </w:r>
          </w:p>
          <w:p>
            <w:pPr>
              <w:adjustRightInd w:val="0"/>
              <w:snapToGrid w:val="0"/>
              <w:spacing w:line="360" w:lineRule="auto"/>
              <w:ind w:firstLine="482"/>
              <w:rPr>
                <w:color w:val="auto"/>
                <w:sz w:val="24"/>
                <w:szCs w:val="20"/>
              </w:rPr>
            </w:pPr>
            <w:r>
              <w:rPr>
                <w:b/>
                <w:bCs/>
                <w:color w:val="auto"/>
                <w:sz w:val="24"/>
                <w:szCs w:val="20"/>
              </w:rPr>
              <w:t>治理措施：</w:t>
            </w:r>
            <w:r>
              <w:rPr>
                <w:color w:val="auto"/>
                <w:sz w:val="24"/>
                <w:szCs w:val="20"/>
              </w:rPr>
              <w:t>通过对汽车行驶路面勤洒水（每天4-5次），可以使空气中扬尘量减少70%左右，若清扫后洒水，抑尘效率能达到95%以上，起到很好的降尘效果，洒水作业的试验资料见表4-4。</w:t>
            </w:r>
          </w:p>
          <w:p>
            <w:pPr>
              <w:pStyle w:val="3"/>
              <w:keepNext w:val="0"/>
              <w:overflowPunct/>
              <w:adjustRightInd w:val="0"/>
              <w:spacing w:before="0" w:after="0" w:line="360" w:lineRule="auto"/>
              <w:ind w:left="0" w:firstLine="0"/>
              <w:rPr>
                <w:rFonts w:ascii="Times New Roman" w:hAnsi="Times New Roman" w:eastAsiaTheme="minorEastAsia"/>
                <w:color w:val="auto"/>
                <w:kern w:val="2"/>
                <w:sz w:val="21"/>
                <w:szCs w:val="21"/>
              </w:rPr>
            </w:pPr>
            <w:r>
              <w:rPr>
                <w:rFonts w:ascii="Times New Roman" w:hAnsi="Times New Roman" w:eastAsiaTheme="minorEastAsia"/>
                <w:color w:val="auto"/>
                <w:kern w:val="2"/>
                <w:sz w:val="21"/>
                <w:szCs w:val="21"/>
              </w:rPr>
              <w:t>表4-4  洒水降尘实验结果</w:t>
            </w:r>
          </w:p>
          <w:tbl>
            <w:tblPr>
              <w:tblStyle w:val="41"/>
              <w:tblW w:w="88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6"/>
              <w:gridCol w:w="1353"/>
              <w:gridCol w:w="1386"/>
              <w:gridCol w:w="1371"/>
              <w:gridCol w:w="1371"/>
              <w:gridCol w:w="13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99" w:type="dxa"/>
                  <w:gridSpan w:val="2"/>
                  <w:vAlign w:val="center"/>
                </w:tcPr>
                <w:p>
                  <w:pPr>
                    <w:adjustRightInd w:val="0"/>
                    <w:jc w:val="center"/>
                    <w:rPr>
                      <w:b/>
                      <w:color w:val="auto"/>
                      <w:szCs w:val="21"/>
                    </w:rPr>
                  </w:pPr>
                  <w:r>
                    <w:rPr>
                      <w:b/>
                      <w:color w:val="auto"/>
                      <w:szCs w:val="21"/>
                    </w:rPr>
                    <w:t>距路边距离</w:t>
                  </w:r>
                </w:p>
              </w:tc>
              <w:tc>
                <w:tcPr>
                  <w:tcW w:w="1386" w:type="dxa"/>
                  <w:vAlign w:val="center"/>
                </w:tcPr>
                <w:p>
                  <w:pPr>
                    <w:adjustRightInd w:val="0"/>
                    <w:jc w:val="center"/>
                    <w:rPr>
                      <w:b/>
                      <w:color w:val="auto"/>
                      <w:szCs w:val="21"/>
                    </w:rPr>
                  </w:pPr>
                  <w:r>
                    <w:rPr>
                      <w:b/>
                      <w:color w:val="auto"/>
                      <w:szCs w:val="21"/>
                    </w:rPr>
                    <w:t>5</w:t>
                  </w:r>
                </w:p>
              </w:tc>
              <w:tc>
                <w:tcPr>
                  <w:tcW w:w="1371" w:type="dxa"/>
                  <w:vAlign w:val="center"/>
                </w:tcPr>
                <w:p>
                  <w:pPr>
                    <w:adjustRightInd w:val="0"/>
                    <w:jc w:val="center"/>
                    <w:rPr>
                      <w:b/>
                      <w:color w:val="auto"/>
                      <w:szCs w:val="21"/>
                    </w:rPr>
                  </w:pPr>
                  <w:r>
                    <w:rPr>
                      <w:b/>
                      <w:color w:val="auto"/>
                      <w:szCs w:val="21"/>
                    </w:rPr>
                    <w:t>20</w:t>
                  </w:r>
                </w:p>
              </w:tc>
              <w:tc>
                <w:tcPr>
                  <w:tcW w:w="1371" w:type="dxa"/>
                  <w:vAlign w:val="center"/>
                </w:tcPr>
                <w:p>
                  <w:pPr>
                    <w:adjustRightInd w:val="0"/>
                    <w:jc w:val="center"/>
                    <w:rPr>
                      <w:b/>
                      <w:color w:val="auto"/>
                      <w:szCs w:val="21"/>
                    </w:rPr>
                  </w:pPr>
                  <w:r>
                    <w:rPr>
                      <w:b/>
                      <w:color w:val="auto"/>
                      <w:szCs w:val="21"/>
                    </w:rPr>
                    <w:t>50</w:t>
                  </w:r>
                </w:p>
              </w:tc>
              <w:tc>
                <w:tcPr>
                  <w:tcW w:w="1374" w:type="dxa"/>
                  <w:vAlign w:val="center"/>
                </w:tcPr>
                <w:p>
                  <w:pPr>
                    <w:adjustRightInd w:val="0"/>
                    <w:jc w:val="center"/>
                    <w:rPr>
                      <w:b/>
                      <w:color w:val="auto"/>
                      <w:szCs w:val="21"/>
                    </w:rPr>
                  </w:pPr>
                  <w:r>
                    <w:rPr>
                      <w:b/>
                      <w:color w:val="auto"/>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6" w:type="dxa"/>
                  <w:vMerge w:val="restart"/>
                  <w:vAlign w:val="center"/>
                </w:tcPr>
                <w:p>
                  <w:pPr>
                    <w:adjustRightInd w:val="0"/>
                    <w:jc w:val="center"/>
                    <w:rPr>
                      <w:color w:val="auto"/>
                      <w:szCs w:val="21"/>
                    </w:rPr>
                  </w:pPr>
                  <w:r>
                    <w:rPr>
                      <w:color w:val="auto"/>
                      <w:szCs w:val="21"/>
                    </w:rPr>
                    <w:t>颗粒物浓度</w:t>
                  </w:r>
                </w:p>
                <w:p>
                  <w:pPr>
                    <w:adjustRightInd w:val="0"/>
                    <w:jc w:val="center"/>
                    <w:rPr>
                      <w:color w:val="auto"/>
                      <w:szCs w:val="21"/>
                    </w:rPr>
                  </w:pPr>
                  <w:r>
                    <w:rPr>
                      <w:color w:val="auto"/>
                      <w:szCs w:val="21"/>
                    </w:rPr>
                    <w:t>（mg/m</w:t>
                  </w:r>
                  <w:r>
                    <w:rPr>
                      <w:color w:val="auto"/>
                      <w:szCs w:val="21"/>
                      <w:vertAlign w:val="superscript"/>
                    </w:rPr>
                    <w:t>3</w:t>
                  </w:r>
                  <w:r>
                    <w:rPr>
                      <w:color w:val="auto"/>
                      <w:szCs w:val="21"/>
                    </w:rPr>
                    <w:t>）</w:t>
                  </w:r>
                </w:p>
              </w:tc>
              <w:tc>
                <w:tcPr>
                  <w:tcW w:w="1353" w:type="dxa"/>
                  <w:vAlign w:val="center"/>
                </w:tcPr>
                <w:p>
                  <w:pPr>
                    <w:adjustRightInd w:val="0"/>
                    <w:jc w:val="center"/>
                    <w:rPr>
                      <w:color w:val="auto"/>
                      <w:szCs w:val="21"/>
                    </w:rPr>
                  </w:pPr>
                  <w:r>
                    <w:rPr>
                      <w:color w:val="auto"/>
                      <w:szCs w:val="21"/>
                    </w:rPr>
                    <w:t>不洒水</w:t>
                  </w:r>
                </w:p>
              </w:tc>
              <w:tc>
                <w:tcPr>
                  <w:tcW w:w="1386" w:type="dxa"/>
                  <w:vAlign w:val="center"/>
                </w:tcPr>
                <w:p>
                  <w:pPr>
                    <w:adjustRightInd w:val="0"/>
                    <w:jc w:val="center"/>
                    <w:rPr>
                      <w:color w:val="auto"/>
                      <w:szCs w:val="21"/>
                    </w:rPr>
                  </w:pPr>
                  <w:r>
                    <w:rPr>
                      <w:color w:val="auto"/>
                      <w:szCs w:val="21"/>
                    </w:rPr>
                    <w:t>10.14</w:t>
                  </w:r>
                </w:p>
              </w:tc>
              <w:tc>
                <w:tcPr>
                  <w:tcW w:w="1371" w:type="dxa"/>
                  <w:vAlign w:val="center"/>
                </w:tcPr>
                <w:p>
                  <w:pPr>
                    <w:adjustRightInd w:val="0"/>
                    <w:jc w:val="center"/>
                    <w:rPr>
                      <w:color w:val="auto"/>
                      <w:szCs w:val="21"/>
                    </w:rPr>
                  </w:pPr>
                  <w:r>
                    <w:rPr>
                      <w:color w:val="auto"/>
                      <w:szCs w:val="21"/>
                    </w:rPr>
                    <w:t>2.89</w:t>
                  </w:r>
                </w:p>
              </w:tc>
              <w:tc>
                <w:tcPr>
                  <w:tcW w:w="1371" w:type="dxa"/>
                  <w:vAlign w:val="center"/>
                </w:tcPr>
                <w:p>
                  <w:pPr>
                    <w:adjustRightInd w:val="0"/>
                    <w:jc w:val="center"/>
                    <w:rPr>
                      <w:color w:val="auto"/>
                      <w:szCs w:val="21"/>
                    </w:rPr>
                  </w:pPr>
                  <w:r>
                    <w:rPr>
                      <w:color w:val="auto"/>
                      <w:szCs w:val="21"/>
                    </w:rPr>
                    <w:t>1.15</w:t>
                  </w:r>
                </w:p>
              </w:tc>
              <w:tc>
                <w:tcPr>
                  <w:tcW w:w="1374" w:type="dxa"/>
                  <w:vAlign w:val="center"/>
                </w:tcPr>
                <w:p>
                  <w:pPr>
                    <w:adjustRightInd w:val="0"/>
                    <w:jc w:val="center"/>
                    <w:rPr>
                      <w:color w:val="auto"/>
                      <w:szCs w:val="21"/>
                    </w:rPr>
                  </w:pPr>
                  <w:r>
                    <w:rPr>
                      <w:color w:val="auto"/>
                      <w:szCs w:val="21"/>
                    </w:rPr>
                    <w:t>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6" w:type="dxa"/>
                  <w:vMerge w:val="continue"/>
                  <w:vAlign w:val="center"/>
                </w:tcPr>
                <w:p>
                  <w:pPr>
                    <w:adjustRightInd w:val="0"/>
                    <w:jc w:val="center"/>
                    <w:rPr>
                      <w:color w:val="auto"/>
                      <w:szCs w:val="21"/>
                    </w:rPr>
                  </w:pPr>
                </w:p>
              </w:tc>
              <w:tc>
                <w:tcPr>
                  <w:tcW w:w="1353" w:type="dxa"/>
                  <w:vAlign w:val="center"/>
                </w:tcPr>
                <w:p>
                  <w:pPr>
                    <w:adjustRightInd w:val="0"/>
                    <w:jc w:val="center"/>
                    <w:rPr>
                      <w:color w:val="auto"/>
                      <w:szCs w:val="21"/>
                    </w:rPr>
                  </w:pPr>
                  <w:r>
                    <w:rPr>
                      <w:color w:val="auto"/>
                      <w:szCs w:val="21"/>
                    </w:rPr>
                    <w:t>洒水</w:t>
                  </w:r>
                </w:p>
              </w:tc>
              <w:tc>
                <w:tcPr>
                  <w:tcW w:w="1386" w:type="dxa"/>
                  <w:vAlign w:val="center"/>
                </w:tcPr>
                <w:p>
                  <w:pPr>
                    <w:adjustRightInd w:val="0"/>
                    <w:jc w:val="center"/>
                    <w:rPr>
                      <w:color w:val="auto"/>
                      <w:szCs w:val="21"/>
                    </w:rPr>
                  </w:pPr>
                  <w:r>
                    <w:rPr>
                      <w:color w:val="auto"/>
                      <w:szCs w:val="21"/>
                    </w:rPr>
                    <w:t>2.01</w:t>
                  </w:r>
                </w:p>
              </w:tc>
              <w:tc>
                <w:tcPr>
                  <w:tcW w:w="1371" w:type="dxa"/>
                  <w:vAlign w:val="center"/>
                </w:tcPr>
                <w:p>
                  <w:pPr>
                    <w:adjustRightInd w:val="0"/>
                    <w:jc w:val="center"/>
                    <w:rPr>
                      <w:color w:val="auto"/>
                      <w:szCs w:val="21"/>
                    </w:rPr>
                  </w:pPr>
                  <w:r>
                    <w:rPr>
                      <w:color w:val="auto"/>
                      <w:szCs w:val="21"/>
                    </w:rPr>
                    <w:t>1.40</w:t>
                  </w:r>
                </w:p>
              </w:tc>
              <w:tc>
                <w:tcPr>
                  <w:tcW w:w="1371" w:type="dxa"/>
                  <w:vAlign w:val="center"/>
                </w:tcPr>
                <w:p>
                  <w:pPr>
                    <w:adjustRightInd w:val="0"/>
                    <w:jc w:val="center"/>
                    <w:rPr>
                      <w:color w:val="auto"/>
                      <w:szCs w:val="21"/>
                    </w:rPr>
                  </w:pPr>
                  <w:r>
                    <w:rPr>
                      <w:color w:val="auto"/>
                      <w:szCs w:val="21"/>
                    </w:rPr>
                    <w:t>0.68</w:t>
                  </w:r>
                </w:p>
              </w:tc>
              <w:tc>
                <w:tcPr>
                  <w:tcW w:w="1374" w:type="dxa"/>
                  <w:vAlign w:val="center"/>
                </w:tcPr>
                <w:p>
                  <w:pPr>
                    <w:adjustRightInd w:val="0"/>
                    <w:jc w:val="center"/>
                    <w:rPr>
                      <w:color w:val="auto"/>
                      <w:szCs w:val="21"/>
                    </w:rPr>
                  </w:pPr>
                  <w:r>
                    <w:rPr>
                      <w:color w:val="auto"/>
                      <w:szCs w:val="21"/>
                    </w:rPr>
                    <w:t>0.60</w:t>
                  </w:r>
                </w:p>
              </w:tc>
            </w:tr>
          </w:tbl>
          <w:p>
            <w:pPr>
              <w:adjustRightInd w:val="0"/>
              <w:snapToGrid w:val="0"/>
              <w:spacing w:line="360" w:lineRule="auto"/>
              <w:ind w:firstLine="480" w:firstLineChars="200"/>
              <w:rPr>
                <w:color w:val="auto"/>
                <w:sz w:val="24"/>
                <w:szCs w:val="20"/>
              </w:rPr>
            </w:pPr>
            <w:r>
              <w:rPr>
                <w:rStyle w:val="61"/>
                <w:color w:val="auto"/>
              </w:rPr>
              <w:t>通过对运输砂石进行加盖密闭、厂区路面洒水等措施（洒水采用1台风送式喷雾机），抑尘效率可达95％以上，对进出车辆轮胎进行清洗，对车辆进行限速规定，以减少原辅料运输过程中对沿途环境产生的扬尘污染，则车辆运输过程最终的无组织扬尘排放量为0.008t/a，</w:t>
            </w:r>
            <w:r>
              <w:rPr>
                <w:color w:val="auto"/>
                <w:sz w:val="24"/>
                <w:szCs w:val="20"/>
              </w:rPr>
              <w:t>0.0025kg/h</w:t>
            </w:r>
            <w:r>
              <w:rPr>
                <w:rStyle w:val="61"/>
                <w:color w:val="auto"/>
              </w:rPr>
              <w:t>。</w:t>
            </w:r>
          </w:p>
          <w:p>
            <w:pPr>
              <w:adjustRightInd w:val="0"/>
              <w:snapToGrid w:val="0"/>
              <w:spacing w:line="360" w:lineRule="auto"/>
              <w:ind w:firstLine="480" w:firstLineChars="200"/>
              <w:rPr>
                <w:color w:val="auto"/>
                <w:sz w:val="24"/>
                <w:szCs w:val="20"/>
              </w:rPr>
            </w:pPr>
            <w:r>
              <w:rPr>
                <w:color w:val="auto"/>
                <w:sz w:val="24"/>
                <w:szCs w:val="20"/>
              </w:rPr>
              <w:t>综上所述，本项目场地</w:t>
            </w:r>
            <w:r>
              <w:rPr>
                <w:rFonts w:hint="eastAsia"/>
                <w:color w:val="auto"/>
                <w:sz w:val="24"/>
                <w:szCs w:val="20"/>
              </w:rPr>
              <w:t>全部进行</w:t>
            </w:r>
            <w:r>
              <w:rPr>
                <w:color w:val="auto"/>
                <w:sz w:val="24"/>
                <w:szCs w:val="20"/>
              </w:rPr>
              <w:t>硬化，同时在入口处设置</w:t>
            </w:r>
            <w:r>
              <w:rPr>
                <w:rFonts w:hint="eastAsia"/>
                <w:color w:val="auto"/>
                <w:sz w:val="24"/>
                <w:szCs w:val="20"/>
                <w:lang w:eastAsia="zh-CN"/>
              </w:rPr>
              <w:t>洗车池</w:t>
            </w:r>
            <w:r>
              <w:rPr>
                <w:color w:val="auto"/>
                <w:sz w:val="24"/>
                <w:szCs w:val="20"/>
              </w:rPr>
              <w:t>清洗车轮，规定车辆运输路线，运输加盖篷布，及时清扫运输车辆遗撒在地面的物料，洒水降尘，定期冲洗地面，运输车辆产生粉尘对环境影响较小。</w:t>
            </w:r>
          </w:p>
          <w:p>
            <w:pPr>
              <w:adjustRightInd w:val="0"/>
              <w:snapToGrid w:val="0"/>
              <w:spacing w:line="360" w:lineRule="auto"/>
              <w:ind w:firstLine="482" w:firstLineChars="200"/>
              <w:rPr>
                <w:rFonts w:eastAsiaTheme="minorEastAsia"/>
                <w:b/>
                <w:bCs/>
                <w:color w:val="auto"/>
                <w:sz w:val="24"/>
                <w:szCs w:val="20"/>
              </w:rPr>
            </w:pPr>
            <w:r>
              <w:rPr>
                <w:b/>
                <w:bCs/>
                <w:color w:val="auto"/>
                <w:sz w:val="24"/>
                <w:szCs w:val="20"/>
              </w:rPr>
              <w:t>（2）砂石堆料场起尘、</w:t>
            </w:r>
            <w:r>
              <w:rPr>
                <w:b/>
                <w:bCs/>
                <w:color w:val="auto"/>
                <w:sz w:val="24"/>
              </w:rPr>
              <w:t>铲车投料粉尘、物料输送粉尘</w:t>
            </w:r>
          </w:p>
          <w:p>
            <w:pPr>
              <w:adjustRightInd w:val="0"/>
              <w:snapToGrid w:val="0"/>
              <w:spacing w:line="360" w:lineRule="auto"/>
              <w:ind w:firstLine="480" w:firstLineChars="200"/>
              <w:rPr>
                <w:b/>
                <w:bCs/>
                <w:color w:val="auto"/>
                <w:sz w:val="24"/>
              </w:rPr>
            </w:pPr>
            <w:r>
              <w:rPr>
                <w:rStyle w:val="61"/>
                <w:color w:val="auto"/>
              </w:rPr>
              <w:t>本项目原料堆场位于密闭厂房内，</w:t>
            </w:r>
            <w:r>
              <w:rPr>
                <w:color w:val="auto"/>
                <w:sz w:val="24"/>
              </w:rPr>
              <w:t>因此没有风力产生的粉尘，仅卸料短暂过程产生粉尘，</w:t>
            </w:r>
            <w:r>
              <w:rPr>
                <w:rStyle w:val="61"/>
                <w:color w:val="auto"/>
              </w:rPr>
              <w:t>项目拌和骨料为砂、碎石等大颗粒物质，为较干净</w:t>
            </w:r>
            <w:r>
              <w:rPr>
                <w:rStyle w:val="61"/>
                <w:rFonts w:hint="eastAsia"/>
                <w:color w:val="auto"/>
              </w:rPr>
              <w:t>的</w:t>
            </w:r>
            <w:r>
              <w:rPr>
                <w:rStyle w:val="61"/>
                <w:color w:val="auto"/>
              </w:rPr>
              <w:t>成品物料，自带粉尘较少，通过采用洒水除尘、密闭输送带等措施后，大部分粉尘均在厂房内自然沉降，不会逸散至厂房外，因此本项目不再对</w:t>
            </w:r>
            <w:r>
              <w:rPr>
                <w:color w:val="auto"/>
                <w:sz w:val="24"/>
                <w:szCs w:val="20"/>
              </w:rPr>
              <w:t>堆料场起尘、</w:t>
            </w:r>
            <w:r>
              <w:rPr>
                <w:color w:val="auto"/>
                <w:sz w:val="24"/>
              </w:rPr>
              <w:t>铲车投料粉尘、物料输送粉尘</w:t>
            </w:r>
            <w:r>
              <w:rPr>
                <w:rStyle w:val="61"/>
                <w:color w:val="auto"/>
              </w:rPr>
              <w:t>源强进行计算。</w:t>
            </w:r>
          </w:p>
          <w:p>
            <w:pPr>
              <w:adjustRightInd w:val="0"/>
              <w:snapToGrid w:val="0"/>
              <w:spacing w:line="360" w:lineRule="auto"/>
              <w:ind w:firstLine="480"/>
              <w:rPr>
                <w:b/>
                <w:bCs/>
                <w:color w:val="auto"/>
                <w:sz w:val="24"/>
                <w:szCs w:val="20"/>
              </w:rPr>
            </w:pPr>
            <w:r>
              <w:rPr>
                <w:b/>
                <w:bCs/>
                <w:color w:val="auto"/>
                <w:sz w:val="24"/>
                <w:szCs w:val="20"/>
              </w:rPr>
              <w:t>治理措施：</w:t>
            </w:r>
          </w:p>
          <w:p>
            <w:pPr>
              <w:adjustRightInd w:val="0"/>
              <w:snapToGrid w:val="0"/>
              <w:spacing w:line="360" w:lineRule="auto"/>
              <w:ind w:firstLine="480"/>
              <w:rPr>
                <w:rStyle w:val="61"/>
                <w:bCs/>
                <w:color w:val="auto"/>
              </w:rPr>
            </w:pPr>
            <w:r>
              <w:rPr>
                <w:rStyle w:val="61"/>
                <w:bCs/>
                <w:color w:val="auto"/>
              </w:rPr>
              <w:t>a.原料堆放区设置于密闭厂房内（</w:t>
            </w:r>
            <w:r>
              <w:rPr>
                <w:bCs/>
                <w:color w:val="auto"/>
                <w:sz w:val="24"/>
              </w:rPr>
              <w:t>彩钢瓦四面围挡+顶棚遮盖</w:t>
            </w:r>
            <w:r>
              <w:rPr>
                <w:rStyle w:val="61"/>
                <w:bCs/>
                <w:color w:val="auto"/>
              </w:rPr>
              <w:t>）；</w:t>
            </w:r>
          </w:p>
          <w:p>
            <w:pPr>
              <w:adjustRightInd w:val="0"/>
              <w:snapToGrid w:val="0"/>
              <w:spacing w:line="360" w:lineRule="auto"/>
              <w:ind w:firstLine="480"/>
              <w:rPr>
                <w:rStyle w:val="61"/>
                <w:bCs/>
                <w:color w:val="auto"/>
              </w:rPr>
            </w:pPr>
            <w:r>
              <w:rPr>
                <w:rStyle w:val="61"/>
                <w:bCs/>
                <w:color w:val="auto"/>
              </w:rPr>
              <w:t>b.厂房内设置</w:t>
            </w:r>
            <w:r>
              <w:rPr>
                <w:rStyle w:val="61"/>
                <w:rFonts w:hint="eastAsia"/>
                <w:bCs/>
                <w:color w:val="auto"/>
                <w:lang w:eastAsia="zh-CN"/>
              </w:rPr>
              <w:t>喷雾</w:t>
            </w:r>
            <w:r>
              <w:rPr>
                <w:rStyle w:val="61"/>
                <w:bCs/>
                <w:color w:val="auto"/>
              </w:rPr>
              <w:t>洒水设施</w:t>
            </w:r>
            <w:r>
              <w:rPr>
                <w:rStyle w:val="61"/>
                <w:rFonts w:hint="eastAsia"/>
                <w:bCs/>
                <w:color w:val="auto"/>
                <w:lang w:eastAsia="zh-CN"/>
              </w:rPr>
              <w:t>（设置于厂房顶部，每隔</w:t>
            </w:r>
            <w:r>
              <w:rPr>
                <w:rStyle w:val="61"/>
                <w:rFonts w:hint="eastAsia"/>
                <w:bCs/>
                <w:color w:val="auto"/>
                <w:lang w:val="en-US" w:eastAsia="zh-CN"/>
              </w:rPr>
              <w:t>5m设置1根喷雾管道，每根管道上每隔5m设置1个喷雾头</w:t>
            </w:r>
            <w:r>
              <w:rPr>
                <w:rStyle w:val="61"/>
                <w:rFonts w:hint="eastAsia"/>
                <w:bCs/>
                <w:color w:val="auto"/>
                <w:lang w:eastAsia="zh-CN"/>
              </w:rPr>
              <w:t>）</w:t>
            </w:r>
            <w:r>
              <w:rPr>
                <w:rStyle w:val="61"/>
                <w:bCs/>
                <w:color w:val="auto"/>
              </w:rPr>
              <w:t>，在干燥、大风天气，定期对砂堆表层洒水，使物料表层含水率达10%以上，以保证砂堆面层湿润，减少风力起尘；</w:t>
            </w:r>
          </w:p>
          <w:p>
            <w:pPr>
              <w:pStyle w:val="291"/>
              <w:adjustRightInd w:val="0"/>
              <w:snapToGrid w:val="0"/>
              <w:spacing w:line="360" w:lineRule="auto"/>
              <w:ind w:firstLine="480" w:firstLineChars="200"/>
              <w:contextualSpacing/>
              <w:rPr>
                <w:rStyle w:val="61"/>
                <w:bCs/>
                <w:color w:val="auto"/>
              </w:rPr>
            </w:pPr>
            <w:r>
              <w:rPr>
                <w:rStyle w:val="61"/>
                <w:bCs/>
                <w:color w:val="auto"/>
              </w:rPr>
              <w:t>c.转运装卸物料中进行洒水抑尘作业。</w:t>
            </w:r>
          </w:p>
          <w:p>
            <w:pPr>
              <w:pStyle w:val="291"/>
              <w:adjustRightInd w:val="0"/>
              <w:snapToGrid w:val="0"/>
              <w:spacing w:line="360" w:lineRule="auto"/>
              <w:ind w:firstLine="480" w:firstLineChars="200"/>
              <w:contextualSpacing/>
              <w:rPr>
                <w:color w:val="auto"/>
                <w:sz w:val="24"/>
                <w:szCs w:val="20"/>
              </w:rPr>
            </w:pPr>
            <w:r>
              <w:rPr>
                <w:rStyle w:val="61"/>
                <w:bCs/>
                <w:color w:val="auto"/>
              </w:rPr>
              <w:t>通过采用以上措施，可保证将本项目扬尘影响降至最小。</w:t>
            </w:r>
          </w:p>
          <w:p>
            <w:pPr>
              <w:pStyle w:val="291"/>
              <w:adjustRightInd w:val="0"/>
              <w:snapToGrid w:val="0"/>
              <w:spacing w:line="360" w:lineRule="auto"/>
              <w:ind w:firstLine="482" w:firstLineChars="200"/>
              <w:contextualSpacing/>
              <w:rPr>
                <w:b/>
                <w:bCs/>
                <w:color w:val="auto"/>
                <w:sz w:val="24"/>
              </w:rPr>
            </w:pPr>
            <w:r>
              <w:rPr>
                <w:b/>
                <w:bCs/>
                <w:color w:val="auto"/>
                <w:sz w:val="24"/>
                <w:szCs w:val="20"/>
              </w:rPr>
              <w:t>（3）</w:t>
            </w:r>
            <w:r>
              <w:rPr>
                <w:b/>
                <w:bCs/>
                <w:color w:val="auto"/>
                <w:sz w:val="24"/>
              </w:rPr>
              <w:t>燃油废气、汽车尾气</w:t>
            </w:r>
          </w:p>
          <w:p>
            <w:pPr>
              <w:pStyle w:val="291"/>
              <w:adjustRightInd w:val="0"/>
              <w:snapToGrid w:val="0"/>
              <w:spacing w:line="360" w:lineRule="auto"/>
              <w:ind w:firstLine="480" w:firstLineChars="200"/>
              <w:contextualSpacing/>
              <w:rPr>
                <w:color w:val="auto"/>
                <w:sz w:val="24"/>
              </w:rPr>
            </w:pPr>
            <w:r>
              <w:rPr>
                <w:color w:val="auto"/>
                <w:sz w:val="24"/>
              </w:rPr>
              <w:t>砂、碎石、水稳层等运输车辆会产生尾气，其主要污染因子为颗粒物、CO、NO</w:t>
            </w:r>
            <w:r>
              <w:rPr>
                <w:color w:val="auto"/>
                <w:sz w:val="24"/>
                <w:vertAlign w:val="subscript"/>
              </w:rPr>
              <w:t>x</w:t>
            </w:r>
            <w:r>
              <w:rPr>
                <w:color w:val="auto"/>
                <w:sz w:val="24"/>
              </w:rPr>
              <w:t>、HC等。鉴于</w:t>
            </w:r>
            <w:r>
              <w:rPr>
                <w:rFonts w:hint="eastAsia"/>
                <w:color w:val="auto"/>
                <w:sz w:val="24"/>
                <w:lang w:eastAsia="zh-CN"/>
              </w:rPr>
              <w:t>项目周边</w:t>
            </w:r>
            <w:r>
              <w:rPr>
                <w:color w:val="auto"/>
                <w:sz w:val="24"/>
              </w:rPr>
              <w:t>场地较为开阔，汽车进出时间较短，尾气排放影响较小。车辆尾气经自然通风的扩散、迁移和稀释作用，对周边大气环境影响较小。故本环评不对运输车辆尾气作定量估算。</w:t>
            </w:r>
          </w:p>
          <w:p>
            <w:pPr>
              <w:pStyle w:val="291"/>
              <w:adjustRightInd w:val="0"/>
              <w:snapToGrid w:val="0"/>
              <w:spacing w:line="360" w:lineRule="auto"/>
              <w:ind w:firstLine="482" w:firstLineChars="200"/>
              <w:contextualSpacing/>
              <w:rPr>
                <w:color w:val="auto"/>
                <w:sz w:val="24"/>
                <w:szCs w:val="24"/>
              </w:rPr>
            </w:pPr>
            <w:r>
              <w:rPr>
                <w:b/>
                <w:bCs/>
                <w:color w:val="auto"/>
                <w:sz w:val="24"/>
              </w:rPr>
              <w:t>治理措施：</w:t>
            </w:r>
            <w:r>
              <w:rPr>
                <w:color w:val="auto"/>
                <w:sz w:val="24"/>
              </w:rPr>
              <w:t>选用符合燃油标准的油品；选择环保型设备，加强车辆和施工机械维护，确保正常使用，项目所有燃油废气、汽车尾气排放应执行《轻型汽车污染物排放限值及测量方法（中国V阶段）》（GB18352.5-2013）（2018年1月1日起实施）尾气排放标准；运输车辆按规定方向进出，减少怠速行驶，将尾气排放降到最低。</w:t>
            </w:r>
          </w:p>
          <w:p>
            <w:pPr>
              <w:adjustRightInd w:val="0"/>
              <w:snapToGrid w:val="0"/>
              <w:spacing w:line="360" w:lineRule="auto"/>
              <w:ind w:firstLine="482" w:firstLineChars="200"/>
              <w:rPr>
                <w:rFonts w:eastAsiaTheme="minorEastAsia"/>
                <w:b/>
                <w:bCs/>
                <w:color w:val="auto"/>
                <w:sz w:val="24"/>
              </w:rPr>
            </w:pPr>
            <w:r>
              <w:rPr>
                <w:b/>
                <w:bCs/>
                <w:color w:val="auto"/>
                <w:sz w:val="24"/>
              </w:rPr>
              <w:t>（4）筒仓呼吸粉尘</w:t>
            </w:r>
          </w:p>
          <w:p>
            <w:pPr>
              <w:adjustRightInd w:val="0"/>
              <w:snapToGrid w:val="0"/>
              <w:spacing w:line="360" w:lineRule="auto"/>
              <w:ind w:firstLine="480" w:firstLineChars="200"/>
              <w:rPr>
                <w:color w:val="auto"/>
                <w:sz w:val="24"/>
              </w:rPr>
            </w:pPr>
            <w:r>
              <w:rPr>
                <w:color w:val="auto"/>
                <w:sz w:val="24"/>
              </w:rPr>
              <w:t>本项目水泥采用筒仓储存，生产线设置3个筒仓，项目使用的水泥通过气力输送进入筒仓（气力输送所需的压缩空气由压缩机提供，考虑气力输送风量为8m</w:t>
            </w:r>
            <w:r>
              <w:rPr>
                <w:color w:val="auto"/>
                <w:sz w:val="24"/>
                <w:vertAlign w:val="superscript"/>
              </w:rPr>
              <w:t>3</w:t>
            </w:r>
            <w:r>
              <w:rPr>
                <w:color w:val="auto"/>
                <w:sz w:val="24"/>
              </w:rPr>
              <w:t>/min，卸料速度约为1.2t/min，单次卸料时间约30min，属间断排放。本项目粉料气体输送时间以每天1h计</w:t>
            </w:r>
            <w:r>
              <w:rPr>
                <w:rFonts w:hint="eastAsia"/>
                <w:color w:val="auto"/>
                <w:sz w:val="24"/>
                <w:lang w:eastAsia="zh-CN"/>
              </w:rPr>
              <w:t>，共计</w:t>
            </w:r>
            <w:r>
              <w:rPr>
                <w:rFonts w:hint="eastAsia"/>
                <w:color w:val="auto"/>
                <w:sz w:val="24"/>
                <w:lang w:val="en-US" w:eastAsia="zh-CN"/>
              </w:rPr>
              <w:t>300h</w:t>
            </w:r>
            <w:r>
              <w:rPr>
                <w:color w:val="auto"/>
                <w:sz w:val="24"/>
              </w:rPr>
              <w:t>），在输送过程中会从储粉罐顶部的呼吸阀中排出粉尘。</w:t>
            </w:r>
          </w:p>
          <w:p>
            <w:pPr>
              <w:adjustRightInd w:val="0"/>
              <w:snapToGrid w:val="0"/>
              <w:spacing w:line="360" w:lineRule="auto"/>
              <w:ind w:firstLine="480" w:firstLineChars="200"/>
              <w:rPr>
                <w:color w:val="auto"/>
                <w:sz w:val="24"/>
              </w:rPr>
            </w:pPr>
            <w:r>
              <w:rPr>
                <w:color w:val="auto"/>
                <w:sz w:val="24"/>
              </w:rPr>
              <w:t>本项目每年上料水泥总量为3200t。本项目共3个水泥筒仓，</w:t>
            </w:r>
            <w:r>
              <w:rPr>
                <w:rFonts w:hint="eastAsia"/>
                <w:color w:val="auto"/>
                <w:sz w:val="24"/>
                <w:lang w:eastAsia="zh-CN"/>
              </w:rPr>
              <w:t>根据《排放源统计调查产排污核算方法和系数手册》中的3021 水泥制品制造（含 3022 砼结构构件制造、3029 其他水泥类似制品制造）行业系数手册</w:t>
            </w:r>
            <w:r>
              <w:rPr>
                <w:color w:val="auto"/>
                <w:sz w:val="24"/>
              </w:rPr>
              <w:t>，</w:t>
            </w:r>
            <w:r>
              <w:rPr>
                <w:rFonts w:hint="eastAsia"/>
                <w:color w:val="auto"/>
                <w:sz w:val="24"/>
                <w:lang w:eastAsia="zh-CN"/>
              </w:rPr>
              <w:t>物料输送储存产污系数为</w:t>
            </w:r>
            <w:r>
              <w:rPr>
                <w:rFonts w:hint="eastAsia"/>
                <w:color w:val="auto"/>
                <w:sz w:val="24"/>
                <w:lang w:val="en-US" w:eastAsia="zh-CN"/>
              </w:rPr>
              <w:t>0.19</w:t>
            </w:r>
            <w:r>
              <w:rPr>
                <w:color w:val="auto"/>
                <w:sz w:val="24"/>
              </w:rPr>
              <w:t>kg/t</w:t>
            </w:r>
            <w:r>
              <w:rPr>
                <w:rFonts w:hint="eastAsia"/>
                <w:color w:val="auto"/>
                <w:sz w:val="24"/>
                <w:lang w:val="en-US" w:eastAsia="zh-CN"/>
              </w:rPr>
              <w:t>-产品</w:t>
            </w:r>
            <w:r>
              <w:rPr>
                <w:color w:val="auto"/>
                <w:sz w:val="24"/>
              </w:rPr>
              <w:t>，则水泥筒仓粉尘产生量为</w:t>
            </w:r>
            <w:r>
              <w:rPr>
                <w:rFonts w:hint="eastAsia"/>
                <w:color w:val="auto"/>
                <w:sz w:val="24"/>
                <w:lang w:val="en-US" w:eastAsia="zh-CN"/>
              </w:rPr>
              <w:t>0.608</w:t>
            </w:r>
            <w:r>
              <w:rPr>
                <w:color w:val="auto"/>
                <w:sz w:val="24"/>
              </w:rPr>
              <w:t>t/a，</w:t>
            </w:r>
            <w:r>
              <w:rPr>
                <w:rFonts w:hint="eastAsia"/>
                <w:color w:val="auto"/>
                <w:sz w:val="24"/>
                <w:lang w:eastAsia="zh-CN"/>
              </w:rPr>
              <w:t>2.03kg/h</w:t>
            </w:r>
            <w:r>
              <w:rPr>
                <w:color w:val="auto"/>
                <w:sz w:val="24"/>
              </w:rPr>
              <w:t>，每个筒仓粉尘产生量为</w:t>
            </w:r>
            <w:r>
              <w:rPr>
                <w:rFonts w:hint="eastAsia"/>
                <w:color w:val="auto"/>
                <w:sz w:val="24"/>
                <w:lang w:eastAsia="zh-CN"/>
              </w:rPr>
              <w:t>0.203t/a</w:t>
            </w:r>
            <w:r>
              <w:rPr>
                <w:color w:val="auto"/>
                <w:sz w:val="24"/>
              </w:rPr>
              <w:t>，</w:t>
            </w:r>
            <w:r>
              <w:rPr>
                <w:rFonts w:hint="eastAsia"/>
                <w:color w:val="auto"/>
                <w:sz w:val="24"/>
                <w:lang w:eastAsia="zh-CN"/>
              </w:rPr>
              <w:t>0.677kg/h</w:t>
            </w:r>
            <w:r>
              <w:rPr>
                <w:color w:val="auto"/>
                <w:sz w:val="24"/>
              </w:rPr>
              <w:t>。</w:t>
            </w:r>
          </w:p>
          <w:p>
            <w:pPr>
              <w:adjustRightInd w:val="0"/>
              <w:snapToGrid w:val="0"/>
              <w:spacing w:line="360" w:lineRule="auto"/>
              <w:ind w:firstLine="482" w:firstLineChars="200"/>
              <w:rPr>
                <w:color w:val="auto"/>
                <w:sz w:val="24"/>
              </w:rPr>
            </w:pPr>
            <w:r>
              <w:rPr>
                <w:b/>
                <w:bCs/>
                <w:color w:val="auto"/>
                <w:sz w:val="24"/>
              </w:rPr>
              <w:t>治理措施：</w:t>
            </w:r>
            <w:r>
              <w:rPr>
                <w:color w:val="auto"/>
                <w:sz w:val="24"/>
              </w:rPr>
              <w:t>本项目要求筒仓密闭，仓顶配套除尘器，在往筒仓中输送粉料时筒仓内空气排放时均经过仓顶除尘器过滤后经仓顶排放</w:t>
            </w:r>
            <w:r>
              <w:rPr>
                <w:rFonts w:hint="eastAsia"/>
                <w:color w:val="auto"/>
                <w:sz w:val="24"/>
                <w:lang w:eastAsia="zh-CN"/>
              </w:rPr>
              <w:t>，</w:t>
            </w:r>
            <w:r>
              <w:rPr>
                <w:rFonts w:hint="eastAsia"/>
                <w:b/>
                <w:bCs/>
                <w:color w:val="auto"/>
                <w:sz w:val="24"/>
                <w:lang w:eastAsia="zh-CN"/>
              </w:rPr>
              <w:t>筒仓均封闭在密闭厂房内，粉尘在厂房内部无组织排放</w:t>
            </w:r>
            <w:r>
              <w:rPr>
                <w:color w:val="auto"/>
                <w:sz w:val="24"/>
              </w:rPr>
              <w:t>。高效仓顶收尘器工作原理：当泵车向仓内送粉料时，水泥仓内、外有一定的压差，气体由仓内向外排放，利用收尘器将粉尘过滤达到净化的作用。根据</w:t>
            </w:r>
            <w:r>
              <w:rPr>
                <w:rFonts w:hint="eastAsia"/>
                <w:color w:val="auto"/>
                <w:sz w:val="24"/>
                <w:lang w:eastAsia="zh-CN"/>
              </w:rPr>
              <w:t>《排放源统计调查产排污核算方法和系数手册》</w:t>
            </w:r>
            <w:r>
              <w:rPr>
                <w:color w:val="auto"/>
                <w:sz w:val="24"/>
              </w:rPr>
              <w:t>，仓顶除尘器的除尘效率按99</w:t>
            </w:r>
            <w:r>
              <w:rPr>
                <w:rFonts w:hint="eastAsia"/>
                <w:color w:val="auto"/>
                <w:sz w:val="24"/>
                <w:lang w:val="en-US" w:eastAsia="zh-CN"/>
              </w:rPr>
              <w:t>.7</w:t>
            </w:r>
            <w:r>
              <w:rPr>
                <w:color w:val="auto"/>
                <w:sz w:val="24"/>
              </w:rPr>
              <w:t>%计算，则经除尘器处理后水泥筒仓粉尘排放量为</w:t>
            </w:r>
            <w:r>
              <w:rPr>
                <w:rFonts w:hint="eastAsia"/>
                <w:color w:val="auto"/>
                <w:sz w:val="24"/>
                <w:lang w:val="en-US" w:eastAsia="zh-CN"/>
              </w:rPr>
              <w:t>0.004256</w:t>
            </w:r>
            <w:r>
              <w:rPr>
                <w:color w:val="auto"/>
                <w:sz w:val="24"/>
              </w:rPr>
              <w:t>t/a，</w:t>
            </w:r>
            <w:r>
              <w:rPr>
                <w:rFonts w:hint="eastAsia"/>
                <w:color w:val="auto"/>
                <w:sz w:val="24"/>
                <w:lang w:val="en-US" w:eastAsia="zh-CN"/>
              </w:rPr>
              <w:t>0.0142</w:t>
            </w:r>
            <w:r>
              <w:rPr>
                <w:color w:val="auto"/>
                <w:sz w:val="24"/>
              </w:rPr>
              <w:t>kg/h，每个筒仓粉尘排放量为</w:t>
            </w:r>
            <w:r>
              <w:rPr>
                <w:rFonts w:hint="eastAsia"/>
                <w:color w:val="auto"/>
                <w:sz w:val="24"/>
                <w:lang w:val="en-US" w:eastAsia="zh-CN"/>
              </w:rPr>
              <w:t>0.00142</w:t>
            </w:r>
            <w:r>
              <w:rPr>
                <w:color w:val="auto"/>
                <w:sz w:val="24"/>
              </w:rPr>
              <w:t>t/a，</w:t>
            </w:r>
            <w:r>
              <w:rPr>
                <w:rFonts w:hint="eastAsia"/>
                <w:color w:val="auto"/>
                <w:sz w:val="24"/>
                <w:lang w:val="en-US" w:eastAsia="zh-CN"/>
              </w:rPr>
              <w:t>0.00473</w:t>
            </w:r>
            <w:r>
              <w:rPr>
                <w:color w:val="auto"/>
                <w:sz w:val="24"/>
              </w:rPr>
              <w:t>kg/h。</w:t>
            </w:r>
          </w:p>
          <w:p>
            <w:pPr>
              <w:adjustRightInd w:val="0"/>
              <w:snapToGrid w:val="0"/>
              <w:spacing w:line="360" w:lineRule="auto"/>
              <w:jc w:val="center"/>
              <w:rPr>
                <w:rFonts w:eastAsiaTheme="minorEastAsia"/>
                <w:b/>
                <w:bCs/>
                <w:color w:val="auto"/>
                <w:szCs w:val="21"/>
              </w:rPr>
            </w:pPr>
            <w:r>
              <w:rPr>
                <w:rFonts w:eastAsiaTheme="minorEastAsia"/>
                <w:b/>
                <w:bCs/>
                <w:color w:val="auto"/>
                <w:szCs w:val="21"/>
              </w:rPr>
              <w:t>表4-</w:t>
            </w:r>
            <w:r>
              <w:rPr>
                <w:b/>
                <w:bCs/>
                <w:color w:val="auto"/>
                <w:szCs w:val="21"/>
              </w:rPr>
              <w:t>5</w:t>
            </w:r>
            <w:r>
              <w:rPr>
                <w:rFonts w:hint="eastAsia"/>
                <w:b/>
                <w:bCs/>
                <w:color w:val="auto"/>
                <w:szCs w:val="21"/>
                <w:lang w:val="en-US" w:eastAsia="zh-CN"/>
              </w:rPr>
              <w:t xml:space="preserve">  </w:t>
            </w:r>
            <w:r>
              <w:rPr>
                <w:b/>
                <w:bCs/>
                <w:color w:val="auto"/>
                <w:szCs w:val="21"/>
              </w:rPr>
              <w:t>筒仓呼吸粉尘</w:t>
            </w:r>
            <w:r>
              <w:rPr>
                <w:rFonts w:eastAsiaTheme="minorEastAsia"/>
                <w:b/>
                <w:bCs/>
                <w:color w:val="auto"/>
                <w:szCs w:val="21"/>
              </w:rPr>
              <w:t>排放情况（3个筒仓共计）</w:t>
            </w:r>
          </w:p>
          <w:tbl>
            <w:tblPr>
              <w:tblStyle w:val="41"/>
              <w:tblW w:w="87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6"/>
              <w:gridCol w:w="876"/>
              <w:gridCol w:w="1021"/>
              <w:gridCol w:w="739"/>
              <w:gridCol w:w="665"/>
              <w:gridCol w:w="569"/>
              <w:gridCol w:w="749"/>
              <w:gridCol w:w="867"/>
              <w:gridCol w:w="784"/>
              <w:gridCol w:w="664"/>
              <w:gridCol w:w="6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blHeader/>
                <w:jc w:val="center"/>
              </w:trPr>
              <w:tc>
                <w:tcPr>
                  <w:tcW w:w="1196" w:type="dxa"/>
                  <w:vMerge w:val="restart"/>
                  <w:tcBorders>
                    <w:tl2br w:val="nil"/>
                    <w:tr2bl w:val="nil"/>
                  </w:tcBorders>
                  <w:shd w:val="clear" w:color="auto" w:fill="auto"/>
                  <w:vAlign w:val="center"/>
                </w:tcPr>
                <w:p>
                  <w:pPr>
                    <w:adjustRightInd w:val="0"/>
                    <w:snapToGrid w:val="0"/>
                    <w:jc w:val="center"/>
                    <w:rPr>
                      <w:rFonts w:eastAsiaTheme="minorEastAsia"/>
                      <w:b/>
                      <w:bCs/>
                      <w:color w:val="auto"/>
                      <w:szCs w:val="21"/>
                    </w:rPr>
                  </w:pPr>
                  <w:r>
                    <w:rPr>
                      <w:b/>
                      <w:bCs/>
                      <w:color w:val="auto"/>
                      <w:szCs w:val="21"/>
                    </w:rPr>
                    <w:t>工序</w:t>
                  </w:r>
                </w:p>
              </w:tc>
              <w:tc>
                <w:tcPr>
                  <w:tcW w:w="876" w:type="dxa"/>
                  <w:vMerge w:val="restart"/>
                  <w:tcBorders>
                    <w:tl2br w:val="nil"/>
                    <w:tr2bl w:val="nil"/>
                  </w:tcBorders>
                  <w:vAlign w:val="center"/>
                </w:tcPr>
                <w:p>
                  <w:pPr>
                    <w:adjustRightInd w:val="0"/>
                    <w:snapToGrid w:val="0"/>
                    <w:jc w:val="center"/>
                    <w:rPr>
                      <w:b/>
                      <w:bCs/>
                      <w:color w:val="auto"/>
                      <w:szCs w:val="21"/>
                    </w:rPr>
                  </w:pPr>
                  <w:r>
                    <w:rPr>
                      <w:b/>
                      <w:bCs/>
                      <w:color w:val="auto"/>
                      <w:szCs w:val="21"/>
                    </w:rPr>
                    <w:t>除尘设施</w:t>
                  </w:r>
                </w:p>
              </w:tc>
              <w:tc>
                <w:tcPr>
                  <w:tcW w:w="1021" w:type="dxa"/>
                  <w:vMerge w:val="restart"/>
                  <w:tcBorders>
                    <w:tl2br w:val="nil"/>
                    <w:tr2bl w:val="nil"/>
                  </w:tcBorders>
                  <w:vAlign w:val="center"/>
                </w:tcPr>
                <w:p>
                  <w:pPr>
                    <w:adjustRightInd w:val="0"/>
                    <w:snapToGrid w:val="0"/>
                    <w:jc w:val="center"/>
                    <w:rPr>
                      <w:b/>
                      <w:bCs/>
                      <w:color w:val="auto"/>
                      <w:szCs w:val="21"/>
                    </w:rPr>
                  </w:pPr>
                  <w:r>
                    <w:rPr>
                      <w:b/>
                      <w:bCs/>
                      <w:color w:val="auto"/>
                      <w:szCs w:val="21"/>
                    </w:rPr>
                    <w:t>风量（m</w:t>
                  </w:r>
                  <w:r>
                    <w:rPr>
                      <w:b/>
                      <w:bCs/>
                      <w:color w:val="auto"/>
                      <w:szCs w:val="21"/>
                      <w:vertAlign w:val="superscript"/>
                    </w:rPr>
                    <w:t>3</w:t>
                  </w:r>
                  <w:r>
                    <w:rPr>
                      <w:b/>
                      <w:bCs/>
                      <w:color w:val="auto"/>
                      <w:szCs w:val="21"/>
                    </w:rPr>
                    <w:t>/h）</w:t>
                  </w:r>
                </w:p>
              </w:tc>
              <w:tc>
                <w:tcPr>
                  <w:tcW w:w="739" w:type="dxa"/>
                  <w:vMerge w:val="restart"/>
                  <w:tcBorders>
                    <w:tl2br w:val="nil"/>
                    <w:tr2bl w:val="nil"/>
                  </w:tcBorders>
                  <w:shd w:val="clear" w:color="auto" w:fill="auto"/>
                  <w:vAlign w:val="center"/>
                </w:tcPr>
                <w:p>
                  <w:pPr>
                    <w:adjustRightInd w:val="0"/>
                    <w:snapToGrid w:val="0"/>
                    <w:jc w:val="center"/>
                    <w:rPr>
                      <w:b/>
                      <w:bCs/>
                      <w:color w:val="auto"/>
                      <w:szCs w:val="21"/>
                    </w:rPr>
                  </w:pPr>
                  <w:r>
                    <w:rPr>
                      <w:b/>
                      <w:bCs/>
                      <w:color w:val="auto"/>
                      <w:szCs w:val="21"/>
                    </w:rPr>
                    <w:t>污染物</w:t>
                  </w:r>
                </w:p>
              </w:tc>
              <w:tc>
                <w:tcPr>
                  <w:tcW w:w="1983" w:type="dxa"/>
                  <w:gridSpan w:val="3"/>
                  <w:tcBorders>
                    <w:tl2br w:val="nil"/>
                    <w:tr2bl w:val="nil"/>
                  </w:tcBorders>
                  <w:shd w:val="clear" w:color="auto" w:fill="auto"/>
                  <w:vAlign w:val="center"/>
                </w:tcPr>
                <w:p>
                  <w:pPr>
                    <w:adjustRightInd w:val="0"/>
                    <w:snapToGrid w:val="0"/>
                    <w:jc w:val="center"/>
                    <w:rPr>
                      <w:b/>
                      <w:bCs/>
                      <w:color w:val="auto"/>
                      <w:szCs w:val="21"/>
                    </w:rPr>
                  </w:pPr>
                  <w:r>
                    <w:rPr>
                      <w:b/>
                      <w:bCs/>
                      <w:color w:val="auto"/>
                      <w:szCs w:val="21"/>
                    </w:rPr>
                    <w:t>产生情况</w:t>
                  </w:r>
                </w:p>
              </w:tc>
              <w:tc>
                <w:tcPr>
                  <w:tcW w:w="2315" w:type="dxa"/>
                  <w:gridSpan w:val="3"/>
                  <w:tcBorders>
                    <w:tl2br w:val="nil"/>
                    <w:tr2bl w:val="nil"/>
                  </w:tcBorders>
                  <w:shd w:val="clear" w:color="auto" w:fill="auto"/>
                  <w:vAlign w:val="center"/>
                </w:tcPr>
                <w:p>
                  <w:pPr>
                    <w:adjustRightInd w:val="0"/>
                    <w:snapToGrid w:val="0"/>
                    <w:jc w:val="center"/>
                    <w:rPr>
                      <w:b/>
                      <w:bCs/>
                      <w:color w:val="auto"/>
                      <w:szCs w:val="21"/>
                    </w:rPr>
                  </w:pPr>
                  <w:r>
                    <w:rPr>
                      <w:b/>
                      <w:bCs/>
                      <w:color w:val="auto"/>
                      <w:szCs w:val="21"/>
                    </w:rPr>
                    <w:t>排放情况</w:t>
                  </w:r>
                </w:p>
              </w:tc>
              <w:tc>
                <w:tcPr>
                  <w:tcW w:w="668" w:type="dxa"/>
                  <w:vMerge w:val="restart"/>
                  <w:tcBorders>
                    <w:tl2br w:val="nil"/>
                    <w:tr2bl w:val="nil"/>
                  </w:tcBorders>
                  <w:shd w:val="clear" w:color="auto" w:fill="auto"/>
                  <w:vAlign w:val="center"/>
                </w:tcPr>
                <w:p>
                  <w:pPr>
                    <w:adjustRightInd w:val="0"/>
                    <w:snapToGrid w:val="0"/>
                    <w:jc w:val="center"/>
                    <w:rPr>
                      <w:b/>
                      <w:bCs/>
                      <w:color w:val="auto"/>
                      <w:szCs w:val="21"/>
                    </w:rPr>
                  </w:pPr>
                  <w:r>
                    <w:rPr>
                      <w:b/>
                      <w:bCs/>
                      <w:color w:val="auto"/>
                      <w:szCs w:val="21"/>
                    </w:rPr>
                    <w:t>处理</w:t>
                  </w:r>
                </w:p>
                <w:p>
                  <w:pPr>
                    <w:adjustRightInd w:val="0"/>
                    <w:snapToGrid w:val="0"/>
                    <w:jc w:val="center"/>
                    <w:rPr>
                      <w:b/>
                      <w:bCs/>
                      <w:color w:val="auto"/>
                      <w:szCs w:val="21"/>
                    </w:rPr>
                  </w:pPr>
                  <w:r>
                    <w:rPr>
                      <w:b/>
                      <w:bCs/>
                      <w:color w:val="auto"/>
                      <w:szCs w:val="21"/>
                    </w:rPr>
                    <w:t>效率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blHeader/>
                <w:jc w:val="center"/>
              </w:trPr>
              <w:tc>
                <w:tcPr>
                  <w:tcW w:w="1196" w:type="dxa"/>
                  <w:vMerge w:val="continue"/>
                  <w:tcBorders>
                    <w:tl2br w:val="nil"/>
                    <w:tr2bl w:val="nil"/>
                  </w:tcBorders>
                  <w:shd w:val="clear" w:color="auto" w:fill="auto"/>
                  <w:vAlign w:val="center"/>
                </w:tcPr>
                <w:p>
                  <w:pPr>
                    <w:adjustRightInd w:val="0"/>
                    <w:snapToGrid w:val="0"/>
                    <w:jc w:val="center"/>
                    <w:rPr>
                      <w:color w:val="auto"/>
                      <w:szCs w:val="21"/>
                    </w:rPr>
                  </w:pPr>
                </w:p>
              </w:tc>
              <w:tc>
                <w:tcPr>
                  <w:tcW w:w="876" w:type="dxa"/>
                  <w:vMerge w:val="continue"/>
                  <w:tcBorders>
                    <w:tl2br w:val="nil"/>
                    <w:tr2bl w:val="nil"/>
                  </w:tcBorders>
                  <w:vAlign w:val="center"/>
                </w:tcPr>
                <w:p>
                  <w:pPr>
                    <w:adjustRightInd w:val="0"/>
                    <w:snapToGrid w:val="0"/>
                    <w:jc w:val="center"/>
                    <w:rPr>
                      <w:color w:val="auto"/>
                      <w:szCs w:val="21"/>
                    </w:rPr>
                  </w:pPr>
                </w:p>
              </w:tc>
              <w:tc>
                <w:tcPr>
                  <w:tcW w:w="1021" w:type="dxa"/>
                  <w:vMerge w:val="continue"/>
                  <w:tcBorders>
                    <w:tl2br w:val="nil"/>
                    <w:tr2bl w:val="nil"/>
                  </w:tcBorders>
                  <w:vAlign w:val="center"/>
                </w:tcPr>
                <w:p>
                  <w:pPr>
                    <w:adjustRightInd w:val="0"/>
                    <w:snapToGrid w:val="0"/>
                    <w:jc w:val="center"/>
                    <w:rPr>
                      <w:color w:val="auto"/>
                      <w:szCs w:val="21"/>
                    </w:rPr>
                  </w:pPr>
                </w:p>
              </w:tc>
              <w:tc>
                <w:tcPr>
                  <w:tcW w:w="739" w:type="dxa"/>
                  <w:vMerge w:val="continue"/>
                  <w:tcBorders>
                    <w:tl2br w:val="nil"/>
                    <w:tr2bl w:val="nil"/>
                  </w:tcBorders>
                  <w:shd w:val="clear" w:color="auto" w:fill="auto"/>
                  <w:vAlign w:val="center"/>
                </w:tcPr>
                <w:p>
                  <w:pPr>
                    <w:adjustRightInd w:val="0"/>
                    <w:snapToGrid w:val="0"/>
                    <w:jc w:val="center"/>
                    <w:rPr>
                      <w:color w:val="auto"/>
                      <w:szCs w:val="21"/>
                    </w:rPr>
                  </w:pPr>
                </w:p>
              </w:tc>
              <w:tc>
                <w:tcPr>
                  <w:tcW w:w="665" w:type="dxa"/>
                  <w:tcBorders>
                    <w:tl2br w:val="nil"/>
                    <w:tr2bl w:val="nil"/>
                  </w:tcBorders>
                  <w:shd w:val="clear" w:color="auto" w:fill="auto"/>
                  <w:vAlign w:val="center"/>
                </w:tcPr>
                <w:p>
                  <w:pPr>
                    <w:adjustRightInd w:val="0"/>
                    <w:snapToGrid w:val="0"/>
                    <w:jc w:val="center"/>
                    <w:rPr>
                      <w:color w:val="auto"/>
                      <w:szCs w:val="21"/>
                    </w:rPr>
                  </w:pPr>
                  <w:r>
                    <w:rPr>
                      <w:color w:val="auto"/>
                      <w:szCs w:val="21"/>
                    </w:rPr>
                    <w:t>t/a</w:t>
                  </w:r>
                </w:p>
              </w:tc>
              <w:tc>
                <w:tcPr>
                  <w:tcW w:w="569" w:type="dxa"/>
                  <w:tcBorders>
                    <w:tl2br w:val="nil"/>
                    <w:tr2bl w:val="nil"/>
                  </w:tcBorders>
                  <w:shd w:val="clear" w:color="auto" w:fill="auto"/>
                  <w:vAlign w:val="center"/>
                </w:tcPr>
                <w:p>
                  <w:pPr>
                    <w:adjustRightInd w:val="0"/>
                    <w:snapToGrid w:val="0"/>
                    <w:jc w:val="center"/>
                    <w:rPr>
                      <w:color w:val="auto"/>
                      <w:szCs w:val="21"/>
                    </w:rPr>
                  </w:pPr>
                  <w:r>
                    <w:rPr>
                      <w:color w:val="auto"/>
                      <w:szCs w:val="21"/>
                    </w:rPr>
                    <w:t>kg/h</w:t>
                  </w:r>
                </w:p>
              </w:tc>
              <w:tc>
                <w:tcPr>
                  <w:tcW w:w="749" w:type="dxa"/>
                  <w:tcBorders>
                    <w:tl2br w:val="nil"/>
                    <w:tr2bl w:val="nil"/>
                  </w:tcBorders>
                  <w:shd w:val="clear" w:color="auto" w:fill="auto"/>
                  <w:vAlign w:val="center"/>
                </w:tcPr>
                <w:p>
                  <w:pPr>
                    <w:adjustRightInd w:val="0"/>
                    <w:snapToGrid w:val="0"/>
                    <w:jc w:val="center"/>
                    <w:rPr>
                      <w:color w:val="auto"/>
                      <w:szCs w:val="21"/>
                    </w:rPr>
                  </w:pPr>
                  <w:r>
                    <w:rPr>
                      <w:color w:val="auto"/>
                      <w:szCs w:val="21"/>
                    </w:rPr>
                    <w:t>mg/m</w:t>
                  </w:r>
                  <w:r>
                    <w:rPr>
                      <w:color w:val="auto"/>
                      <w:szCs w:val="21"/>
                      <w:vertAlign w:val="superscript"/>
                    </w:rPr>
                    <w:t>3</w:t>
                  </w:r>
                </w:p>
              </w:tc>
              <w:tc>
                <w:tcPr>
                  <w:tcW w:w="867" w:type="dxa"/>
                  <w:tcBorders>
                    <w:tl2br w:val="nil"/>
                    <w:tr2bl w:val="nil"/>
                  </w:tcBorders>
                  <w:shd w:val="clear" w:color="auto" w:fill="auto"/>
                  <w:vAlign w:val="center"/>
                </w:tcPr>
                <w:p>
                  <w:pPr>
                    <w:adjustRightInd w:val="0"/>
                    <w:snapToGrid w:val="0"/>
                    <w:jc w:val="center"/>
                    <w:rPr>
                      <w:color w:val="auto"/>
                      <w:szCs w:val="21"/>
                    </w:rPr>
                  </w:pPr>
                  <w:r>
                    <w:rPr>
                      <w:color w:val="auto"/>
                      <w:szCs w:val="21"/>
                    </w:rPr>
                    <w:t>t/a</w:t>
                  </w:r>
                </w:p>
              </w:tc>
              <w:tc>
                <w:tcPr>
                  <w:tcW w:w="784" w:type="dxa"/>
                  <w:tcBorders>
                    <w:tl2br w:val="nil"/>
                    <w:tr2bl w:val="nil"/>
                  </w:tcBorders>
                  <w:shd w:val="clear" w:color="auto" w:fill="auto"/>
                  <w:vAlign w:val="center"/>
                </w:tcPr>
                <w:p>
                  <w:pPr>
                    <w:adjustRightInd w:val="0"/>
                    <w:snapToGrid w:val="0"/>
                    <w:jc w:val="center"/>
                    <w:rPr>
                      <w:color w:val="auto"/>
                      <w:szCs w:val="21"/>
                    </w:rPr>
                  </w:pPr>
                  <w:r>
                    <w:rPr>
                      <w:color w:val="auto"/>
                      <w:szCs w:val="21"/>
                    </w:rPr>
                    <w:t>kg/h</w:t>
                  </w:r>
                </w:p>
              </w:tc>
              <w:tc>
                <w:tcPr>
                  <w:tcW w:w="664" w:type="dxa"/>
                  <w:tcBorders>
                    <w:tl2br w:val="nil"/>
                    <w:tr2bl w:val="nil"/>
                  </w:tcBorders>
                  <w:shd w:val="clear" w:color="auto" w:fill="auto"/>
                  <w:vAlign w:val="center"/>
                </w:tcPr>
                <w:p>
                  <w:pPr>
                    <w:adjustRightInd w:val="0"/>
                    <w:snapToGrid w:val="0"/>
                    <w:jc w:val="center"/>
                    <w:rPr>
                      <w:color w:val="auto"/>
                      <w:szCs w:val="21"/>
                    </w:rPr>
                  </w:pPr>
                  <w:r>
                    <w:rPr>
                      <w:color w:val="auto"/>
                      <w:szCs w:val="21"/>
                    </w:rPr>
                    <w:t>mg/m</w:t>
                  </w:r>
                  <w:r>
                    <w:rPr>
                      <w:color w:val="auto"/>
                      <w:szCs w:val="21"/>
                      <w:vertAlign w:val="superscript"/>
                    </w:rPr>
                    <w:t>3</w:t>
                  </w:r>
                </w:p>
              </w:tc>
              <w:tc>
                <w:tcPr>
                  <w:tcW w:w="668" w:type="dxa"/>
                  <w:vMerge w:val="continue"/>
                  <w:tcBorders>
                    <w:tl2br w:val="nil"/>
                    <w:tr2bl w:val="nil"/>
                  </w:tcBorders>
                  <w:shd w:val="clear" w:color="auto" w:fill="auto"/>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1196" w:type="dxa"/>
                  <w:tcBorders>
                    <w:tl2br w:val="nil"/>
                    <w:tr2bl w:val="nil"/>
                  </w:tcBorders>
                  <w:shd w:val="clear" w:color="auto" w:fill="auto"/>
                  <w:vAlign w:val="center"/>
                </w:tcPr>
                <w:p>
                  <w:pPr>
                    <w:adjustRightInd w:val="0"/>
                    <w:snapToGrid w:val="0"/>
                    <w:jc w:val="center"/>
                    <w:rPr>
                      <w:rFonts w:eastAsiaTheme="minorEastAsia"/>
                      <w:color w:val="auto"/>
                      <w:szCs w:val="21"/>
                    </w:rPr>
                  </w:pPr>
                  <w:r>
                    <w:rPr>
                      <w:color w:val="auto"/>
                      <w:szCs w:val="21"/>
                    </w:rPr>
                    <w:t>进料</w:t>
                  </w:r>
                </w:p>
              </w:tc>
              <w:tc>
                <w:tcPr>
                  <w:tcW w:w="876" w:type="dxa"/>
                  <w:tcBorders>
                    <w:tl2br w:val="nil"/>
                    <w:tr2bl w:val="nil"/>
                  </w:tcBorders>
                  <w:vAlign w:val="center"/>
                </w:tcPr>
                <w:p>
                  <w:pPr>
                    <w:adjustRightInd w:val="0"/>
                    <w:snapToGrid w:val="0"/>
                    <w:jc w:val="center"/>
                    <w:rPr>
                      <w:rFonts w:eastAsiaTheme="minorEastAsia"/>
                      <w:color w:val="auto"/>
                      <w:szCs w:val="21"/>
                    </w:rPr>
                  </w:pPr>
                  <w:r>
                    <w:rPr>
                      <w:color w:val="auto"/>
                      <w:szCs w:val="21"/>
                    </w:rPr>
                    <w:t>仓顶除尘器</w:t>
                  </w:r>
                </w:p>
              </w:tc>
              <w:tc>
                <w:tcPr>
                  <w:tcW w:w="1021" w:type="dxa"/>
                  <w:tcBorders>
                    <w:tl2br w:val="nil"/>
                    <w:tr2bl w:val="nil"/>
                  </w:tcBorders>
                  <w:vAlign w:val="center"/>
                </w:tcPr>
                <w:p>
                  <w:pPr>
                    <w:adjustRightInd w:val="0"/>
                    <w:snapToGrid w:val="0"/>
                    <w:jc w:val="center"/>
                    <w:rPr>
                      <w:color w:val="auto"/>
                      <w:szCs w:val="21"/>
                    </w:rPr>
                  </w:pPr>
                  <w:r>
                    <w:rPr>
                      <w:color w:val="auto"/>
                      <w:szCs w:val="21"/>
                    </w:rPr>
                    <w:t>5000</w:t>
                  </w:r>
                </w:p>
              </w:tc>
              <w:tc>
                <w:tcPr>
                  <w:tcW w:w="739" w:type="dxa"/>
                  <w:tcBorders>
                    <w:tl2br w:val="nil"/>
                    <w:tr2bl w:val="nil"/>
                  </w:tcBorders>
                  <w:shd w:val="clear" w:color="auto" w:fill="auto"/>
                  <w:vAlign w:val="center"/>
                </w:tcPr>
                <w:p>
                  <w:pPr>
                    <w:adjustRightInd w:val="0"/>
                    <w:snapToGrid w:val="0"/>
                    <w:jc w:val="center"/>
                    <w:rPr>
                      <w:color w:val="auto"/>
                      <w:szCs w:val="21"/>
                    </w:rPr>
                  </w:pPr>
                  <w:r>
                    <w:rPr>
                      <w:color w:val="auto"/>
                      <w:szCs w:val="21"/>
                    </w:rPr>
                    <w:t>颗粒物</w:t>
                  </w:r>
                </w:p>
              </w:tc>
              <w:tc>
                <w:tcPr>
                  <w:tcW w:w="665" w:type="dxa"/>
                  <w:tcBorders>
                    <w:tl2br w:val="nil"/>
                    <w:tr2bl w:val="nil"/>
                  </w:tcBorders>
                  <w:shd w:val="clear" w:color="auto" w:fill="auto"/>
                  <w:vAlign w:val="center"/>
                </w:tcPr>
                <w:p>
                  <w:pPr>
                    <w:widowControl/>
                    <w:adjustRightInd w:val="0"/>
                    <w:snapToGrid w:val="0"/>
                    <w:jc w:val="center"/>
                    <w:textAlignment w:val="center"/>
                    <w:rPr>
                      <w:rFonts w:hint="default" w:eastAsia="宋体"/>
                      <w:color w:val="auto"/>
                      <w:szCs w:val="21"/>
                      <w:lang w:val="en-US" w:eastAsia="zh-CN"/>
                    </w:rPr>
                  </w:pPr>
                  <w:r>
                    <w:rPr>
                      <w:rFonts w:hint="eastAsia"/>
                      <w:color w:val="auto"/>
                      <w:szCs w:val="21"/>
                      <w:lang w:val="en-US" w:eastAsia="zh-CN"/>
                    </w:rPr>
                    <w:t>0.608</w:t>
                  </w:r>
                </w:p>
              </w:tc>
              <w:tc>
                <w:tcPr>
                  <w:tcW w:w="569" w:type="dxa"/>
                  <w:tcBorders>
                    <w:tl2br w:val="nil"/>
                    <w:tr2bl w:val="nil"/>
                  </w:tcBorders>
                  <w:shd w:val="clear" w:color="auto" w:fill="auto"/>
                  <w:vAlign w:val="center"/>
                </w:tcPr>
                <w:p>
                  <w:pPr>
                    <w:widowControl/>
                    <w:adjustRightInd w:val="0"/>
                    <w:snapToGrid w:val="0"/>
                    <w:jc w:val="center"/>
                    <w:textAlignment w:val="center"/>
                    <w:rPr>
                      <w:rFonts w:hint="default" w:eastAsia="宋体"/>
                      <w:color w:val="auto"/>
                      <w:szCs w:val="21"/>
                      <w:lang w:val="en-US" w:eastAsia="zh-CN"/>
                    </w:rPr>
                  </w:pPr>
                  <w:r>
                    <w:rPr>
                      <w:rFonts w:hint="eastAsia"/>
                      <w:color w:val="auto"/>
                      <w:szCs w:val="21"/>
                      <w:lang w:val="en-US" w:eastAsia="zh-CN"/>
                    </w:rPr>
                    <w:t>2.03</w:t>
                  </w:r>
                </w:p>
              </w:tc>
              <w:tc>
                <w:tcPr>
                  <w:tcW w:w="749" w:type="dxa"/>
                  <w:tcBorders>
                    <w:tl2br w:val="nil"/>
                    <w:tr2bl w:val="nil"/>
                  </w:tcBorders>
                  <w:shd w:val="clear" w:color="auto" w:fill="auto"/>
                  <w:vAlign w:val="center"/>
                </w:tcPr>
                <w:p>
                  <w:pPr>
                    <w:widowControl/>
                    <w:adjustRightInd w:val="0"/>
                    <w:snapToGrid w:val="0"/>
                    <w:jc w:val="center"/>
                    <w:textAlignment w:val="center"/>
                    <w:rPr>
                      <w:color w:val="auto"/>
                      <w:szCs w:val="21"/>
                    </w:rPr>
                  </w:pPr>
                  <w:r>
                    <w:rPr>
                      <w:color w:val="auto"/>
                      <w:szCs w:val="21"/>
                    </w:rPr>
                    <w:t>/</w:t>
                  </w:r>
                </w:p>
              </w:tc>
              <w:tc>
                <w:tcPr>
                  <w:tcW w:w="867" w:type="dxa"/>
                  <w:tcBorders>
                    <w:tl2br w:val="nil"/>
                    <w:tr2bl w:val="nil"/>
                  </w:tcBorders>
                  <w:shd w:val="clear" w:color="auto" w:fill="auto"/>
                  <w:vAlign w:val="center"/>
                </w:tcPr>
                <w:p>
                  <w:pPr>
                    <w:widowControl/>
                    <w:adjustRightInd w:val="0"/>
                    <w:snapToGrid w:val="0"/>
                    <w:jc w:val="center"/>
                    <w:textAlignment w:val="center"/>
                    <w:rPr>
                      <w:rFonts w:hint="default" w:eastAsia="宋体"/>
                      <w:color w:val="auto"/>
                      <w:szCs w:val="21"/>
                      <w:lang w:val="en-US" w:eastAsia="zh-CN"/>
                    </w:rPr>
                  </w:pPr>
                  <w:r>
                    <w:rPr>
                      <w:rFonts w:hint="eastAsia"/>
                      <w:color w:val="auto"/>
                      <w:szCs w:val="21"/>
                      <w:lang w:val="en-US" w:eastAsia="zh-CN"/>
                    </w:rPr>
                    <w:t>0.004256</w:t>
                  </w:r>
                </w:p>
              </w:tc>
              <w:tc>
                <w:tcPr>
                  <w:tcW w:w="784" w:type="dxa"/>
                  <w:tcBorders>
                    <w:tl2br w:val="nil"/>
                    <w:tr2bl w:val="nil"/>
                  </w:tcBorders>
                  <w:shd w:val="clear" w:color="auto" w:fill="auto"/>
                  <w:vAlign w:val="center"/>
                </w:tcPr>
                <w:p>
                  <w:pPr>
                    <w:widowControl/>
                    <w:adjustRightInd w:val="0"/>
                    <w:snapToGrid w:val="0"/>
                    <w:jc w:val="center"/>
                    <w:textAlignment w:val="center"/>
                    <w:rPr>
                      <w:rFonts w:hint="default" w:eastAsia="宋体"/>
                      <w:color w:val="auto"/>
                      <w:szCs w:val="21"/>
                      <w:lang w:val="en-US" w:eastAsia="zh-CN"/>
                    </w:rPr>
                  </w:pPr>
                  <w:r>
                    <w:rPr>
                      <w:rFonts w:hint="eastAsia"/>
                      <w:color w:val="auto"/>
                      <w:szCs w:val="21"/>
                      <w:lang w:val="en-US" w:eastAsia="zh-CN"/>
                    </w:rPr>
                    <w:t>0.0142</w:t>
                  </w:r>
                </w:p>
              </w:tc>
              <w:tc>
                <w:tcPr>
                  <w:tcW w:w="664" w:type="dxa"/>
                  <w:tcBorders>
                    <w:tl2br w:val="nil"/>
                    <w:tr2bl w:val="nil"/>
                  </w:tcBorders>
                  <w:shd w:val="clear" w:color="auto" w:fill="auto"/>
                  <w:vAlign w:val="center"/>
                </w:tcPr>
                <w:p>
                  <w:pPr>
                    <w:widowControl/>
                    <w:adjustRightInd w:val="0"/>
                    <w:snapToGrid w:val="0"/>
                    <w:jc w:val="center"/>
                    <w:textAlignment w:val="center"/>
                    <w:rPr>
                      <w:rFonts w:hint="default" w:eastAsia="宋体"/>
                      <w:color w:val="auto"/>
                      <w:szCs w:val="21"/>
                      <w:lang w:val="en-US" w:eastAsia="zh-CN"/>
                    </w:rPr>
                  </w:pPr>
                  <w:r>
                    <w:rPr>
                      <w:rFonts w:hint="eastAsia"/>
                      <w:color w:val="auto"/>
                      <w:szCs w:val="21"/>
                      <w:lang w:val="en-US" w:eastAsia="zh-CN"/>
                    </w:rPr>
                    <w:t>2.84</w:t>
                  </w:r>
                </w:p>
              </w:tc>
              <w:tc>
                <w:tcPr>
                  <w:tcW w:w="668" w:type="dxa"/>
                  <w:tcBorders>
                    <w:tl2br w:val="nil"/>
                    <w:tr2bl w:val="nil"/>
                  </w:tcBorders>
                  <w:shd w:val="clear" w:color="auto" w:fill="auto"/>
                  <w:vAlign w:val="center"/>
                </w:tcPr>
                <w:p>
                  <w:pPr>
                    <w:adjustRightInd w:val="0"/>
                    <w:snapToGrid w:val="0"/>
                    <w:jc w:val="center"/>
                    <w:rPr>
                      <w:color w:val="auto"/>
                      <w:szCs w:val="21"/>
                    </w:rPr>
                  </w:pPr>
                  <w:r>
                    <w:rPr>
                      <w:color w:val="auto"/>
                      <w:szCs w:val="21"/>
                    </w:rPr>
                    <w:t>99</w:t>
                  </w:r>
                  <w:r>
                    <w:rPr>
                      <w:rFonts w:hint="eastAsia"/>
                      <w:color w:val="auto"/>
                      <w:szCs w:val="21"/>
                      <w:lang w:val="en-US" w:eastAsia="zh-CN"/>
                    </w:rPr>
                    <w:t>.7</w:t>
                  </w:r>
                  <w:r>
                    <w:rPr>
                      <w:color w:val="auto"/>
                      <w:szCs w:val="21"/>
                    </w:rPr>
                    <w:t>%</w:t>
                  </w:r>
                </w:p>
              </w:tc>
            </w:tr>
          </w:tbl>
          <w:p>
            <w:pPr>
              <w:adjustRightInd w:val="0"/>
              <w:snapToGrid w:val="0"/>
              <w:spacing w:line="360" w:lineRule="auto"/>
              <w:ind w:firstLine="482" w:firstLineChars="200"/>
              <w:rPr>
                <w:rFonts w:eastAsiaTheme="minorEastAsia"/>
                <w:b/>
                <w:bCs/>
                <w:color w:val="auto"/>
                <w:sz w:val="24"/>
              </w:rPr>
            </w:pPr>
            <w:r>
              <w:rPr>
                <w:b/>
                <w:bCs/>
                <w:color w:val="auto"/>
                <w:sz w:val="24"/>
              </w:rPr>
              <w:t>（5）</w:t>
            </w:r>
            <w:r>
              <w:rPr>
                <w:rFonts w:eastAsiaTheme="minorEastAsia"/>
                <w:b/>
                <w:bCs/>
                <w:color w:val="auto"/>
                <w:sz w:val="24"/>
              </w:rPr>
              <w:t>搅拌机拌料粉尘</w:t>
            </w:r>
          </w:p>
          <w:p>
            <w:pPr>
              <w:adjustRightInd w:val="0"/>
              <w:snapToGrid w:val="0"/>
              <w:spacing w:line="360" w:lineRule="auto"/>
              <w:ind w:firstLine="480" w:firstLineChars="200"/>
              <w:rPr>
                <w:rFonts w:eastAsiaTheme="minorEastAsia"/>
                <w:color w:val="auto"/>
                <w:sz w:val="24"/>
              </w:rPr>
            </w:pPr>
            <w:r>
              <w:rPr>
                <w:rFonts w:eastAsiaTheme="minorEastAsia"/>
                <w:color w:val="auto"/>
                <w:sz w:val="24"/>
              </w:rPr>
              <w:t>水泥及砂石料进入搅拌站进行搅拌时，搅拌翻滚过程中存在一定落差，小粒径颗粒物会飘散形成粉尘，水的加入在一定程度上可抑制粉尘的产生，但在落料的过程中还是会有一定的粉尘产生。</w:t>
            </w:r>
            <w:r>
              <w:rPr>
                <w:rFonts w:hint="eastAsia"/>
                <w:color w:val="auto"/>
                <w:sz w:val="24"/>
                <w:lang w:eastAsia="zh-CN"/>
              </w:rPr>
              <w:t>根据《排放源统计调查产排污核算方法和系数手册》中的3021 水泥制品制造（含 3022 砼结构构件制造、3029 其他水泥类似制品制造）行业系数手册</w:t>
            </w:r>
            <w:r>
              <w:rPr>
                <w:color w:val="auto"/>
                <w:sz w:val="24"/>
              </w:rPr>
              <w:t>，</w:t>
            </w:r>
            <w:r>
              <w:rPr>
                <w:rFonts w:hint="eastAsia"/>
                <w:color w:val="auto"/>
                <w:sz w:val="24"/>
                <w:lang w:eastAsia="zh-CN"/>
              </w:rPr>
              <w:t>物料混合搅拌产污系数为</w:t>
            </w:r>
            <w:r>
              <w:rPr>
                <w:rFonts w:hint="eastAsia"/>
                <w:color w:val="auto"/>
                <w:sz w:val="24"/>
                <w:lang w:val="en-US" w:eastAsia="zh-CN"/>
              </w:rPr>
              <w:t>0.523</w:t>
            </w:r>
            <w:r>
              <w:rPr>
                <w:color w:val="auto"/>
                <w:sz w:val="24"/>
              </w:rPr>
              <w:t>kg/t</w:t>
            </w:r>
            <w:r>
              <w:rPr>
                <w:rFonts w:hint="eastAsia"/>
                <w:color w:val="auto"/>
                <w:sz w:val="24"/>
                <w:lang w:val="en-US" w:eastAsia="zh-CN"/>
              </w:rPr>
              <w:t>-产品</w:t>
            </w:r>
            <w:r>
              <w:rPr>
                <w:color w:val="auto"/>
                <w:sz w:val="24"/>
              </w:rPr>
              <w:t>，</w:t>
            </w:r>
            <w:r>
              <w:rPr>
                <w:rFonts w:hint="eastAsia"/>
                <w:color w:val="auto"/>
                <w:sz w:val="24"/>
                <w:lang w:eastAsia="zh-CN"/>
              </w:rPr>
              <w:t>本项目年产</w:t>
            </w:r>
            <w:r>
              <w:rPr>
                <w:rFonts w:hint="eastAsia"/>
                <w:color w:val="auto"/>
                <w:sz w:val="24"/>
                <w:lang w:val="en-US" w:eastAsia="zh-CN"/>
              </w:rPr>
              <w:t>8万t水稳层</w:t>
            </w:r>
            <w:r>
              <w:rPr>
                <w:rFonts w:eastAsiaTheme="minorEastAsia"/>
                <w:color w:val="auto"/>
                <w:sz w:val="24"/>
              </w:rPr>
              <w:t>，</w:t>
            </w:r>
            <w:r>
              <w:rPr>
                <w:rFonts w:hint="eastAsia" w:eastAsiaTheme="minorEastAsia"/>
                <w:color w:val="auto"/>
                <w:sz w:val="24"/>
                <w:lang w:eastAsia="zh-CN"/>
              </w:rPr>
              <w:t>则</w:t>
            </w:r>
            <w:r>
              <w:rPr>
                <w:rFonts w:eastAsiaTheme="minorEastAsia"/>
                <w:color w:val="auto"/>
                <w:sz w:val="24"/>
              </w:rPr>
              <w:t>搅拌过程中的粉尘产生总量为</w:t>
            </w:r>
            <w:r>
              <w:rPr>
                <w:rFonts w:hint="eastAsia" w:eastAsiaTheme="minorEastAsia"/>
                <w:color w:val="auto"/>
                <w:sz w:val="24"/>
                <w:lang w:val="en-US" w:eastAsia="zh-CN"/>
              </w:rPr>
              <w:t>41.84</w:t>
            </w:r>
            <w:r>
              <w:rPr>
                <w:rFonts w:eastAsiaTheme="minorEastAsia"/>
                <w:color w:val="auto"/>
                <w:sz w:val="24"/>
              </w:rPr>
              <w:t>t/a</w:t>
            </w:r>
            <w:r>
              <w:rPr>
                <w:color w:val="auto"/>
                <w:sz w:val="24"/>
              </w:rPr>
              <w:t>，</w:t>
            </w:r>
            <w:r>
              <w:rPr>
                <w:rFonts w:hint="eastAsia"/>
                <w:color w:val="auto"/>
                <w:sz w:val="24"/>
                <w:lang w:val="en-US" w:eastAsia="zh-CN"/>
              </w:rPr>
              <w:t>139.5</w:t>
            </w:r>
            <w:r>
              <w:rPr>
                <w:color w:val="auto"/>
                <w:sz w:val="24"/>
              </w:rPr>
              <w:t>kg/h</w:t>
            </w:r>
            <w:r>
              <w:rPr>
                <w:rFonts w:hint="eastAsia"/>
                <w:color w:val="auto"/>
                <w:sz w:val="24"/>
                <w:lang w:eastAsia="zh-CN"/>
              </w:rPr>
              <w:t>（</w:t>
            </w:r>
            <w:r>
              <w:rPr>
                <w:rFonts w:hint="eastAsia"/>
                <w:color w:val="auto"/>
                <w:sz w:val="24"/>
                <w:lang w:val="en-US" w:eastAsia="zh-CN"/>
              </w:rPr>
              <w:t>300h</w:t>
            </w:r>
            <w:r>
              <w:rPr>
                <w:rFonts w:hint="eastAsia"/>
                <w:color w:val="auto"/>
                <w:sz w:val="24"/>
                <w:lang w:eastAsia="zh-CN"/>
              </w:rPr>
              <w:t>）</w:t>
            </w:r>
            <w:r>
              <w:rPr>
                <w:rFonts w:eastAsiaTheme="minorEastAsia"/>
                <w:color w:val="auto"/>
                <w:sz w:val="24"/>
              </w:rPr>
              <w:t>。</w:t>
            </w:r>
          </w:p>
          <w:p>
            <w:pPr>
              <w:adjustRightInd w:val="0"/>
              <w:snapToGrid w:val="0"/>
              <w:spacing w:line="360" w:lineRule="auto"/>
              <w:ind w:firstLine="482" w:firstLineChars="200"/>
              <w:rPr>
                <w:rFonts w:eastAsiaTheme="minorEastAsia"/>
                <w:b/>
                <w:bCs/>
                <w:color w:val="auto"/>
                <w:sz w:val="24"/>
              </w:rPr>
            </w:pPr>
            <w:r>
              <w:rPr>
                <w:b/>
                <w:bCs/>
                <w:color w:val="auto"/>
                <w:sz w:val="24"/>
              </w:rPr>
              <w:t>治理措施</w:t>
            </w:r>
            <w:r>
              <w:rPr>
                <w:rFonts w:eastAsiaTheme="minorEastAsia"/>
                <w:b/>
                <w:bCs/>
                <w:color w:val="auto"/>
                <w:sz w:val="24"/>
              </w:rPr>
              <w:t>：</w:t>
            </w:r>
            <w:r>
              <w:rPr>
                <w:rFonts w:eastAsiaTheme="minorEastAsia"/>
                <w:color w:val="auto"/>
                <w:sz w:val="24"/>
              </w:rPr>
              <w:t>本项目搅拌</w:t>
            </w:r>
            <w:r>
              <w:rPr>
                <w:color w:val="auto"/>
                <w:sz w:val="24"/>
              </w:rPr>
              <w:t>为湿法搅拌，搅拌机搅拌时为密闭状态，搅拌机</w:t>
            </w:r>
            <w:r>
              <w:rPr>
                <w:rFonts w:eastAsiaTheme="minorEastAsia"/>
                <w:color w:val="auto"/>
                <w:sz w:val="24"/>
              </w:rPr>
              <w:t>设置在</w:t>
            </w:r>
            <w:r>
              <w:rPr>
                <w:color w:val="auto"/>
                <w:sz w:val="24"/>
              </w:rPr>
              <w:t>密闭</w:t>
            </w:r>
            <w:r>
              <w:rPr>
                <w:rFonts w:eastAsiaTheme="minorEastAsia"/>
                <w:color w:val="auto"/>
                <w:sz w:val="24"/>
              </w:rPr>
              <w:t>搅拌楼内，搅拌</w:t>
            </w:r>
            <w:r>
              <w:rPr>
                <w:color w:val="auto"/>
                <w:sz w:val="24"/>
              </w:rPr>
              <w:t>粉尘在密闭</w:t>
            </w:r>
            <w:r>
              <w:rPr>
                <w:rFonts w:eastAsiaTheme="minorEastAsia"/>
                <w:color w:val="auto"/>
                <w:sz w:val="24"/>
              </w:rPr>
              <w:t>搅拌楼内</w:t>
            </w:r>
            <w:r>
              <w:rPr>
                <w:color w:val="auto"/>
                <w:sz w:val="24"/>
              </w:rPr>
              <w:t>无组织排放，除</w:t>
            </w:r>
            <w:r>
              <w:rPr>
                <w:bCs/>
                <w:color w:val="auto"/>
                <w:sz w:val="24"/>
              </w:rPr>
              <w:t>尘</w:t>
            </w:r>
            <w:r>
              <w:rPr>
                <w:color w:val="auto"/>
                <w:sz w:val="24"/>
              </w:rPr>
              <w:t>效率</w:t>
            </w:r>
            <w:r>
              <w:rPr>
                <w:rFonts w:eastAsiaTheme="minorEastAsia"/>
                <w:color w:val="auto"/>
                <w:sz w:val="24"/>
              </w:rPr>
              <w:t>按</w:t>
            </w:r>
            <w:r>
              <w:rPr>
                <w:color w:val="auto"/>
                <w:sz w:val="24"/>
              </w:rPr>
              <w:t>98</w:t>
            </w:r>
            <w:r>
              <w:rPr>
                <w:rFonts w:eastAsiaTheme="minorEastAsia"/>
                <w:color w:val="auto"/>
                <w:sz w:val="24"/>
              </w:rPr>
              <w:t>%考虑</w:t>
            </w:r>
            <w:r>
              <w:rPr>
                <w:color w:val="auto"/>
                <w:sz w:val="24"/>
              </w:rPr>
              <w:t>，则无组织排放粉尘量为</w:t>
            </w:r>
            <w:r>
              <w:rPr>
                <w:rFonts w:hint="eastAsia"/>
                <w:color w:val="auto"/>
                <w:sz w:val="24"/>
                <w:lang w:val="en-US" w:eastAsia="zh-CN"/>
              </w:rPr>
              <w:t>0.84</w:t>
            </w:r>
            <w:r>
              <w:rPr>
                <w:rFonts w:eastAsiaTheme="minorEastAsia"/>
                <w:color w:val="auto"/>
                <w:sz w:val="24"/>
              </w:rPr>
              <w:t>t/a</w:t>
            </w:r>
            <w:r>
              <w:rPr>
                <w:color w:val="auto"/>
                <w:sz w:val="24"/>
              </w:rPr>
              <w:t>，</w:t>
            </w:r>
            <w:r>
              <w:rPr>
                <w:rFonts w:hint="eastAsia"/>
                <w:color w:val="auto"/>
                <w:sz w:val="24"/>
                <w:lang w:val="en-US" w:eastAsia="zh-CN"/>
              </w:rPr>
              <w:t>2.8</w:t>
            </w:r>
            <w:r>
              <w:rPr>
                <w:color w:val="auto"/>
                <w:sz w:val="24"/>
              </w:rPr>
              <w:t>kg/h，为可行性技术</w:t>
            </w:r>
            <w:r>
              <w:rPr>
                <w:bCs/>
                <w:color w:val="auto"/>
                <w:sz w:val="24"/>
              </w:rPr>
              <w:t>。</w:t>
            </w:r>
          </w:p>
          <w:p>
            <w:pPr>
              <w:adjustRightInd w:val="0"/>
              <w:snapToGrid w:val="0"/>
              <w:spacing w:line="360" w:lineRule="auto"/>
              <w:ind w:firstLine="482" w:firstLineChars="200"/>
              <w:rPr>
                <w:b/>
                <w:color w:val="auto"/>
                <w:sz w:val="24"/>
              </w:rPr>
            </w:pPr>
            <w:r>
              <w:rPr>
                <w:b/>
                <w:color w:val="auto"/>
                <w:sz w:val="24"/>
              </w:rPr>
              <w:t>（6）达标情况分析</w:t>
            </w:r>
          </w:p>
          <w:p>
            <w:pPr>
              <w:tabs>
                <w:tab w:val="left" w:pos="5670"/>
              </w:tabs>
              <w:adjustRightInd w:val="0"/>
              <w:snapToGrid w:val="0"/>
              <w:spacing w:line="360" w:lineRule="auto"/>
              <w:ind w:firstLine="480" w:firstLineChars="200"/>
              <w:rPr>
                <w:bCs/>
                <w:color w:val="auto"/>
                <w:sz w:val="24"/>
              </w:rPr>
            </w:pPr>
            <w:r>
              <w:rPr>
                <w:bCs/>
                <w:color w:val="auto"/>
                <w:sz w:val="24"/>
              </w:rPr>
              <w:t>根据前面分析，项目厂区采取“彩钢瓦四面围挡+顶棚遮盖+喷淋降尘”措施，储粉罐顶部设置除尘器措施</w:t>
            </w:r>
            <w:r>
              <w:rPr>
                <w:rFonts w:hint="eastAsia"/>
                <w:bCs/>
                <w:color w:val="auto"/>
                <w:sz w:val="24"/>
                <w:lang w:eastAsia="zh-CN"/>
              </w:rPr>
              <w:t>并将筒仓封闭在密闭厂房内</w:t>
            </w:r>
            <w:r>
              <w:rPr>
                <w:bCs/>
                <w:color w:val="auto"/>
                <w:sz w:val="24"/>
              </w:rPr>
              <w:t>，搅拌机采取湿法搅拌，搅拌时密闭，搅拌机设置在密闭搅拌楼内等措施。可以使项目废气污染物排放满足《</w:t>
            </w:r>
            <w:r>
              <w:rPr>
                <w:rFonts w:hint="eastAsia"/>
                <w:bCs/>
                <w:color w:val="auto"/>
                <w:sz w:val="24"/>
                <w:lang w:eastAsia="zh-CN"/>
              </w:rPr>
              <w:t>四川省水泥工业大气污染物排放标准</w:t>
            </w:r>
            <w:r>
              <w:rPr>
                <w:bCs/>
                <w:color w:val="auto"/>
                <w:sz w:val="24"/>
              </w:rPr>
              <w:t>》（</w:t>
            </w:r>
            <w:r>
              <w:rPr>
                <w:rFonts w:hint="eastAsia"/>
                <w:bCs/>
                <w:color w:val="auto"/>
                <w:sz w:val="24"/>
                <w:lang w:eastAsia="zh-CN"/>
              </w:rPr>
              <w:t>DB51/2864-2021</w:t>
            </w:r>
            <w:r>
              <w:rPr>
                <w:bCs/>
                <w:color w:val="auto"/>
                <w:sz w:val="24"/>
              </w:rPr>
              <w:t>）中排放要求。</w:t>
            </w:r>
          </w:p>
          <w:p>
            <w:pPr>
              <w:adjustRightInd w:val="0"/>
              <w:snapToGrid w:val="0"/>
              <w:spacing w:line="360" w:lineRule="auto"/>
              <w:ind w:firstLine="482" w:firstLineChars="200"/>
              <w:rPr>
                <w:b/>
                <w:color w:val="auto"/>
                <w:sz w:val="24"/>
              </w:rPr>
            </w:pPr>
            <w:r>
              <w:rPr>
                <w:b/>
                <w:color w:val="auto"/>
                <w:sz w:val="24"/>
              </w:rPr>
              <w:t>（7）监测要求</w:t>
            </w:r>
          </w:p>
          <w:p>
            <w:pPr>
              <w:adjustRightInd w:val="0"/>
              <w:snapToGrid w:val="0"/>
              <w:spacing w:line="360" w:lineRule="auto"/>
              <w:ind w:firstLine="440" w:firstLineChars="200"/>
              <w:rPr>
                <w:b/>
                <w:color w:val="auto"/>
                <w:sz w:val="24"/>
              </w:rPr>
            </w:pPr>
            <w:r>
              <w:rPr>
                <w:bCs/>
                <w:color w:val="auto"/>
                <w:spacing w:val="-10"/>
                <w:sz w:val="24"/>
              </w:rPr>
              <w:t>本项目为</w:t>
            </w:r>
            <w:r>
              <w:rPr>
                <w:color w:val="auto"/>
                <w:sz w:val="24"/>
              </w:rPr>
              <w:t>C</w:t>
            </w:r>
            <w:r>
              <w:rPr>
                <w:rFonts w:hint="eastAsia"/>
                <w:color w:val="auto"/>
                <w:sz w:val="24"/>
                <w:lang w:val="en-US" w:eastAsia="zh-CN"/>
              </w:rPr>
              <w:t xml:space="preserve"> </w:t>
            </w:r>
            <w:r>
              <w:rPr>
                <w:color w:val="auto"/>
                <w:sz w:val="24"/>
              </w:rPr>
              <w:t>3029其他水泥类似制品制造，根据《固定污染源排污许可分类管理名录》（2019版），本项目为登记管理。根据《排污单位自行监测技术指南 总则》（HJ819-2017）5.3.3.2要求，本项目监测计划如下：</w:t>
            </w:r>
          </w:p>
          <w:p>
            <w:pPr>
              <w:adjustRightInd w:val="0"/>
              <w:snapToGrid w:val="0"/>
              <w:spacing w:line="360" w:lineRule="auto"/>
              <w:jc w:val="center"/>
              <w:rPr>
                <w:b/>
                <w:color w:val="auto"/>
                <w:szCs w:val="21"/>
              </w:rPr>
            </w:pPr>
            <w:r>
              <w:rPr>
                <w:b/>
                <w:color w:val="auto"/>
                <w:szCs w:val="21"/>
              </w:rPr>
              <w:t>表4-</w:t>
            </w:r>
            <w:r>
              <w:rPr>
                <w:rFonts w:hint="eastAsia"/>
                <w:b/>
                <w:color w:val="auto"/>
                <w:szCs w:val="21"/>
                <w:lang w:val="en-US" w:eastAsia="zh-CN"/>
              </w:rPr>
              <w:t>6</w:t>
            </w:r>
            <w:r>
              <w:rPr>
                <w:b/>
                <w:color w:val="auto"/>
                <w:szCs w:val="21"/>
              </w:rPr>
              <w:t xml:space="preserve">  项目监测计划表</w:t>
            </w:r>
          </w:p>
          <w:tbl>
            <w:tblPr>
              <w:tblStyle w:val="4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4"/>
              <w:gridCol w:w="3137"/>
              <w:gridCol w:w="1342"/>
              <w:gridCol w:w="1328"/>
              <w:gridCol w:w="22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5" w:type="pct"/>
                  <w:tcBorders>
                    <w:tl2br w:val="nil"/>
                    <w:tr2bl w:val="nil"/>
                  </w:tcBorders>
                  <w:noWrap/>
                  <w:vAlign w:val="center"/>
                </w:tcPr>
                <w:p>
                  <w:pPr>
                    <w:adjustRightInd w:val="0"/>
                    <w:snapToGrid w:val="0"/>
                    <w:jc w:val="center"/>
                    <w:rPr>
                      <w:b/>
                      <w:bCs/>
                      <w:color w:val="auto"/>
                      <w:szCs w:val="21"/>
                    </w:rPr>
                  </w:pPr>
                  <w:r>
                    <w:rPr>
                      <w:b/>
                      <w:bCs/>
                      <w:color w:val="auto"/>
                      <w:szCs w:val="21"/>
                    </w:rPr>
                    <w:t>类别</w:t>
                  </w:r>
                </w:p>
              </w:tc>
              <w:tc>
                <w:tcPr>
                  <w:tcW w:w="1775" w:type="pct"/>
                  <w:tcBorders>
                    <w:tl2br w:val="nil"/>
                    <w:tr2bl w:val="nil"/>
                  </w:tcBorders>
                  <w:noWrap/>
                  <w:vAlign w:val="center"/>
                </w:tcPr>
                <w:p>
                  <w:pPr>
                    <w:adjustRightInd w:val="0"/>
                    <w:snapToGrid w:val="0"/>
                    <w:jc w:val="center"/>
                    <w:rPr>
                      <w:b/>
                      <w:bCs/>
                      <w:color w:val="auto"/>
                      <w:szCs w:val="21"/>
                    </w:rPr>
                  </w:pPr>
                  <w:r>
                    <w:rPr>
                      <w:b/>
                      <w:bCs/>
                      <w:color w:val="auto"/>
                      <w:szCs w:val="21"/>
                    </w:rPr>
                    <w:t>监测点位</w:t>
                  </w:r>
                </w:p>
              </w:tc>
              <w:tc>
                <w:tcPr>
                  <w:tcW w:w="760" w:type="pct"/>
                  <w:tcBorders>
                    <w:tl2br w:val="nil"/>
                    <w:tr2bl w:val="nil"/>
                  </w:tcBorders>
                  <w:noWrap/>
                  <w:vAlign w:val="center"/>
                </w:tcPr>
                <w:p>
                  <w:pPr>
                    <w:adjustRightInd w:val="0"/>
                    <w:snapToGrid w:val="0"/>
                    <w:jc w:val="center"/>
                    <w:rPr>
                      <w:b/>
                      <w:bCs/>
                      <w:color w:val="auto"/>
                      <w:szCs w:val="21"/>
                    </w:rPr>
                  </w:pPr>
                  <w:r>
                    <w:rPr>
                      <w:b/>
                      <w:bCs/>
                      <w:color w:val="auto"/>
                      <w:szCs w:val="21"/>
                    </w:rPr>
                    <w:t>监测项目</w:t>
                  </w:r>
                </w:p>
              </w:tc>
              <w:tc>
                <w:tcPr>
                  <w:tcW w:w="752" w:type="pct"/>
                  <w:tcBorders>
                    <w:tl2br w:val="nil"/>
                    <w:tr2bl w:val="nil"/>
                  </w:tcBorders>
                  <w:noWrap/>
                  <w:vAlign w:val="center"/>
                </w:tcPr>
                <w:p>
                  <w:pPr>
                    <w:adjustRightInd w:val="0"/>
                    <w:snapToGrid w:val="0"/>
                    <w:jc w:val="center"/>
                    <w:rPr>
                      <w:b/>
                      <w:bCs/>
                      <w:color w:val="auto"/>
                      <w:szCs w:val="21"/>
                    </w:rPr>
                  </w:pPr>
                  <w:r>
                    <w:rPr>
                      <w:b/>
                      <w:bCs/>
                      <w:color w:val="auto"/>
                      <w:szCs w:val="21"/>
                    </w:rPr>
                    <w:t>监测频次</w:t>
                  </w:r>
                </w:p>
              </w:tc>
              <w:tc>
                <w:tcPr>
                  <w:tcW w:w="1255" w:type="pct"/>
                  <w:tcBorders>
                    <w:tl2br w:val="nil"/>
                    <w:tr2bl w:val="nil"/>
                  </w:tcBorders>
                  <w:noWrap/>
                  <w:vAlign w:val="center"/>
                </w:tcPr>
                <w:p>
                  <w:pPr>
                    <w:adjustRightInd w:val="0"/>
                    <w:snapToGrid w:val="0"/>
                    <w:jc w:val="center"/>
                    <w:rPr>
                      <w:b/>
                      <w:bCs/>
                      <w:color w:val="auto"/>
                      <w:szCs w:val="21"/>
                    </w:rPr>
                  </w:pPr>
                  <w:r>
                    <w:rPr>
                      <w:b/>
                      <w:bCs/>
                      <w:color w:val="auto"/>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455" w:type="pct"/>
                  <w:vMerge w:val="restart"/>
                  <w:tcBorders>
                    <w:tl2br w:val="nil"/>
                    <w:tr2bl w:val="nil"/>
                  </w:tcBorders>
                  <w:noWrap/>
                  <w:vAlign w:val="center"/>
                </w:tcPr>
                <w:p>
                  <w:pPr>
                    <w:adjustRightInd w:val="0"/>
                    <w:snapToGrid w:val="0"/>
                    <w:jc w:val="center"/>
                    <w:rPr>
                      <w:color w:val="auto"/>
                      <w:szCs w:val="21"/>
                    </w:rPr>
                  </w:pPr>
                  <w:r>
                    <w:rPr>
                      <w:color w:val="auto"/>
                      <w:szCs w:val="21"/>
                    </w:rPr>
                    <w:t>废气</w:t>
                  </w:r>
                </w:p>
              </w:tc>
              <w:tc>
                <w:tcPr>
                  <w:tcW w:w="3004" w:type="dxa"/>
                  <w:tcBorders>
                    <w:tl2br w:val="nil"/>
                    <w:tr2bl w:val="nil"/>
                  </w:tcBorders>
                  <w:noWrap/>
                  <w:vAlign w:val="center"/>
                </w:tcPr>
                <w:p>
                  <w:pPr>
                    <w:adjustRightInd w:val="0"/>
                    <w:snapToGrid w:val="0"/>
                    <w:jc w:val="center"/>
                    <w:rPr>
                      <w:color w:val="auto"/>
                      <w:szCs w:val="21"/>
                    </w:rPr>
                  </w:pPr>
                  <w:r>
                    <w:rPr>
                      <w:color w:val="auto"/>
                      <w:szCs w:val="21"/>
                    </w:rPr>
                    <w:t>项目厂界上风向2~50m范围内设置1个参照点</w:t>
                  </w:r>
                </w:p>
              </w:tc>
              <w:tc>
                <w:tcPr>
                  <w:tcW w:w="760" w:type="pct"/>
                  <w:tcBorders>
                    <w:tl2br w:val="nil"/>
                    <w:tr2bl w:val="nil"/>
                  </w:tcBorders>
                  <w:noWrap/>
                  <w:vAlign w:val="center"/>
                </w:tcPr>
                <w:p>
                  <w:pPr>
                    <w:adjustRightInd w:val="0"/>
                    <w:snapToGrid w:val="0"/>
                    <w:jc w:val="center"/>
                    <w:rPr>
                      <w:color w:val="auto"/>
                      <w:szCs w:val="21"/>
                    </w:rPr>
                  </w:pPr>
                  <w:r>
                    <w:rPr>
                      <w:color w:val="auto"/>
                      <w:szCs w:val="21"/>
                    </w:rPr>
                    <w:t>颗粒物</w:t>
                  </w:r>
                </w:p>
              </w:tc>
              <w:tc>
                <w:tcPr>
                  <w:tcW w:w="752" w:type="pct"/>
                  <w:tcBorders>
                    <w:tl2br w:val="nil"/>
                    <w:tr2bl w:val="nil"/>
                  </w:tcBorders>
                  <w:noWrap/>
                  <w:vAlign w:val="center"/>
                </w:tcPr>
                <w:p>
                  <w:pPr>
                    <w:adjustRightInd w:val="0"/>
                    <w:snapToGrid w:val="0"/>
                    <w:jc w:val="center"/>
                    <w:rPr>
                      <w:color w:val="auto"/>
                      <w:szCs w:val="21"/>
                    </w:rPr>
                  </w:pPr>
                  <w:r>
                    <w:rPr>
                      <w:color w:val="auto"/>
                      <w:szCs w:val="21"/>
                    </w:rPr>
                    <w:t>年/次</w:t>
                  </w:r>
                </w:p>
              </w:tc>
              <w:tc>
                <w:tcPr>
                  <w:tcW w:w="1255" w:type="pct"/>
                  <w:vMerge w:val="restart"/>
                  <w:tcBorders>
                    <w:tl2br w:val="nil"/>
                    <w:tr2bl w:val="nil"/>
                  </w:tcBorders>
                  <w:noWrap/>
                  <w:vAlign w:val="center"/>
                </w:tcPr>
                <w:p>
                  <w:pPr>
                    <w:adjustRightInd w:val="0"/>
                    <w:snapToGrid w:val="0"/>
                    <w:jc w:val="center"/>
                    <w:rPr>
                      <w:color w:val="auto"/>
                      <w:szCs w:val="21"/>
                    </w:rPr>
                  </w:pPr>
                  <w:r>
                    <w:rPr>
                      <w:color w:val="auto"/>
                      <w:szCs w:val="21"/>
                    </w:rPr>
                    <w:t>《</w:t>
                  </w:r>
                  <w:r>
                    <w:rPr>
                      <w:rFonts w:hint="eastAsia"/>
                      <w:color w:val="auto"/>
                      <w:szCs w:val="21"/>
                      <w:lang w:eastAsia="zh-CN"/>
                    </w:rPr>
                    <w:t>四川省水泥工业大气污染物排放标准</w:t>
                  </w:r>
                  <w:r>
                    <w:rPr>
                      <w:color w:val="auto"/>
                      <w:szCs w:val="21"/>
                    </w:rPr>
                    <w:t>》（</w:t>
                  </w:r>
                  <w:r>
                    <w:rPr>
                      <w:rFonts w:hint="eastAsia"/>
                      <w:color w:val="auto"/>
                      <w:szCs w:val="21"/>
                      <w:lang w:eastAsia="zh-CN"/>
                    </w:rPr>
                    <w:t>DB51/2864-2021</w:t>
                  </w:r>
                  <w:r>
                    <w:rPr>
                      <w:color w:val="auto"/>
                      <w:szCs w:val="21"/>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trPr>
              <w:tc>
                <w:tcPr>
                  <w:tcW w:w="455" w:type="pct"/>
                  <w:vMerge w:val="continue"/>
                  <w:tcBorders>
                    <w:tl2br w:val="nil"/>
                    <w:tr2bl w:val="nil"/>
                  </w:tcBorders>
                  <w:noWrap/>
                  <w:vAlign w:val="center"/>
                </w:tcPr>
                <w:p>
                  <w:pPr>
                    <w:adjustRightInd w:val="0"/>
                    <w:snapToGrid w:val="0"/>
                    <w:jc w:val="center"/>
                    <w:rPr>
                      <w:color w:val="auto"/>
                      <w:szCs w:val="21"/>
                    </w:rPr>
                  </w:pPr>
                </w:p>
              </w:tc>
              <w:tc>
                <w:tcPr>
                  <w:tcW w:w="3004" w:type="dxa"/>
                  <w:tcBorders>
                    <w:tl2br w:val="nil"/>
                    <w:tr2bl w:val="nil"/>
                  </w:tcBorders>
                  <w:noWrap/>
                  <w:vAlign w:val="center"/>
                </w:tcPr>
                <w:p>
                  <w:pPr>
                    <w:adjustRightInd w:val="0"/>
                    <w:snapToGrid w:val="0"/>
                    <w:jc w:val="center"/>
                    <w:rPr>
                      <w:color w:val="auto"/>
                      <w:szCs w:val="21"/>
                    </w:rPr>
                  </w:pPr>
                  <w:r>
                    <w:rPr>
                      <w:color w:val="auto"/>
                      <w:szCs w:val="21"/>
                    </w:rPr>
                    <w:t>项目厂界下风向2~50m范围内浓度最高点设置2个监控点</w:t>
                  </w:r>
                </w:p>
              </w:tc>
              <w:tc>
                <w:tcPr>
                  <w:tcW w:w="760" w:type="pct"/>
                  <w:tcBorders>
                    <w:tl2br w:val="nil"/>
                    <w:tr2bl w:val="nil"/>
                  </w:tcBorders>
                  <w:noWrap/>
                  <w:vAlign w:val="center"/>
                </w:tcPr>
                <w:p>
                  <w:pPr>
                    <w:adjustRightInd w:val="0"/>
                    <w:snapToGrid w:val="0"/>
                    <w:jc w:val="center"/>
                    <w:rPr>
                      <w:color w:val="auto"/>
                      <w:szCs w:val="21"/>
                    </w:rPr>
                  </w:pPr>
                  <w:r>
                    <w:rPr>
                      <w:color w:val="auto"/>
                      <w:szCs w:val="21"/>
                    </w:rPr>
                    <w:t>颗粒物</w:t>
                  </w:r>
                </w:p>
              </w:tc>
              <w:tc>
                <w:tcPr>
                  <w:tcW w:w="752" w:type="pct"/>
                  <w:tcBorders>
                    <w:tl2br w:val="nil"/>
                    <w:tr2bl w:val="nil"/>
                  </w:tcBorders>
                  <w:noWrap/>
                  <w:vAlign w:val="center"/>
                </w:tcPr>
                <w:p>
                  <w:pPr>
                    <w:adjustRightInd w:val="0"/>
                    <w:snapToGrid w:val="0"/>
                    <w:jc w:val="center"/>
                    <w:rPr>
                      <w:color w:val="auto"/>
                      <w:szCs w:val="21"/>
                    </w:rPr>
                  </w:pPr>
                  <w:r>
                    <w:rPr>
                      <w:color w:val="auto"/>
                      <w:szCs w:val="21"/>
                    </w:rPr>
                    <w:t>年/次</w:t>
                  </w:r>
                </w:p>
              </w:tc>
              <w:tc>
                <w:tcPr>
                  <w:tcW w:w="1255" w:type="pct"/>
                  <w:vMerge w:val="continue"/>
                  <w:tcBorders>
                    <w:tl2br w:val="nil"/>
                    <w:tr2bl w:val="nil"/>
                  </w:tcBorders>
                  <w:noWrap/>
                  <w:vAlign w:val="center"/>
                </w:tcPr>
                <w:p>
                  <w:pPr>
                    <w:adjustRightInd w:val="0"/>
                    <w:snapToGrid w:val="0"/>
                    <w:jc w:val="center"/>
                    <w:rPr>
                      <w:color w:val="auto"/>
                      <w:szCs w:val="21"/>
                    </w:rPr>
                  </w:pPr>
                </w:p>
              </w:tc>
            </w:tr>
          </w:tbl>
          <w:p>
            <w:pPr>
              <w:adjustRightInd w:val="0"/>
              <w:snapToGrid w:val="0"/>
              <w:spacing w:line="360" w:lineRule="auto"/>
              <w:ind w:firstLine="482" w:firstLineChars="200"/>
              <w:rPr>
                <w:b/>
                <w:bCs/>
                <w:color w:val="auto"/>
                <w:sz w:val="24"/>
              </w:rPr>
            </w:pPr>
            <w:r>
              <w:rPr>
                <w:b/>
                <w:bCs/>
                <w:color w:val="auto"/>
                <w:sz w:val="24"/>
              </w:rPr>
              <w:t>综上所述，本项目产生的废气经相应措施处理后，均能达标排放，对项目所在地周围大气环境产生影响较小。</w:t>
            </w:r>
          </w:p>
          <w:p>
            <w:pPr>
              <w:pStyle w:val="3"/>
              <w:keepNext w:val="0"/>
              <w:overflowPunct/>
              <w:adjustRightInd w:val="0"/>
              <w:spacing w:before="0" w:after="0" w:line="360" w:lineRule="auto"/>
              <w:ind w:firstLine="0"/>
              <w:rPr>
                <w:rFonts w:ascii="Times New Roman" w:hAnsi="Times New Roman" w:eastAsiaTheme="minorEastAsia"/>
                <w:color w:val="auto"/>
                <w:kern w:val="2"/>
                <w:sz w:val="21"/>
                <w:szCs w:val="21"/>
              </w:rPr>
            </w:pPr>
            <w:r>
              <w:rPr>
                <w:rFonts w:ascii="Times New Roman" w:hAnsi="Times New Roman" w:eastAsiaTheme="minorEastAsia"/>
                <w:color w:val="auto"/>
                <w:kern w:val="2"/>
                <w:sz w:val="21"/>
                <w:szCs w:val="21"/>
              </w:rPr>
              <w:t>表4-</w:t>
            </w:r>
            <w:r>
              <w:rPr>
                <w:rFonts w:hint="eastAsia" w:ascii="Times New Roman" w:hAnsi="Times New Roman" w:eastAsiaTheme="minorEastAsia"/>
                <w:color w:val="auto"/>
                <w:kern w:val="2"/>
                <w:sz w:val="21"/>
                <w:szCs w:val="21"/>
                <w:lang w:val="en-US" w:eastAsia="zh-CN"/>
              </w:rPr>
              <w:t>7</w:t>
            </w:r>
            <w:r>
              <w:rPr>
                <w:rFonts w:ascii="Times New Roman" w:hAnsi="Times New Roman" w:eastAsiaTheme="minorEastAsia"/>
                <w:color w:val="auto"/>
                <w:kern w:val="2"/>
                <w:sz w:val="21"/>
                <w:szCs w:val="21"/>
              </w:rPr>
              <w:t xml:space="preserve">  项目产尘点位表</w:t>
            </w:r>
          </w:p>
          <w:tbl>
            <w:tblPr>
              <w:tblStyle w:val="42"/>
              <w:tblW w:w="88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6"/>
              <w:gridCol w:w="1974"/>
              <w:gridCol w:w="2703"/>
              <w:gridCol w:w="1814"/>
              <w:gridCol w:w="15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46" w:type="dxa"/>
                  <w:tcBorders>
                    <w:tl2br w:val="nil"/>
                    <w:tr2bl w:val="nil"/>
                  </w:tcBorders>
                  <w:vAlign w:val="center"/>
                </w:tcPr>
                <w:p>
                  <w:pPr>
                    <w:widowControl/>
                    <w:adjustRightInd w:val="0"/>
                    <w:snapToGrid w:val="0"/>
                    <w:jc w:val="center"/>
                    <w:textAlignment w:val="center"/>
                    <w:rPr>
                      <w:b/>
                      <w:bCs/>
                      <w:color w:val="auto"/>
                      <w:szCs w:val="21"/>
                    </w:rPr>
                  </w:pPr>
                  <w:r>
                    <w:rPr>
                      <w:b/>
                      <w:bCs/>
                      <w:color w:val="auto"/>
                      <w:szCs w:val="21"/>
                    </w:rPr>
                    <w:t>序号</w:t>
                  </w:r>
                </w:p>
              </w:tc>
              <w:tc>
                <w:tcPr>
                  <w:tcW w:w="1974" w:type="dxa"/>
                  <w:tcBorders>
                    <w:tl2br w:val="nil"/>
                    <w:tr2bl w:val="nil"/>
                  </w:tcBorders>
                  <w:vAlign w:val="center"/>
                </w:tcPr>
                <w:p>
                  <w:pPr>
                    <w:widowControl/>
                    <w:adjustRightInd w:val="0"/>
                    <w:snapToGrid w:val="0"/>
                    <w:jc w:val="center"/>
                    <w:textAlignment w:val="center"/>
                    <w:rPr>
                      <w:b/>
                      <w:bCs/>
                      <w:color w:val="auto"/>
                      <w:szCs w:val="21"/>
                    </w:rPr>
                  </w:pPr>
                  <w:r>
                    <w:rPr>
                      <w:b/>
                      <w:bCs/>
                      <w:color w:val="auto"/>
                      <w:szCs w:val="21"/>
                    </w:rPr>
                    <w:t>污染源</w:t>
                  </w:r>
                </w:p>
              </w:tc>
              <w:tc>
                <w:tcPr>
                  <w:tcW w:w="2703" w:type="dxa"/>
                  <w:tcBorders>
                    <w:tl2br w:val="nil"/>
                    <w:tr2bl w:val="nil"/>
                  </w:tcBorders>
                  <w:vAlign w:val="center"/>
                </w:tcPr>
                <w:p>
                  <w:pPr>
                    <w:widowControl/>
                    <w:adjustRightInd w:val="0"/>
                    <w:snapToGrid w:val="0"/>
                    <w:jc w:val="center"/>
                    <w:textAlignment w:val="center"/>
                    <w:rPr>
                      <w:b/>
                      <w:bCs/>
                      <w:color w:val="auto"/>
                      <w:szCs w:val="21"/>
                    </w:rPr>
                  </w:pPr>
                  <w:r>
                    <w:rPr>
                      <w:b/>
                      <w:bCs/>
                      <w:color w:val="auto"/>
                      <w:szCs w:val="21"/>
                    </w:rPr>
                    <w:t>处理措施</w:t>
                  </w:r>
                </w:p>
              </w:tc>
              <w:tc>
                <w:tcPr>
                  <w:tcW w:w="1814" w:type="dxa"/>
                  <w:tcBorders>
                    <w:tl2br w:val="nil"/>
                    <w:tr2bl w:val="nil"/>
                  </w:tcBorders>
                  <w:vAlign w:val="center"/>
                </w:tcPr>
                <w:p>
                  <w:pPr>
                    <w:widowControl/>
                    <w:adjustRightInd w:val="0"/>
                    <w:snapToGrid w:val="0"/>
                    <w:jc w:val="center"/>
                    <w:textAlignment w:val="center"/>
                    <w:rPr>
                      <w:b/>
                      <w:bCs/>
                      <w:color w:val="auto"/>
                      <w:szCs w:val="21"/>
                    </w:rPr>
                  </w:pPr>
                  <w:r>
                    <w:rPr>
                      <w:b/>
                      <w:bCs/>
                      <w:color w:val="auto"/>
                      <w:szCs w:val="21"/>
                    </w:rPr>
                    <w:t>处理前产生量</w:t>
                  </w:r>
                </w:p>
              </w:tc>
              <w:tc>
                <w:tcPr>
                  <w:tcW w:w="1581" w:type="dxa"/>
                  <w:tcBorders>
                    <w:tl2br w:val="nil"/>
                    <w:tr2bl w:val="nil"/>
                  </w:tcBorders>
                  <w:vAlign w:val="center"/>
                </w:tcPr>
                <w:p>
                  <w:pPr>
                    <w:widowControl/>
                    <w:adjustRightInd w:val="0"/>
                    <w:snapToGrid w:val="0"/>
                    <w:jc w:val="center"/>
                    <w:textAlignment w:val="center"/>
                    <w:rPr>
                      <w:b/>
                      <w:bCs/>
                      <w:color w:val="auto"/>
                      <w:szCs w:val="21"/>
                    </w:rPr>
                  </w:pPr>
                  <w:r>
                    <w:rPr>
                      <w:b/>
                      <w:bCs/>
                      <w:color w:val="auto"/>
                      <w:szCs w:val="21"/>
                    </w:rPr>
                    <w:t>处理后排放量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46" w:type="dxa"/>
                  <w:tcBorders>
                    <w:tl2br w:val="nil"/>
                    <w:tr2bl w:val="nil"/>
                  </w:tcBorders>
                  <w:vAlign w:val="center"/>
                </w:tcPr>
                <w:p>
                  <w:pPr>
                    <w:widowControl/>
                    <w:adjustRightInd w:val="0"/>
                    <w:snapToGrid w:val="0"/>
                    <w:jc w:val="center"/>
                    <w:textAlignment w:val="center"/>
                    <w:rPr>
                      <w:color w:val="auto"/>
                      <w:szCs w:val="21"/>
                    </w:rPr>
                  </w:pPr>
                  <w:r>
                    <w:rPr>
                      <w:color w:val="auto"/>
                      <w:szCs w:val="21"/>
                    </w:rPr>
                    <w:t>1</w:t>
                  </w:r>
                </w:p>
              </w:tc>
              <w:tc>
                <w:tcPr>
                  <w:tcW w:w="1974" w:type="dxa"/>
                  <w:tcBorders>
                    <w:tl2br w:val="nil"/>
                    <w:tr2bl w:val="nil"/>
                  </w:tcBorders>
                  <w:vAlign w:val="center"/>
                </w:tcPr>
                <w:p>
                  <w:pPr>
                    <w:widowControl/>
                    <w:adjustRightInd w:val="0"/>
                    <w:snapToGrid w:val="0"/>
                    <w:jc w:val="center"/>
                    <w:textAlignment w:val="center"/>
                    <w:rPr>
                      <w:color w:val="auto"/>
                      <w:szCs w:val="21"/>
                    </w:rPr>
                  </w:pPr>
                  <w:r>
                    <w:rPr>
                      <w:color w:val="auto"/>
                      <w:szCs w:val="21"/>
                    </w:rPr>
                    <w:t>运输车辆的动力起尘</w:t>
                  </w:r>
                </w:p>
              </w:tc>
              <w:tc>
                <w:tcPr>
                  <w:tcW w:w="2703" w:type="dxa"/>
                  <w:tcBorders>
                    <w:tl2br w:val="nil"/>
                    <w:tr2bl w:val="nil"/>
                  </w:tcBorders>
                  <w:vAlign w:val="center"/>
                </w:tcPr>
                <w:p>
                  <w:pPr>
                    <w:widowControl/>
                    <w:adjustRightInd w:val="0"/>
                    <w:snapToGrid w:val="0"/>
                    <w:jc w:val="center"/>
                    <w:textAlignment w:val="center"/>
                    <w:rPr>
                      <w:rFonts w:eastAsiaTheme="minorEastAsia"/>
                      <w:color w:val="auto"/>
                      <w:szCs w:val="21"/>
                    </w:rPr>
                  </w:pPr>
                  <w:r>
                    <w:rPr>
                      <w:rStyle w:val="61"/>
                      <w:color w:val="auto"/>
                      <w:sz w:val="21"/>
                      <w:szCs w:val="21"/>
                    </w:rPr>
                    <w:t>对运输砂石进行加盖密闭、厂区路面洒水</w:t>
                  </w:r>
                </w:p>
              </w:tc>
              <w:tc>
                <w:tcPr>
                  <w:tcW w:w="1814" w:type="dxa"/>
                  <w:tcBorders>
                    <w:tl2br w:val="nil"/>
                    <w:tr2bl w:val="nil"/>
                  </w:tcBorders>
                  <w:vAlign w:val="center"/>
                </w:tcPr>
                <w:p>
                  <w:pPr>
                    <w:widowControl/>
                    <w:adjustRightInd w:val="0"/>
                    <w:snapToGrid w:val="0"/>
                    <w:jc w:val="center"/>
                    <w:textAlignment w:val="center"/>
                    <w:rPr>
                      <w:color w:val="auto"/>
                      <w:szCs w:val="21"/>
                    </w:rPr>
                  </w:pPr>
                  <w:r>
                    <w:rPr>
                      <w:color w:val="auto"/>
                      <w:szCs w:val="21"/>
                    </w:rPr>
                    <w:t>0.16t/a，0.05kg/h</w:t>
                  </w:r>
                </w:p>
              </w:tc>
              <w:tc>
                <w:tcPr>
                  <w:tcW w:w="1581" w:type="dxa"/>
                  <w:tcBorders>
                    <w:tl2br w:val="nil"/>
                    <w:tr2bl w:val="nil"/>
                  </w:tcBorders>
                  <w:vAlign w:val="center"/>
                </w:tcPr>
                <w:p>
                  <w:pPr>
                    <w:widowControl/>
                    <w:adjustRightInd w:val="0"/>
                    <w:snapToGrid w:val="0"/>
                    <w:jc w:val="center"/>
                    <w:textAlignment w:val="center"/>
                    <w:rPr>
                      <w:color w:val="auto"/>
                      <w:szCs w:val="21"/>
                    </w:rPr>
                  </w:pPr>
                  <w:r>
                    <w:rPr>
                      <w:color w:val="auto"/>
                      <w:szCs w:val="21"/>
                    </w:rPr>
                    <w:t>0.008t/a，0.0025kg/h</w:t>
                  </w:r>
                </w:p>
                <w:p>
                  <w:pPr>
                    <w:widowControl/>
                    <w:adjustRightInd w:val="0"/>
                    <w:snapToGrid w:val="0"/>
                    <w:jc w:val="center"/>
                    <w:textAlignment w:val="center"/>
                    <w:rPr>
                      <w:color w:val="auto"/>
                      <w:szCs w:val="21"/>
                    </w:rPr>
                  </w:pPr>
                  <w:r>
                    <w:rPr>
                      <w:color w:val="auto"/>
                      <w:szCs w:val="21"/>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46" w:type="dxa"/>
                  <w:tcBorders>
                    <w:tl2br w:val="nil"/>
                    <w:tr2bl w:val="nil"/>
                  </w:tcBorders>
                  <w:vAlign w:val="center"/>
                </w:tcPr>
                <w:p>
                  <w:pPr>
                    <w:widowControl/>
                    <w:adjustRightInd w:val="0"/>
                    <w:snapToGrid w:val="0"/>
                    <w:jc w:val="center"/>
                    <w:textAlignment w:val="center"/>
                    <w:rPr>
                      <w:color w:val="auto"/>
                      <w:szCs w:val="21"/>
                    </w:rPr>
                  </w:pPr>
                  <w:r>
                    <w:rPr>
                      <w:color w:val="auto"/>
                      <w:szCs w:val="21"/>
                    </w:rPr>
                    <w:t>2</w:t>
                  </w:r>
                </w:p>
              </w:tc>
              <w:tc>
                <w:tcPr>
                  <w:tcW w:w="1974" w:type="dxa"/>
                  <w:tcBorders>
                    <w:tl2br w:val="nil"/>
                    <w:tr2bl w:val="nil"/>
                  </w:tcBorders>
                  <w:vAlign w:val="center"/>
                </w:tcPr>
                <w:p>
                  <w:pPr>
                    <w:widowControl/>
                    <w:adjustRightInd w:val="0"/>
                    <w:snapToGrid w:val="0"/>
                    <w:jc w:val="center"/>
                    <w:textAlignment w:val="center"/>
                    <w:rPr>
                      <w:color w:val="auto"/>
                      <w:szCs w:val="21"/>
                    </w:rPr>
                  </w:pPr>
                  <w:r>
                    <w:rPr>
                      <w:color w:val="auto"/>
                      <w:szCs w:val="21"/>
                    </w:rPr>
                    <w:t>砂石堆料场起尘、铲车投料粉尘、物料输送粉尘</w:t>
                  </w:r>
                </w:p>
              </w:tc>
              <w:tc>
                <w:tcPr>
                  <w:tcW w:w="2703" w:type="dxa"/>
                  <w:tcBorders>
                    <w:tl2br w:val="nil"/>
                    <w:tr2bl w:val="nil"/>
                  </w:tcBorders>
                  <w:vAlign w:val="center"/>
                </w:tcPr>
                <w:p>
                  <w:pPr>
                    <w:widowControl/>
                    <w:adjustRightInd w:val="0"/>
                    <w:snapToGrid w:val="0"/>
                    <w:jc w:val="center"/>
                    <w:textAlignment w:val="center"/>
                    <w:rPr>
                      <w:color w:val="auto"/>
                      <w:szCs w:val="21"/>
                    </w:rPr>
                  </w:pPr>
                  <w:r>
                    <w:rPr>
                      <w:rStyle w:val="61"/>
                      <w:bCs/>
                      <w:color w:val="auto"/>
                      <w:sz w:val="21"/>
                      <w:szCs w:val="21"/>
                    </w:rPr>
                    <w:t>堆场设置于密闭厂房内，堆场内设置喷洒水设施，输送带密闭设置</w:t>
                  </w:r>
                </w:p>
              </w:tc>
              <w:tc>
                <w:tcPr>
                  <w:tcW w:w="1814" w:type="dxa"/>
                  <w:tcBorders>
                    <w:tl2br w:val="nil"/>
                    <w:tr2bl w:val="nil"/>
                  </w:tcBorders>
                  <w:vAlign w:val="center"/>
                </w:tcPr>
                <w:p>
                  <w:pPr>
                    <w:widowControl/>
                    <w:adjustRightInd w:val="0"/>
                    <w:snapToGrid w:val="0"/>
                    <w:jc w:val="center"/>
                    <w:textAlignment w:val="center"/>
                    <w:rPr>
                      <w:color w:val="auto"/>
                      <w:szCs w:val="21"/>
                    </w:rPr>
                  </w:pPr>
                  <w:r>
                    <w:rPr>
                      <w:color w:val="auto"/>
                      <w:szCs w:val="21"/>
                    </w:rPr>
                    <w:t>较少</w:t>
                  </w:r>
                </w:p>
              </w:tc>
              <w:tc>
                <w:tcPr>
                  <w:tcW w:w="1581" w:type="dxa"/>
                  <w:tcBorders>
                    <w:tl2br w:val="nil"/>
                    <w:tr2bl w:val="nil"/>
                  </w:tcBorders>
                  <w:vAlign w:val="center"/>
                </w:tcPr>
                <w:p>
                  <w:pPr>
                    <w:widowControl/>
                    <w:adjustRightInd w:val="0"/>
                    <w:snapToGrid w:val="0"/>
                    <w:jc w:val="center"/>
                    <w:textAlignment w:val="center"/>
                    <w:rPr>
                      <w:color w:val="auto"/>
                      <w:szCs w:val="21"/>
                    </w:rPr>
                  </w:pPr>
                  <w:r>
                    <w:rPr>
                      <w:color w:val="auto"/>
                      <w:szCs w:val="21"/>
                    </w:rPr>
                    <w:t>较少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46" w:type="dxa"/>
                  <w:tcBorders>
                    <w:tl2br w:val="nil"/>
                    <w:tr2bl w:val="nil"/>
                  </w:tcBorders>
                  <w:vAlign w:val="center"/>
                </w:tcPr>
                <w:p>
                  <w:pPr>
                    <w:widowControl/>
                    <w:adjustRightInd w:val="0"/>
                    <w:snapToGrid w:val="0"/>
                    <w:jc w:val="center"/>
                    <w:textAlignment w:val="center"/>
                    <w:rPr>
                      <w:color w:val="auto"/>
                      <w:szCs w:val="21"/>
                    </w:rPr>
                  </w:pPr>
                  <w:r>
                    <w:rPr>
                      <w:color w:val="auto"/>
                      <w:szCs w:val="21"/>
                    </w:rPr>
                    <w:t>3</w:t>
                  </w:r>
                </w:p>
              </w:tc>
              <w:tc>
                <w:tcPr>
                  <w:tcW w:w="1974" w:type="dxa"/>
                  <w:tcBorders>
                    <w:tl2br w:val="nil"/>
                    <w:tr2bl w:val="nil"/>
                  </w:tcBorders>
                  <w:vAlign w:val="center"/>
                </w:tcPr>
                <w:p>
                  <w:pPr>
                    <w:widowControl/>
                    <w:adjustRightInd w:val="0"/>
                    <w:snapToGrid w:val="0"/>
                    <w:jc w:val="center"/>
                    <w:textAlignment w:val="center"/>
                    <w:rPr>
                      <w:rFonts w:eastAsiaTheme="minorEastAsia"/>
                      <w:color w:val="auto"/>
                      <w:szCs w:val="21"/>
                    </w:rPr>
                  </w:pPr>
                  <w:r>
                    <w:rPr>
                      <w:color w:val="auto"/>
                      <w:szCs w:val="21"/>
                    </w:rPr>
                    <w:t>筒仓呼吸粉尘</w:t>
                  </w:r>
                </w:p>
              </w:tc>
              <w:tc>
                <w:tcPr>
                  <w:tcW w:w="2703" w:type="dxa"/>
                  <w:tcBorders>
                    <w:tl2br w:val="nil"/>
                    <w:tr2bl w:val="nil"/>
                  </w:tcBorders>
                  <w:vAlign w:val="center"/>
                </w:tcPr>
                <w:p>
                  <w:pPr>
                    <w:widowControl/>
                    <w:adjustRightInd w:val="0"/>
                    <w:snapToGrid w:val="0"/>
                    <w:jc w:val="center"/>
                    <w:textAlignment w:val="center"/>
                    <w:rPr>
                      <w:rFonts w:eastAsiaTheme="minorEastAsia"/>
                      <w:color w:val="auto"/>
                      <w:szCs w:val="21"/>
                    </w:rPr>
                  </w:pPr>
                  <w:r>
                    <w:rPr>
                      <w:bCs/>
                      <w:color w:val="auto"/>
                      <w:szCs w:val="21"/>
                    </w:rPr>
                    <w:t>储粉罐顶部设置除尘器</w:t>
                  </w:r>
                  <w:r>
                    <w:rPr>
                      <w:rFonts w:hint="eastAsia"/>
                      <w:bCs/>
                      <w:color w:val="auto"/>
                      <w:szCs w:val="21"/>
                    </w:rPr>
                    <w:t>并将筒仓封闭在密闭厂房内</w:t>
                  </w:r>
                </w:p>
              </w:tc>
              <w:tc>
                <w:tcPr>
                  <w:tcW w:w="1814" w:type="dxa"/>
                  <w:tcBorders>
                    <w:tl2br w:val="nil"/>
                    <w:tr2bl w:val="nil"/>
                  </w:tcBorders>
                  <w:vAlign w:val="center"/>
                </w:tcPr>
                <w:p>
                  <w:pPr>
                    <w:widowControl/>
                    <w:adjustRightInd w:val="0"/>
                    <w:snapToGrid w:val="0"/>
                    <w:jc w:val="center"/>
                    <w:textAlignment w:val="center"/>
                    <w:rPr>
                      <w:color w:val="auto"/>
                      <w:szCs w:val="21"/>
                    </w:rPr>
                  </w:pPr>
                  <w:r>
                    <w:rPr>
                      <w:rFonts w:hint="eastAsia"/>
                      <w:color w:val="auto"/>
                      <w:szCs w:val="21"/>
                      <w:lang w:val="en-US" w:eastAsia="zh-CN"/>
                    </w:rPr>
                    <w:t>0.608</w:t>
                  </w:r>
                  <w:r>
                    <w:rPr>
                      <w:color w:val="auto"/>
                      <w:szCs w:val="21"/>
                    </w:rPr>
                    <w:t>t/a，</w:t>
                  </w:r>
                </w:p>
                <w:p>
                  <w:pPr>
                    <w:pStyle w:val="2"/>
                    <w:adjustRightInd w:val="0"/>
                    <w:snapToGrid w:val="0"/>
                    <w:ind w:left="0"/>
                    <w:jc w:val="center"/>
                    <w:rPr>
                      <w:rFonts w:hint="eastAsia" w:eastAsia="宋体"/>
                      <w:color w:val="auto"/>
                      <w:sz w:val="21"/>
                      <w:szCs w:val="21"/>
                      <w:lang w:eastAsia="zh-CN"/>
                    </w:rPr>
                  </w:pPr>
                  <w:r>
                    <w:rPr>
                      <w:rFonts w:hint="eastAsia"/>
                      <w:color w:val="auto"/>
                      <w:sz w:val="21"/>
                      <w:szCs w:val="21"/>
                      <w:lang w:val="en-US" w:eastAsia="zh-CN"/>
                    </w:rPr>
                    <w:t>2.03</w:t>
                  </w:r>
                  <w:r>
                    <w:rPr>
                      <w:rFonts w:hint="eastAsia"/>
                      <w:color w:val="auto"/>
                      <w:sz w:val="21"/>
                      <w:szCs w:val="21"/>
                      <w:lang w:eastAsia="zh-CN"/>
                    </w:rPr>
                    <w:t>kg/h</w:t>
                  </w:r>
                </w:p>
              </w:tc>
              <w:tc>
                <w:tcPr>
                  <w:tcW w:w="1581" w:type="dxa"/>
                  <w:tcBorders>
                    <w:tl2br w:val="nil"/>
                    <w:tr2bl w:val="nil"/>
                  </w:tcBorders>
                  <w:vAlign w:val="center"/>
                </w:tcPr>
                <w:p>
                  <w:pPr>
                    <w:widowControl/>
                    <w:adjustRightInd w:val="0"/>
                    <w:snapToGrid w:val="0"/>
                    <w:jc w:val="center"/>
                    <w:textAlignment w:val="center"/>
                    <w:rPr>
                      <w:color w:val="auto"/>
                      <w:szCs w:val="21"/>
                    </w:rPr>
                  </w:pPr>
                  <w:r>
                    <w:rPr>
                      <w:rFonts w:hint="eastAsia"/>
                      <w:color w:val="auto"/>
                      <w:szCs w:val="21"/>
                      <w:lang w:val="en-US" w:eastAsia="zh-CN"/>
                    </w:rPr>
                    <w:t>0.004256</w:t>
                  </w:r>
                  <w:r>
                    <w:rPr>
                      <w:color w:val="auto"/>
                      <w:szCs w:val="21"/>
                    </w:rPr>
                    <w:t>t/a</w:t>
                  </w:r>
                </w:p>
                <w:p>
                  <w:pPr>
                    <w:widowControl/>
                    <w:adjustRightInd w:val="0"/>
                    <w:snapToGrid w:val="0"/>
                    <w:jc w:val="center"/>
                    <w:textAlignment w:val="center"/>
                    <w:rPr>
                      <w:color w:val="auto"/>
                      <w:szCs w:val="21"/>
                    </w:rPr>
                  </w:pPr>
                  <w:r>
                    <w:rPr>
                      <w:rFonts w:hint="eastAsia"/>
                      <w:color w:val="auto"/>
                      <w:szCs w:val="21"/>
                      <w:lang w:val="en-US" w:eastAsia="zh-CN"/>
                    </w:rPr>
                    <w:t>0.0142</w:t>
                  </w:r>
                  <w:r>
                    <w:rPr>
                      <w:color w:val="auto"/>
                      <w:szCs w:val="21"/>
                    </w:rPr>
                    <w:t>kg/h</w:t>
                  </w:r>
                </w:p>
                <w:p>
                  <w:pPr>
                    <w:pStyle w:val="2"/>
                    <w:adjustRightInd w:val="0"/>
                    <w:snapToGrid w:val="0"/>
                    <w:ind w:left="0"/>
                    <w:jc w:val="center"/>
                    <w:rPr>
                      <w:color w:val="auto"/>
                      <w:sz w:val="21"/>
                      <w:szCs w:val="21"/>
                    </w:rPr>
                  </w:pPr>
                  <w:r>
                    <w:rPr>
                      <w:color w:val="auto"/>
                      <w:sz w:val="21"/>
                      <w:szCs w:val="21"/>
                    </w:rPr>
                    <w:t>（</w:t>
                  </w:r>
                  <w:r>
                    <w:rPr>
                      <w:rFonts w:hint="eastAsia"/>
                      <w:color w:val="auto"/>
                      <w:sz w:val="21"/>
                      <w:szCs w:val="21"/>
                      <w:lang w:eastAsia="zh-CN"/>
                    </w:rPr>
                    <w:t>无</w:t>
                  </w:r>
                  <w:r>
                    <w:rPr>
                      <w:color w:val="auto"/>
                      <w:sz w:val="21"/>
                      <w:szCs w:val="21"/>
                    </w:rPr>
                    <w:t>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46" w:type="dxa"/>
                  <w:tcBorders>
                    <w:tl2br w:val="nil"/>
                    <w:tr2bl w:val="nil"/>
                  </w:tcBorders>
                  <w:vAlign w:val="center"/>
                </w:tcPr>
                <w:p>
                  <w:pPr>
                    <w:widowControl/>
                    <w:adjustRightInd w:val="0"/>
                    <w:snapToGrid w:val="0"/>
                    <w:jc w:val="center"/>
                    <w:textAlignment w:val="center"/>
                    <w:rPr>
                      <w:color w:val="auto"/>
                      <w:szCs w:val="21"/>
                    </w:rPr>
                  </w:pPr>
                  <w:r>
                    <w:rPr>
                      <w:color w:val="auto"/>
                      <w:szCs w:val="21"/>
                    </w:rPr>
                    <w:t>4</w:t>
                  </w:r>
                </w:p>
              </w:tc>
              <w:tc>
                <w:tcPr>
                  <w:tcW w:w="1974" w:type="dxa"/>
                  <w:tcBorders>
                    <w:tl2br w:val="nil"/>
                    <w:tr2bl w:val="nil"/>
                  </w:tcBorders>
                  <w:vAlign w:val="center"/>
                </w:tcPr>
                <w:p>
                  <w:pPr>
                    <w:widowControl/>
                    <w:adjustRightInd w:val="0"/>
                    <w:snapToGrid w:val="0"/>
                    <w:jc w:val="center"/>
                    <w:textAlignment w:val="center"/>
                    <w:rPr>
                      <w:color w:val="auto"/>
                      <w:szCs w:val="21"/>
                    </w:rPr>
                  </w:pPr>
                  <w:r>
                    <w:rPr>
                      <w:color w:val="auto"/>
                      <w:szCs w:val="21"/>
                    </w:rPr>
                    <w:t>搅拌机拌料粉尘</w:t>
                  </w:r>
                </w:p>
              </w:tc>
              <w:tc>
                <w:tcPr>
                  <w:tcW w:w="2703" w:type="dxa"/>
                  <w:tcBorders>
                    <w:tl2br w:val="nil"/>
                    <w:tr2bl w:val="nil"/>
                  </w:tcBorders>
                  <w:vAlign w:val="center"/>
                </w:tcPr>
                <w:p>
                  <w:pPr>
                    <w:widowControl/>
                    <w:adjustRightInd w:val="0"/>
                    <w:snapToGrid w:val="0"/>
                    <w:jc w:val="center"/>
                    <w:textAlignment w:val="center"/>
                    <w:rPr>
                      <w:rFonts w:eastAsiaTheme="minorEastAsia"/>
                      <w:color w:val="auto"/>
                      <w:szCs w:val="21"/>
                    </w:rPr>
                  </w:pPr>
                  <w:r>
                    <w:rPr>
                      <w:bCs/>
                      <w:color w:val="auto"/>
                      <w:szCs w:val="21"/>
                    </w:rPr>
                    <w:t>湿法搅拌，搅拌机搅拌时密闭，搅拌机设置在密闭搅拌楼内</w:t>
                  </w:r>
                </w:p>
              </w:tc>
              <w:tc>
                <w:tcPr>
                  <w:tcW w:w="1814" w:type="dxa"/>
                  <w:tcBorders>
                    <w:tl2br w:val="nil"/>
                    <w:tr2bl w:val="nil"/>
                  </w:tcBorders>
                  <w:vAlign w:val="center"/>
                </w:tcPr>
                <w:p>
                  <w:pPr>
                    <w:widowControl/>
                    <w:adjustRightInd w:val="0"/>
                    <w:snapToGrid w:val="0"/>
                    <w:jc w:val="center"/>
                    <w:textAlignment w:val="center"/>
                    <w:rPr>
                      <w:color w:val="auto"/>
                      <w:szCs w:val="21"/>
                    </w:rPr>
                  </w:pPr>
                  <w:r>
                    <w:rPr>
                      <w:rFonts w:hint="eastAsia"/>
                      <w:color w:val="auto"/>
                      <w:szCs w:val="21"/>
                      <w:lang w:val="en-US" w:eastAsia="zh-CN"/>
                    </w:rPr>
                    <w:t>41.84</w:t>
                  </w:r>
                  <w:r>
                    <w:rPr>
                      <w:color w:val="auto"/>
                      <w:szCs w:val="21"/>
                    </w:rPr>
                    <w:t>t/a，</w:t>
                  </w:r>
                </w:p>
                <w:p>
                  <w:pPr>
                    <w:pStyle w:val="2"/>
                    <w:adjustRightInd w:val="0"/>
                    <w:snapToGrid w:val="0"/>
                    <w:ind w:left="0"/>
                    <w:jc w:val="center"/>
                    <w:rPr>
                      <w:color w:val="auto"/>
                      <w:sz w:val="21"/>
                      <w:szCs w:val="21"/>
                    </w:rPr>
                  </w:pPr>
                  <w:r>
                    <w:rPr>
                      <w:rFonts w:hint="eastAsia"/>
                      <w:color w:val="auto"/>
                      <w:sz w:val="21"/>
                      <w:szCs w:val="21"/>
                      <w:lang w:val="en-US" w:eastAsia="zh-CN"/>
                    </w:rPr>
                    <w:t>139.5</w:t>
                  </w:r>
                  <w:r>
                    <w:rPr>
                      <w:color w:val="auto"/>
                      <w:sz w:val="21"/>
                      <w:szCs w:val="21"/>
                    </w:rPr>
                    <w:t>kg/h</w:t>
                  </w:r>
                </w:p>
              </w:tc>
              <w:tc>
                <w:tcPr>
                  <w:tcW w:w="1581" w:type="dxa"/>
                  <w:tcBorders>
                    <w:tl2br w:val="nil"/>
                    <w:tr2bl w:val="nil"/>
                  </w:tcBorders>
                  <w:vAlign w:val="center"/>
                </w:tcPr>
                <w:p>
                  <w:pPr>
                    <w:widowControl/>
                    <w:adjustRightInd w:val="0"/>
                    <w:snapToGrid w:val="0"/>
                    <w:jc w:val="center"/>
                    <w:textAlignment w:val="center"/>
                    <w:rPr>
                      <w:color w:val="auto"/>
                      <w:szCs w:val="21"/>
                    </w:rPr>
                  </w:pPr>
                  <w:r>
                    <w:rPr>
                      <w:rFonts w:hint="eastAsia"/>
                      <w:color w:val="auto"/>
                      <w:szCs w:val="21"/>
                      <w:lang w:val="en-US" w:eastAsia="zh-CN"/>
                    </w:rPr>
                    <w:t>0.84</w:t>
                  </w:r>
                  <w:r>
                    <w:rPr>
                      <w:color w:val="auto"/>
                      <w:szCs w:val="21"/>
                    </w:rPr>
                    <w:t>t/a，</w:t>
                  </w:r>
                  <w:r>
                    <w:rPr>
                      <w:rFonts w:hint="eastAsia"/>
                      <w:color w:val="auto"/>
                      <w:szCs w:val="21"/>
                      <w:lang w:val="en-US" w:eastAsia="zh-CN"/>
                    </w:rPr>
                    <w:t>2.8</w:t>
                  </w:r>
                  <w:r>
                    <w:rPr>
                      <w:color w:val="auto"/>
                      <w:szCs w:val="21"/>
                    </w:rPr>
                    <w:t>kg/h</w:t>
                  </w:r>
                </w:p>
                <w:p>
                  <w:pPr>
                    <w:widowControl/>
                    <w:adjustRightInd w:val="0"/>
                    <w:snapToGrid w:val="0"/>
                    <w:jc w:val="center"/>
                    <w:textAlignment w:val="center"/>
                    <w:rPr>
                      <w:color w:val="auto"/>
                      <w:szCs w:val="21"/>
                    </w:rPr>
                  </w:pPr>
                  <w:r>
                    <w:rPr>
                      <w:color w:val="auto"/>
                      <w:szCs w:val="21"/>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46" w:type="dxa"/>
                  <w:tcBorders>
                    <w:tl2br w:val="nil"/>
                    <w:tr2bl w:val="nil"/>
                  </w:tcBorders>
                  <w:vAlign w:val="center"/>
                </w:tcPr>
                <w:p>
                  <w:pPr>
                    <w:widowControl/>
                    <w:adjustRightInd w:val="0"/>
                    <w:snapToGrid w:val="0"/>
                    <w:jc w:val="center"/>
                    <w:textAlignment w:val="center"/>
                    <w:rPr>
                      <w:color w:val="auto"/>
                      <w:szCs w:val="21"/>
                    </w:rPr>
                  </w:pPr>
                  <w:r>
                    <w:rPr>
                      <w:color w:val="auto"/>
                      <w:szCs w:val="21"/>
                    </w:rPr>
                    <w:t>5</w:t>
                  </w:r>
                </w:p>
              </w:tc>
              <w:tc>
                <w:tcPr>
                  <w:tcW w:w="1974" w:type="dxa"/>
                  <w:tcBorders>
                    <w:tl2br w:val="nil"/>
                    <w:tr2bl w:val="nil"/>
                  </w:tcBorders>
                  <w:vAlign w:val="center"/>
                </w:tcPr>
                <w:p>
                  <w:pPr>
                    <w:widowControl/>
                    <w:adjustRightInd w:val="0"/>
                    <w:snapToGrid w:val="0"/>
                    <w:jc w:val="center"/>
                    <w:textAlignment w:val="center"/>
                    <w:rPr>
                      <w:color w:val="auto"/>
                      <w:szCs w:val="21"/>
                    </w:rPr>
                  </w:pPr>
                  <w:r>
                    <w:rPr>
                      <w:color w:val="auto"/>
                      <w:szCs w:val="21"/>
                    </w:rPr>
                    <w:t>燃油废气、汽车尾气</w:t>
                  </w:r>
                </w:p>
              </w:tc>
              <w:tc>
                <w:tcPr>
                  <w:tcW w:w="2703" w:type="dxa"/>
                  <w:tcBorders>
                    <w:tl2br w:val="nil"/>
                    <w:tr2bl w:val="nil"/>
                  </w:tcBorders>
                  <w:vAlign w:val="center"/>
                </w:tcPr>
                <w:p>
                  <w:pPr>
                    <w:widowControl/>
                    <w:adjustRightInd w:val="0"/>
                    <w:snapToGrid w:val="0"/>
                    <w:jc w:val="center"/>
                    <w:textAlignment w:val="center"/>
                    <w:rPr>
                      <w:color w:val="auto"/>
                      <w:szCs w:val="21"/>
                    </w:rPr>
                  </w:pPr>
                  <w:r>
                    <w:rPr>
                      <w:color w:val="auto"/>
                      <w:szCs w:val="21"/>
                    </w:rPr>
                    <w:t>注意车辆设备的维护和保养</w:t>
                  </w:r>
                </w:p>
              </w:tc>
              <w:tc>
                <w:tcPr>
                  <w:tcW w:w="1814" w:type="dxa"/>
                  <w:tcBorders>
                    <w:tl2br w:val="nil"/>
                    <w:tr2bl w:val="nil"/>
                  </w:tcBorders>
                  <w:vAlign w:val="center"/>
                </w:tcPr>
                <w:p>
                  <w:pPr>
                    <w:widowControl/>
                    <w:adjustRightInd w:val="0"/>
                    <w:snapToGrid w:val="0"/>
                    <w:jc w:val="center"/>
                    <w:textAlignment w:val="center"/>
                    <w:rPr>
                      <w:color w:val="auto"/>
                      <w:szCs w:val="21"/>
                    </w:rPr>
                  </w:pPr>
                  <w:r>
                    <w:rPr>
                      <w:color w:val="auto"/>
                      <w:szCs w:val="21"/>
                    </w:rPr>
                    <w:t>较少</w:t>
                  </w:r>
                </w:p>
              </w:tc>
              <w:tc>
                <w:tcPr>
                  <w:tcW w:w="1581" w:type="dxa"/>
                  <w:tcBorders>
                    <w:tl2br w:val="nil"/>
                    <w:tr2bl w:val="nil"/>
                  </w:tcBorders>
                  <w:vAlign w:val="center"/>
                </w:tcPr>
                <w:p>
                  <w:pPr>
                    <w:widowControl/>
                    <w:adjustRightInd w:val="0"/>
                    <w:snapToGrid w:val="0"/>
                    <w:jc w:val="center"/>
                    <w:textAlignment w:val="center"/>
                    <w:rPr>
                      <w:color w:val="auto"/>
                      <w:szCs w:val="21"/>
                    </w:rPr>
                  </w:pPr>
                  <w:r>
                    <w:rPr>
                      <w:color w:val="auto"/>
                      <w:szCs w:val="21"/>
                    </w:rPr>
                    <w:t>较少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423" w:type="dxa"/>
                  <w:gridSpan w:val="3"/>
                  <w:tcBorders>
                    <w:tl2br w:val="nil"/>
                    <w:tr2bl w:val="nil"/>
                  </w:tcBorders>
                  <w:vAlign w:val="center"/>
                </w:tcPr>
                <w:p>
                  <w:pPr>
                    <w:widowControl/>
                    <w:adjustRightInd w:val="0"/>
                    <w:snapToGrid w:val="0"/>
                    <w:jc w:val="center"/>
                    <w:textAlignment w:val="center"/>
                    <w:rPr>
                      <w:color w:val="auto"/>
                      <w:szCs w:val="21"/>
                    </w:rPr>
                  </w:pPr>
                  <w:r>
                    <w:rPr>
                      <w:color w:val="auto"/>
                      <w:szCs w:val="21"/>
                    </w:rPr>
                    <w:t>合计（粉尘）</w:t>
                  </w:r>
                </w:p>
              </w:tc>
              <w:tc>
                <w:tcPr>
                  <w:tcW w:w="1814" w:type="dxa"/>
                  <w:tcBorders>
                    <w:tl2br w:val="nil"/>
                    <w:tr2bl w:val="nil"/>
                  </w:tcBorders>
                  <w:vAlign w:val="center"/>
                </w:tcPr>
                <w:p>
                  <w:pPr>
                    <w:widowControl/>
                    <w:adjustRightInd w:val="0"/>
                    <w:snapToGrid w:val="0"/>
                    <w:jc w:val="center"/>
                    <w:textAlignment w:val="center"/>
                    <w:rPr>
                      <w:color w:val="auto"/>
                      <w:szCs w:val="21"/>
                    </w:rPr>
                  </w:pPr>
                  <w:r>
                    <w:rPr>
                      <w:rFonts w:hint="eastAsia"/>
                      <w:color w:val="auto"/>
                      <w:szCs w:val="21"/>
                      <w:lang w:val="en-US" w:eastAsia="zh-CN"/>
                    </w:rPr>
                    <w:t>42.61</w:t>
                  </w:r>
                  <w:r>
                    <w:rPr>
                      <w:color w:val="auto"/>
                      <w:szCs w:val="21"/>
                    </w:rPr>
                    <w:t>t/a，</w:t>
                  </w:r>
                  <w:r>
                    <w:rPr>
                      <w:rFonts w:hint="eastAsia"/>
                      <w:color w:val="auto"/>
                      <w:szCs w:val="21"/>
                      <w:lang w:val="en-US" w:eastAsia="zh-CN"/>
                    </w:rPr>
                    <w:t>141.58</w:t>
                  </w:r>
                  <w:r>
                    <w:rPr>
                      <w:color w:val="auto"/>
                      <w:szCs w:val="21"/>
                    </w:rPr>
                    <w:t>kg/h</w:t>
                  </w:r>
                </w:p>
              </w:tc>
              <w:tc>
                <w:tcPr>
                  <w:tcW w:w="1581" w:type="dxa"/>
                  <w:tcBorders>
                    <w:tl2br w:val="nil"/>
                    <w:tr2bl w:val="nil"/>
                  </w:tcBorders>
                  <w:vAlign w:val="center"/>
                </w:tcPr>
                <w:p>
                  <w:pPr>
                    <w:widowControl/>
                    <w:adjustRightInd w:val="0"/>
                    <w:snapToGrid w:val="0"/>
                    <w:jc w:val="center"/>
                    <w:textAlignment w:val="center"/>
                    <w:rPr>
                      <w:color w:val="auto"/>
                      <w:szCs w:val="21"/>
                    </w:rPr>
                  </w:pPr>
                  <w:r>
                    <w:rPr>
                      <w:rFonts w:hint="eastAsia"/>
                      <w:color w:val="auto"/>
                      <w:szCs w:val="21"/>
                      <w:lang w:val="en-US" w:eastAsia="zh-CN"/>
                    </w:rPr>
                    <w:t>0.85</w:t>
                  </w:r>
                  <w:r>
                    <w:rPr>
                      <w:color w:val="auto"/>
                      <w:szCs w:val="21"/>
                    </w:rPr>
                    <w:t>t/a，</w:t>
                  </w:r>
                  <w:r>
                    <w:rPr>
                      <w:rFonts w:hint="eastAsia"/>
                      <w:color w:val="auto"/>
                      <w:szCs w:val="21"/>
                      <w:lang w:val="en-US" w:eastAsia="zh-CN"/>
                    </w:rPr>
                    <w:t>2.82</w:t>
                  </w:r>
                  <w:r>
                    <w:rPr>
                      <w:color w:val="auto"/>
                      <w:szCs w:val="21"/>
                    </w:rPr>
                    <w:t>kg/h</w:t>
                  </w:r>
                </w:p>
              </w:tc>
            </w:tr>
          </w:tbl>
          <w:p>
            <w:pPr>
              <w:adjustRightInd w:val="0"/>
              <w:snapToGrid w:val="0"/>
              <w:spacing w:line="360" w:lineRule="auto"/>
              <w:ind w:firstLine="482" w:firstLineChars="200"/>
              <w:rPr>
                <w:b/>
                <w:bCs/>
                <w:color w:val="auto"/>
                <w:sz w:val="24"/>
              </w:rPr>
            </w:pPr>
            <w:r>
              <w:rPr>
                <w:b/>
                <w:bCs/>
                <w:color w:val="auto"/>
                <w:sz w:val="24"/>
              </w:rPr>
              <w:t>2、废水</w:t>
            </w:r>
          </w:p>
          <w:p>
            <w:pPr>
              <w:adjustRightInd w:val="0"/>
              <w:snapToGrid w:val="0"/>
              <w:spacing w:line="360" w:lineRule="auto"/>
              <w:ind w:firstLine="480" w:firstLineChars="200"/>
              <w:rPr>
                <w:color w:val="auto"/>
                <w:sz w:val="24"/>
              </w:rPr>
            </w:pPr>
            <w:r>
              <w:rPr>
                <w:color w:val="auto"/>
                <w:sz w:val="24"/>
              </w:rPr>
              <w:t>全厂排水实行雨污分流排水系统，屋面雨水有组织排放到地面雨水沟后，</w:t>
            </w:r>
            <w:r>
              <w:rPr>
                <w:rFonts w:eastAsiaTheme="minorEastAsia"/>
                <w:color w:val="auto"/>
                <w:sz w:val="24"/>
              </w:rPr>
              <w:t>与地面</w:t>
            </w:r>
            <w:r>
              <w:rPr>
                <w:color w:val="auto"/>
                <w:sz w:val="24"/>
              </w:rPr>
              <w:t>初期</w:t>
            </w:r>
            <w:r>
              <w:rPr>
                <w:rFonts w:eastAsiaTheme="minorEastAsia"/>
                <w:color w:val="auto"/>
                <w:sz w:val="24"/>
              </w:rPr>
              <w:t>雨水一起汇入厂区内沉淀池处理后回用于</w:t>
            </w:r>
            <w:r>
              <w:rPr>
                <w:rFonts w:hint="eastAsia" w:eastAsiaTheme="minorEastAsia"/>
                <w:color w:val="auto"/>
                <w:sz w:val="24"/>
                <w:lang w:eastAsia="zh-CN"/>
              </w:rPr>
              <w:t>生产</w:t>
            </w:r>
            <w:r>
              <w:rPr>
                <w:rFonts w:eastAsiaTheme="minorEastAsia"/>
                <w:color w:val="auto"/>
                <w:sz w:val="24"/>
              </w:rPr>
              <w:t>。</w:t>
            </w:r>
          </w:p>
          <w:p>
            <w:pPr>
              <w:adjustRightInd w:val="0"/>
              <w:snapToGrid w:val="0"/>
              <w:spacing w:line="360" w:lineRule="auto"/>
              <w:ind w:firstLine="480" w:firstLineChars="200"/>
              <w:rPr>
                <w:color w:val="auto"/>
                <w:sz w:val="24"/>
              </w:rPr>
            </w:pPr>
            <w:r>
              <w:rPr>
                <w:color w:val="auto"/>
                <w:sz w:val="24"/>
              </w:rPr>
              <w:t>本项目废水来源主要为生活污水，搅拌设备、罐车、地面清洗废水</w:t>
            </w:r>
            <w:r>
              <w:rPr>
                <w:rFonts w:eastAsiaTheme="minorEastAsia"/>
                <w:color w:val="auto"/>
                <w:sz w:val="24"/>
              </w:rPr>
              <w:t>及初期雨水。</w:t>
            </w:r>
          </w:p>
          <w:p>
            <w:pPr>
              <w:adjustRightInd w:val="0"/>
              <w:snapToGrid w:val="0"/>
              <w:spacing w:line="360" w:lineRule="auto"/>
              <w:ind w:firstLine="482" w:firstLineChars="200"/>
              <w:jc w:val="left"/>
              <w:rPr>
                <w:b/>
                <w:bCs/>
                <w:color w:val="auto"/>
                <w:sz w:val="24"/>
              </w:rPr>
            </w:pPr>
            <w:r>
              <w:rPr>
                <w:b/>
                <w:bCs/>
                <w:color w:val="auto"/>
                <w:sz w:val="24"/>
              </w:rPr>
              <w:t>（1）生活污水</w:t>
            </w:r>
          </w:p>
          <w:p>
            <w:pPr>
              <w:adjustRightInd w:val="0"/>
              <w:snapToGrid w:val="0"/>
              <w:spacing w:line="360" w:lineRule="auto"/>
              <w:ind w:firstLine="480" w:firstLineChars="200"/>
              <w:jc w:val="left"/>
              <w:rPr>
                <w:color w:val="auto"/>
                <w:sz w:val="24"/>
              </w:rPr>
            </w:pPr>
            <w:r>
              <w:rPr>
                <w:color w:val="auto"/>
                <w:sz w:val="24"/>
              </w:rPr>
              <w:t>项目营运期工作人员生活用水量为0.75m</w:t>
            </w:r>
            <w:r>
              <w:rPr>
                <w:color w:val="auto"/>
                <w:sz w:val="24"/>
                <w:vertAlign w:val="superscript"/>
              </w:rPr>
              <w:t>3</w:t>
            </w:r>
            <w:r>
              <w:rPr>
                <w:color w:val="auto"/>
                <w:sz w:val="24"/>
              </w:rPr>
              <w:t>/d，生活污水按照用水量80%计，日产生量约为0.6m</w:t>
            </w:r>
            <w:r>
              <w:rPr>
                <w:color w:val="auto"/>
                <w:sz w:val="24"/>
                <w:vertAlign w:val="superscript"/>
              </w:rPr>
              <w:t>3</w:t>
            </w:r>
            <w:r>
              <w:rPr>
                <w:color w:val="auto"/>
                <w:sz w:val="24"/>
              </w:rPr>
              <w:t>/d，180m</w:t>
            </w:r>
            <w:r>
              <w:rPr>
                <w:color w:val="auto"/>
                <w:sz w:val="24"/>
                <w:vertAlign w:val="superscript"/>
              </w:rPr>
              <w:t>3</w:t>
            </w:r>
            <w:r>
              <w:rPr>
                <w:color w:val="auto"/>
                <w:sz w:val="24"/>
              </w:rPr>
              <w:t>/a，生活污水依托乐山铁匠世家手工刀具有限公司化粪池（10m</w:t>
            </w:r>
            <w:r>
              <w:rPr>
                <w:color w:val="auto"/>
                <w:sz w:val="24"/>
                <w:vertAlign w:val="superscript"/>
              </w:rPr>
              <w:t>3</w:t>
            </w:r>
            <w:r>
              <w:rPr>
                <w:color w:val="auto"/>
                <w:sz w:val="24"/>
              </w:rPr>
              <w:t>）处理后用于农田施肥，不外排。</w:t>
            </w:r>
          </w:p>
          <w:p>
            <w:pPr>
              <w:adjustRightInd w:val="0"/>
              <w:snapToGrid w:val="0"/>
              <w:spacing w:line="360" w:lineRule="auto"/>
              <w:ind w:firstLine="482" w:firstLineChars="200"/>
              <w:jc w:val="center"/>
              <w:rPr>
                <w:b/>
                <w:bCs/>
                <w:color w:val="auto"/>
                <w:szCs w:val="21"/>
              </w:rPr>
            </w:pPr>
            <w:r>
              <w:rPr>
                <w:b/>
                <w:bCs/>
                <w:color w:val="auto"/>
                <w:szCs w:val="21"/>
              </w:rPr>
              <w:t>表4-</w:t>
            </w:r>
            <w:r>
              <w:rPr>
                <w:rFonts w:hint="eastAsia"/>
                <w:b/>
                <w:bCs/>
                <w:color w:val="auto"/>
                <w:szCs w:val="21"/>
                <w:lang w:val="en-US" w:eastAsia="zh-CN"/>
              </w:rPr>
              <w:t>8</w:t>
            </w:r>
            <w:r>
              <w:rPr>
                <w:b/>
                <w:bCs/>
                <w:color w:val="auto"/>
                <w:szCs w:val="21"/>
              </w:rPr>
              <w:t xml:space="preserve">  项目生活污水及污染物排放情况表</w:t>
            </w:r>
          </w:p>
          <w:tbl>
            <w:tblPr>
              <w:tblStyle w:val="41"/>
              <w:tblW w:w="87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36"/>
              <w:gridCol w:w="1518"/>
              <w:gridCol w:w="884"/>
              <w:gridCol w:w="1012"/>
              <w:gridCol w:w="1010"/>
              <w:gridCol w:w="942"/>
              <w:gridCol w:w="8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054" w:type="dxa"/>
                  <w:gridSpan w:val="2"/>
                  <w:vAlign w:val="center"/>
                </w:tcPr>
                <w:p>
                  <w:pPr>
                    <w:tabs>
                      <w:tab w:val="left" w:pos="2861"/>
                    </w:tabs>
                    <w:adjustRightInd w:val="0"/>
                    <w:snapToGrid w:val="0"/>
                    <w:jc w:val="center"/>
                    <w:rPr>
                      <w:b/>
                      <w:bCs/>
                      <w:color w:val="auto"/>
                    </w:rPr>
                  </w:pPr>
                  <w:r>
                    <w:rPr>
                      <w:b/>
                      <w:bCs/>
                      <w:color w:val="auto"/>
                    </w:rPr>
                    <w:t>项 目</w:t>
                  </w:r>
                </w:p>
              </w:tc>
              <w:tc>
                <w:tcPr>
                  <w:tcW w:w="884" w:type="dxa"/>
                  <w:vAlign w:val="center"/>
                </w:tcPr>
                <w:p>
                  <w:pPr>
                    <w:tabs>
                      <w:tab w:val="left" w:pos="2861"/>
                    </w:tabs>
                    <w:adjustRightInd w:val="0"/>
                    <w:snapToGrid w:val="0"/>
                    <w:jc w:val="center"/>
                    <w:rPr>
                      <w:b/>
                      <w:bCs/>
                      <w:color w:val="auto"/>
                    </w:rPr>
                  </w:pPr>
                  <w:r>
                    <w:rPr>
                      <w:b/>
                      <w:bCs/>
                      <w:color w:val="auto"/>
                    </w:rPr>
                    <w:t>废水量</w:t>
                  </w:r>
                </w:p>
              </w:tc>
              <w:tc>
                <w:tcPr>
                  <w:tcW w:w="1012" w:type="dxa"/>
                  <w:vAlign w:val="center"/>
                </w:tcPr>
                <w:p>
                  <w:pPr>
                    <w:tabs>
                      <w:tab w:val="left" w:pos="2861"/>
                    </w:tabs>
                    <w:adjustRightInd w:val="0"/>
                    <w:snapToGrid w:val="0"/>
                    <w:jc w:val="center"/>
                    <w:rPr>
                      <w:b/>
                      <w:bCs/>
                      <w:color w:val="auto"/>
                    </w:rPr>
                  </w:pPr>
                  <w:r>
                    <w:rPr>
                      <w:b/>
                      <w:bCs/>
                      <w:color w:val="auto"/>
                    </w:rPr>
                    <w:t>COD</w:t>
                  </w:r>
                </w:p>
              </w:tc>
              <w:tc>
                <w:tcPr>
                  <w:tcW w:w="1010" w:type="dxa"/>
                  <w:vAlign w:val="center"/>
                </w:tcPr>
                <w:p>
                  <w:pPr>
                    <w:tabs>
                      <w:tab w:val="left" w:pos="2861"/>
                    </w:tabs>
                    <w:adjustRightInd w:val="0"/>
                    <w:snapToGrid w:val="0"/>
                    <w:jc w:val="center"/>
                    <w:rPr>
                      <w:b/>
                      <w:bCs/>
                      <w:color w:val="auto"/>
                    </w:rPr>
                  </w:pPr>
                  <w:r>
                    <w:rPr>
                      <w:b/>
                      <w:bCs/>
                      <w:color w:val="auto"/>
                    </w:rPr>
                    <w:t>BOD</w:t>
                  </w:r>
                  <w:r>
                    <w:rPr>
                      <w:b/>
                      <w:bCs/>
                      <w:color w:val="auto"/>
                      <w:vertAlign w:val="subscript"/>
                    </w:rPr>
                    <w:t>5</w:t>
                  </w:r>
                </w:p>
              </w:tc>
              <w:tc>
                <w:tcPr>
                  <w:tcW w:w="942" w:type="dxa"/>
                  <w:vAlign w:val="center"/>
                </w:tcPr>
                <w:p>
                  <w:pPr>
                    <w:tabs>
                      <w:tab w:val="left" w:pos="2861"/>
                    </w:tabs>
                    <w:adjustRightInd w:val="0"/>
                    <w:snapToGrid w:val="0"/>
                    <w:jc w:val="center"/>
                    <w:rPr>
                      <w:b/>
                      <w:bCs/>
                      <w:color w:val="auto"/>
                    </w:rPr>
                  </w:pPr>
                  <w:r>
                    <w:rPr>
                      <w:b/>
                      <w:bCs/>
                      <w:color w:val="auto"/>
                    </w:rPr>
                    <w:t>SS</w:t>
                  </w:r>
                </w:p>
              </w:tc>
              <w:tc>
                <w:tcPr>
                  <w:tcW w:w="855" w:type="dxa"/>
                  <w:vAlign w:val="center"/>
                </w:tcPr>
                <w:p>
                  <w:pPr>
                    <w:tabs>
                      <w:tab w:val="left" w:pos="2861"/>
                    </w:tabs>
                    <w:adjustRightInd w:val="0"/>
                    <w:snapToGrid w:val="0"/>
                    <w:jc w:val="center"/>
                    <w:rPr>
                      <w:b/>
                      <w:bCs/>
                      <w:color w:val="auto"/>
                    </w:rPr>
                  </w:pPr>
                  <w:r>
                    <w:rPr>
                      <w:b/>
                      <w:bCs/>
                      <w:color w:val="auto"/>
                    </w:rPr>
                    <w:t>NH</w:t>
                  </w:r>
                  <w:r>
                    <w:rPr>
                      <w:b/>
                      <w:bCs/>
                      <w:color w:val="auto"/>
                      <w:vertAlign w:val="subscript"/>
                    </w:rPr>
                    <w:t>3</w:t>
                  </w:r>
                  <w:r>
                    <w:rPr>
                      <w:b/>
                      <w:bCs/>
                      <w:color w:val="auto"/>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536" w:type="dxa"/>
                  <w:vMerge w:val="restart"/>
                  <w:vAlign w:val="center"/>
                </w:tcPr>
                <w:p>
                  <w:pPr>
                    <w:tabs>
                      <w:tab w:val="left" w:pos="2861"/>
                    </w:tabs>
                    <w:adjustRightInd w:val="0"/>
                    <w:snapToGrid w:val="0"/>
                    <w:jc w:val="center"/>
                    <w:rPr>
                      <w:color w:val="auto"/>
                    </w:rPr>
                  </w:pPr>
                  <w:r>
                    <w:rPr>
                      <w:color w:val="auto"/>
                    </w:rPr>
                    <w:t>处理前</w:t>
                  </w:r>
                </w:p>
              </w:tc>
              <w:tc>
                <w:tcPr>
                  <w:tcW w:w="1518" w:type="dxa"/>
                  <w:vAlign w:val="center"/>
                </w:tcPr>
                <w:p>
                  <w:pPr>
                    <w:tabs>
                      <w:tab w:val="left" w:pos="2861"/>
                    </w:tabs>
                    <w:adjustRightInd w:val="0"/>
                    <w:snapToGrid w:val="0"/>
                    <w:jc w:val="center"/>
                    <w:rPr>
                      <w:color w:val="auto"/>
                    </w:rPr>
                  </w:pPr>
                  <w:r>
                    <w:rPr>
                      <w:color w:val="auto"/>
                    </w:rPr>
                    <w:t>浓度（mg/L）</w:t>
                  </w:r>
                </w:p>
              </w:tc>
              <w:tc>
                <w:tcPr>
                  <w:tcW w:w="884" w:type="dxa"/>
                  <w:vMerge w:val="restart"/>
                  <w:vAlign w:val="center"/>
                </w:tcPr>
                <w:p>
                  <w:pPr>
                    <w:tabs>
                      <w:tab w:val="left" w:pos="2861"/>
                    </w:tabs>
                    <w:adjustRightInd w:val="0"/>
                    <w:snapToGrid w:val="0"/>
                    <w:jc w:val="center"/>
                    <w:rPr>
                      <w:color w:val="auto"/>
                    </w:rPr>
                  </w:pPr>
                  <w:r>
                    <w:rPr>
                      <w:color w:val="auto"/>
                    </w:rPr>
                    <w:t>180m</w:t>
                  </w:r>
                  <w:r>
                    <w:rPr>
                      <w:color w:val="auto"/>
                      <w:vertAlign w:val="superscript"/>
                    </w:rPr>
                    <w:t>3</w:t>
                  </w:r>
                  <w:r>
                    <w:rPr>
                      <w:rFonts w:hint="eastAsia"/>
                      <w:color w:val="auto"/>
                    </w:rPr>
                    <w:t>/a</w:t>
                  </w:r>
                </w:p>
              </w:tc>
              <w:tc>
                <w:tcPr>
                  <w:tcW w:w="1012" w:type="dxa"/>
                  <w:vAlign w:val="center"/>
                </w:tcPr>
                <w:p>
                  <w:pPr>
                    <w:tabs>
                      <w:tab w:val="left" w:pos="2861"/>
                    </w:tabs>
                    <w:adjustRightInd w:val="0"/>
                    <w:snapToGrid w:val="0"/>
                    <w:jc w:val="center"/>
                    <w:rPr>
                      <w:color w:val="auto"/>
                    </w:rPr>
                  </w:pPr>
                  <w:r>
                    <w:rPr>
                      <w:color w:val="auto"/>
                    </w:rPr>
                    <w:t>350</w:t>
                  </w:r>
                </w:p>
              </w:tc>
              <w:tc>
                <w:tcPr>
                  <w:tcW w:w="1010" w:type="dxa"/>
                  <w:vAlign w:val="center"/>
                </w:tcPr>
                <w:p>
                  <w:pPr>
                    <w:tabs>
                      <w:tab w:val="left" w:pos="2861"/>
                    </w:tabs>
                    <w:adjustRightInd w:val="0"/>
                    <w:snapToGrid w:val="0"/>
                    <w:jc w:val="center"/>
                    <w:rPr>
                      <w:color w:val="auto"/>
                    </w:rPr>
                  </w:pPr>
                  <w:r>
                    <w:rPr>
                      <w:color w:val="auto"/>
                    </w:rPr>
                    <w:t>200</w:t>
                  </w:r>
                </w:p>
              </w:tc>
              <w:tc>
                <w:tcPr>
                  <w:tcW w:w="942" w:type="dxa"/>
                  <w:vAlign w:val="center"/>
                </w:tcPr>
                <w:p>
                  <w:pPr>
                    <w:tabs>
                      <w:tab w:val="left" w:pos="2861"/>
                    </w:tabs>
                    <w:adjustRightInd w:val="0"/>
                    <w:snapToGrid w:val="0"/>
                    <w:jc w:val="center"/>
                    <w:rPr>
                      <w:color w:val="auto"/>
                    </w:rPr>
                  </w:pPr>
                  <w:r>
                    <w:rPr>
                      <w:color w:val="auto"/>
                    </w:rPr>
                    <w:t>200</w:t>
                  </w:r>
                </w:p>
              </w:tc>
              <w:tc>
                <w:tcPr>
                  <w:tcW w:w="855" w:type="dxa"/>
                  <w:vAlign w:val="center"/>
                </w:tcPr>
                <w:p>
                  <w:pPr>
                    <w:tabs>
                      <w:tab w:val="left" w:pos="2861"/>
                    </w:tabs>
                    <w:adjustRightInd w:val="0"/>
                    <w:snapToGrid w:val="0"/>
                    <w:jc w:val="center"/>
                    <w:rPr>
                      <w:color w:val="auto"/>
                    </w:rPr>
                  </w:pPr>
                  <w:r>
                    <w:rPr>
                      <w:color w:val="auto"/>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536" w:type="dxa"/>
                  <w:vMerge w:val="continue"/>
                  <w:vAlign w:val="center"/>
                </w:tcPr>
                <w:p>
                  <w:pPr>
                    <w:tabs>
                      <w:tab w:val="left" w:pos="2861"/>
                    </w:tabs>
                    <w:adjustRightInd w:val="0"/>
                    <w:snapToGrid w:val="0"/>
                    <w:jc w:val="center"/>
                    <w:rPr>
                      <w:color w:val="auto"/>
                    </w:rPr>
                  </w:pPr>
                </w:p>
              </w:tc>
              <w:tc>
                <w:tcPr>
                  <w:tcW w:w="1518" w:type="dxa"/>
                  <w:vAlign w:val="center"/>
                </w:tcPr>
                <w:p>
                  <w:pPr>
                    <w:tabs>
                      <w:tab w:val="left" w:pos="2861"/>
                    </w:tabs>
                    <w:adjustRightInd w:val="0"/>
                    <w:snapToGrid w:val="0"/>
                    <w:jc w:val="center"/>
                    <w:rPr>
                      <w:color w:val="auto"/>
                    </w:rPr>
                  </w:pPr>
                  <w:r>
                    <w:rPr>
                      <w:color w:val="auto"/>
                    </w:rPr>
                    <w:t>排放量（t）</w:t>
                  </w:r>
                </w:p>
              </w:tc>
              <w:tc>
                <w:tcPr>
                  <w:tcW w:w="884" w:type="dxa"/>
                  <w:vMerge w:val="continue"/>
                  <w:vAlign w:val="center"/>
                </w:tcPr>
                <w:p>
                  <w:pPr>
                    <w:tabs>
                      <w:tab w:val="left" w:pos="2861"/>
                    </w:tabs>
                    <w:adjustRightInd w:val="0"/>
                    <w:snapToGrid w:val="0"/>
                    <w:jc w:val="center"/>
                    <w:rPr>
                      <w:color w:val="auto"/>
                    </w:rPr>
                  </w:pPr>
                </w:p>
              </w:tc>
              <w:tc>
                <w:tcPr>
                  <w:tcW w:w="1012" w:type="dxa"/>
                  <w:vAlign w:val="center"/>
                </w:tcPr>
                <w:p>
                  <w:pPr>
                    <w:tabs>
                      <w:tab w:val="left" w:pos="2861"/>
                    </w:tabs>
                    <w:adjustRightInd w:val="0"/>
                    <w:snapToGrid w:val="0"/>
                    <w:jc w:val="center"/>
                    <w:rPr>
                      <w:color w:val="auto"/>
                    </w:rPr>
                  </w:pPr>
                  <w:r>
                    <w:rPr>
                      <w:color w:val="auto"/>
                    </w:rPr>
                    <w:t>0.063</w:t>
                  </w:r>
                </w:p>
              </w:tc>
              <w:tc>
                <w:tcPr>
                  <w:tcW w:w="1010" w:type="dxa"/>
                  <w:vAlign w:val="center"/>
                </w:tcPr>
                <w:p>
                  <w:pPr>
                    <w:tabs>
                      <w:tab w:val="left" w:pos="2861"/>
                    </w:tabs>
                    <w:adjustRightInd w:val="0"/>
                    <w:snapToGrid w:val="0"/>
                    <w:jc w:val="center"/>
                    <w:rPr>
                      <w:color w:val="auto"/>
                    </w:rPr>
                  </w:pPr>
                  <w:r>
                    <w:rPr>
                      <w:color w:val="auto"/>
                    </w:rPr>
                    <w:t>0.036</w:t>
                  </w:r>
                </w:p>
              </w:tc>
              <w:tc>
                <w:tcPr>
                  <w:tcW w:w="942" w:type="dxa"/>
                  <w:vAlign w:val="center"/>
                </w:tcPr>
                <w:p>
                  <w:pPr>
                    <w:tabs>
                      <w:tab w:val="left" w:pos="2861"/>
                    </w:tabs>
                    <w:adjustRightInd w:val="0"/>
                    <w:snapToGrid w:val="0"/>
                    <w:jc w:val="center"/>
                    <w:rPr>
                      <w:color w:val="auto"/>
                    </w:rPr>
                  </w:pPr>
                  <w:r>
                    <w:rPr>
                      <w:color w:val="auto"/>
                    </w:rPr>
                    <w:t>0.036</w:t>
                  </w:r>
                </w:p>
              </w:tc>
              <w:tc>
                <w:tcPr>
                  <w:tcW w:w="855" w:type="dxa"/>
                  <w:vAlign w:val="center"/>
                </w:tcPr>
                <w:p>
                  <w:pPr>
                    <w:tabs>
                      <w:tab w:val="left" w:pos="2861"/>
                    </w:tabs>
                    <w:adjustRightInd w:val="0"/>
                    <w:snapToGrid w:val="0"/>
                    <w:jc w:val="center"/>
                    <w:rPr>
                      <w:color w:val="auto"/>
                    </w:rPr>
                  </w:pPr>
                  <w:r>
                    <w:rPr>
                      <w:color w:val="auto"/>
                    </w:rPr>
                    <w:t>0.054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536" w:type="dxa"/>
                  <w:vMerge w:val="restart"/>
                  <w:vAlign w:val="center"/>
                </w:tcPr>
                <w:p>
                  <w:pPr>
                    <w:tabs>
                      <w:tab w:val="left" w:pos="2861"/>
                    </w:tabs>
                    <w:adjustRightInd w:val="0"/>
                    <w:snapToGrid w:val="0"/>
                    <w:jc w:val="center"/>
                    <w:rPr>
                      <w:color w:val="auto"/>
                    </w:rPr>
                  </w:pPr>
                  <w:r>
                    <w:rPr>
                      <w:color w:val="auto"/>
                    </w:rPr>
                    <w:t>处理后</w:t>
                  </w:r>
                </w:p>
                <w:p>
                  <w:pPr>
                    <w:tabs>
                      <w:tab w:val="left" w:pos="2861"/>
                    </w:tabs>
                    <w:adjustRightInd w:val="0"/>
                    <w:snapToGrid w:val="0"/>
                    <w:jc w:val="center"/>
                    <w:rPr>
                      <w:color w:val="auto"/>
                    </w:rPr>
                  </w:pPr>
                  <w:r>
                    <w:rPr>
                      <w:color w:val="auto"/>
                    </w:rPr>
                    <w:t>（化粪池）</w:t>
                  </w:r>
                </w:p>
              </w:tc>
              <w:tc>
                <w:tcPr>
                  <w:tcW w:w="1518" w:type="dxa"/>
                  <w:vAlign w:val="center"/>
                </w:tcPr>
                <w:p>
                  <w:pPr>
                    <w:tabs>
                      <w:tab w:val="left" w:pos="2861"/>
                    </w:tabs>
                    <w:adjustRightInd w:val="0"/>
                    <w:snapToGrid w:val="0"/>
                    <w:jc w:val="center"/>
                    <w:rPr>
                      <w:color w:val="auto"/>
                    </w:rPr>
                  </w:pPr>
                  <w:r>
                    <w:rPr>
                      <w:color w:val="auto"/>
                    </w:rPr>
                    <w:t>浓度（mg/L）</w:t>
                  </w:r>
                </w:p>
              </w:tc>
              <w:tc>
                <w:tcPr>
                  <w:tcW w:w="884" w:type="dxa"/>
                  <w:vMerge w:val="continue"/>
                  <w:vAlign w:val="center"/>
                </w:tcPr>
                <w:p>
                  <w:pPr>
                    <w:tabs>
                      <w:tab w:val="left" w:pos="2861"/>
                    </w:tabs>
                    <w:adjustRightInd w:val="0"/>
                    <w:snapToGrid w:val="0"/>
                    <w:jc w:val="center"/>
                    <w:rPr>
                      <w:color w:val="auto"/>
                    </w:rPr>
                  </w:pPr>
                </w:p>
              </w:tc>
              <w:tc>
                <w:tcPr>
                  <w:tcW w:w="1012" w:type="dxa"/>
                  <w:vAlign w:val="center"/>
                </w:tcPr>
                <w:p>
                  <w:pPr>
                    <w:tabs>
                      <w:tab w:val="left" w:pos="2861"/>
                    </w:tabs>
                    <w:adjustRightInd w:val="0"/>
                    <w:snapToGrid w:val="0"/>
                    <w:jc w:val="center"/>
                    <w:rPr>
                      <w:color w:val="auto"/>
                    </w:rPr>
                  </w:pPr>
                  <w:r>
                    <w:rPr>
                      <w:color w:val="auto"/>
                    </w:rPr>
                    <w:t>300</w:t>
                  </w:r>
                </w:p>
              </w:tc>
              <w:tc>
                <w:tcPr>
                  <w:tcW w:w="1010" w:type="dxa"/>
                  <w:vAlign w:val="center"/>
                </w:tcPr>
                <w:p>
                  <w:pPr>
                    <w:tabs>
                      <w:tab w:val="left" w:pos="2861"/>
                    </w:tabs>
                    <w:adjustRightInd w:val="0"/>
                    <w:snapToGrid w:val="0"/>
                    <w:jc w:val="center"/>
                    <w:rPr>
                      <w:color w:val="auto"/>
                    </w:rPr>
                  </w:pPr>
                  <w:r>
                    <w:rPr>
                      <w:color w:val="auto"/>
                    </w:rPr>
                    <w:t>180</w:t>
                  </w:r>
                </w:p>
              </w:tc>
              <w:tc>
                <w:tcPr>
                  <w:tcW w:w="942" w:type="dxa"/>
                  <w:vAlign w:val="center"/>
                </w:tcPr>
                <w:p>
                  <w:pPr>
                    <w:tabs>
                      <w:tab w:val="left" w:pos="2861"/>
                    </w:tabs>
                    <w:adjustRightInd w:val="0"/>
                    <w:snapToGrid w:val="0"/>
                    <w:jc w:val="center"/>
                    <w:rPr>
                      <w:color w:val="auto"/>
                    </w:rPr>
                  </w:pPr>
                  <w:r>
                    <w:rPr>
                      <w:color w:val="auto"/>
                    </w:rPr>
                    <w:t>150</w:t>
                  </w:r>
                </w:p>
              </w:tc>
              <w:tc>
                <w:tcPr>
                  <w:tcW w:w="855" w:type="dxa"/>
                  <w:vAlign w:val="center"/>
                </w:tcPr>
                <w:p>
                  <w:pPr>
                    <w:tabs>
                      <w:tab w:val="left" w:pos="2861"/>
                    </w:tabs>
                    <w:adjustRightInd w:val="0"/>
                    <w:snapToGrid w:val="0"/>
                    <w:jc w:val="center"/>
                    <w:rPr>
                      <w:color w:val="auto"/>
                    </w:rPr>
                  </w:pPr>
                  <w:r>
                    <w:rPr>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536" w:type="dxa"/>
                  <w:vMerge w:val="continue"/>
                  <w:vAlign w:val="center"/>
                </w:tcPr>
                <w:p>
                  <w:pPr>
                    <w:tabs>
                      <w:tab w:val="left" w:pos="2861"/>
                    </w:tabs>
                    <w:adjustRightInd w:val="0"/>
                    <w:snapToGrid w:val="0"/>
                    <w:jc w:val="center"/>
                    <w:rPr>
                      <w:color w:val="auto"/>
                    </w:rPr>
                  </w:pPr>
                </w:p>
              </w:tc>
              <w:tc>
                <w:tcPr>
                  <w:tcW w:w="1518" w:type="dxa"/>
                  <w:vAlign w:val="center"/>
                </w:tcPr>
                <w:p>
                  <w:pPr>
                    <w:tabs>
                      <w:tab w:val="left" w:pos="2861"/>
                    </w:tabs>
                    <w:adjustRightInd w:val="0"/>
                    <w:snapToGrid w:val="0"/>
                    <w:jc w:val="center"/>
                    <w:rPr>
                      <w:color w:val="auto"/>
                    </w:rPr>
                  </w:pPr>
                  <w:r>
                    <w:rPr>
                      <w:color w:val="auto"/>
                    </w:rPr>
                    <w:t>排放量（t）</w:t>
                  </w:r>
                </w:p>
              </w:tc>
              <w:tc>
                <w:tcPr>
                  <w:tcW w:w="884" w:type="dxa"/>
                  <w:vMerge w:val="continue"/>
                  <w:vAlign w:val="center"/>
                </w:tcPr>
                <w:p>
                  <w:pPr>
                    <w:tabs>
                      <w:tab w:val="left" w:pos="2861"/>
                    </w:tabs>
                    <w:adjustRightInd w:val="0"/>
                    <w:snapToGrid w:val="0"/>
                    <w:jc w:val="center"/>
                    <w:rPr>
                      <w:color w:val="auto"/>
                    </w:rPr>
                  </w:pPr>
                </w:p>
              </w:tc>
              <w:tc>
                <w:tcPr>
                  <w:tcW w:w="1012" w:type="dxa"/>
                  <w:vAlign w:val="center"/>
                </w:tcPr>
                <w:p>
                  <w:pPr>
                    <w:tabs>
                      <w:tab w:val="left" w:pos="2861"/>
                    </w:tabs>
                    <w:adjustRightInd w:val="0"/>
                    <w:snapToGrid w:val="0"/>
                    <w:jc w:val="center"/>
                    <w:rPr>
                      <w:color w:val="auto"/>
                    </w:rPr>
                  </w:pPr>
                  <w:r>
                    <w:rPr>
                      <w:color w:val="auto"/>
                    </w:rPr>
                    <w:t>0.054</w:t>
                  </w:r>
                </w:p>
              </w:tc>
              <w:tc>
                <w:tcPr>
                  <w:tcW w:w="1010" w:type="dxa"/>
                  <w:vAlign w:val="center"/>
                </w:tcPr>
                <w:p>
                  <w:pPr>
                    <w:tabs>
                      <w:tab w:val="left" w:pos="2861"/>
                    </w:tabs>
                    <w:adjustRightInd w:val="0"/>
                    <w:snapToGrid w:val="0"/>
                    <w:jc w:val="center"/>
                    <w:rPr>
                      <w:color w:val="auto"/>
                    </w:rPr>
                  </w:pPr>
                  <w:r>
                    <w:rPr>
                      <w:color w:val="auto"/>
                    </w:rPr>
                    <w:t>0.0324</w:t>
                  </w:r>
                </w:p>
              </w:tc>
              <w:tc>
                <w:tcPr>
                  <w:tcW w:w="942" w:type="dxa"/>
                  <w:vAlign w:val="center"/>
                </w:tcPr>
                <w:p>
                  <w:pPr>
                    <w:tabs>
                      <w:tab w:val="left" w:pos="2861"/>
                    </w:tabs>
                    <w:adjustRightInd w:val="0"/>
                    <w:snapToGrid w:val="0"/>
                    <w:jc w:val="center"/>
                    <w:rPr>
                      <w:color w:val="auto"/>
                    </w:rPr>
                  </w:pPr>
                  <w:r>
                    <w:rPr>
                      <w:color w:val="auto"/>
                    </w:rPr>
                    <w:t>0.027</w:t>
                  </w:r>
                </w:p>
              </w:tc>
              <w:tc>
                <w:tcPr>
                  <w:tcW w:w="855" w:type="dxa"/>
                  <w:vAlign w:val="center"/>
                </w:tcPr>
                <w:p>
                  <w:pPr>
                    <w:tabs>
                      <w:tab w:val="left" w:pos="2861"/>
                    </w:tabs>
                    <w:adjustRightInd w:val="0"/>
                    <w:snapToGrid w:val="0"/>
                    <w:jc w:val="center"/>
                    <w:rPr>
                      <w:color w:val="auto"/>
                    </w:rPr>
                  </w:pPr>
                  <w:r>
                    <w:rPr>
                      <w:color w:val="auto"/>
                    </w:rPr>
                    <w:t>0.0036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054" w:type="dxa"/>
                  <w:gridSpan w:val="2"/>
                  <w:vAlign w:val="center"/>
                </w:tcPr>
                <w:p>
                  <w:pPr>
                    <w:tabs>
                      <w:tab w:val="left" w:pos="2861"/>
                    </w:tabs>
                    <w:adjustRightInd w:val="0"/>
                    <w:snapToGrid w:val="0"/>
                    <w:jc w:val="center"/>
                    <w:rPr>
                      <w:color w:val="auto"/>
                    </w:rPr>
                  </w:pPr>
                  <w:r>
                    <w:rPr>
                      <w:color w:val="auto"/>
                    </w:rPr>
                    <w:t>处理后去向</w:t>
                  </w:r>
                </w:p>
              </w:tc>
              <w:tc>
                <w:tcPr>
                  <w:tcW w:w="4703" w:type="dxa"/>
                  <w:gridSpan w:val="5"/>
                  <w:vAlign w:val="center"/>
                </w:tcPr>
                <w:p>
                  <w:pPr>
                    <w:tabs>
                      <w:tab w:val="left" w:pos="2861"/>
                    </w:tabs>
                    <w:adjustRightInd w:val="0"/>
                    <w:snapToGrid w:val="0"/>
                    <w:jc w:val="center"/>
                    <w:rPr>
                      <w:rFonts w:eastAsiaTheme="minorEastAsia"/>
                      <w:color w:val="auto"/>
                    </w:rPr>
                  </w:pPr>
                  <w:r>
                    <w:rPr>
                      <w:color w:val="auto"/>
                    </w:rPr>
                    <w:t>周边农田施肥</w:t>
                  </w:r>
                </w:p>
              </w:tc>
            </w:tr>
          </w:tbl>
          <w:p>
            <w:pPr>
              <w:adjustRightInd w:val="0"/>
              <w:snapToGrid w:val="0"/>
              <w:spacing w:line="360" w:lineRule="auto"/>
              <w:ind w:firstLine="482" w:firstLineChars="200"/>
              <w:jc w:val="left"/>
              <w:rPr>
                <w:b/>
                <w:color w:val="auto"/>
                <w:sz w:val="24"/>
              </w:rPr>
            </w:pPr>
            <w:r>
              <w:rPr>
                <w:b/>
                <w:color w:val="auto"/>
                <w:kern w:val="0"/>
                <w:sz w:val="24"/>
              </w:rPr>
              <w:t>（2）初期雨水</w:t>
            </w:r>
          </w:p>
          <w:p>
            <w:pPr>
              <w:adjustRightInd w:val="0"/>
              <w:snapToGrid w:val="0"/>
              <w:spacing w:line="360" w:lineRule="auto"/>
              <w:ind w:firstLine="480" w:firstLineChars="200"/>
              <w:jc w:val="left"/>
              <w:rPr>
                <w:color w:val="auto"/>
                <w:sz w:val="24"/>
              </w:rPr>
            </w:pPr>
            <w:r>
              <w:rPr>
                <w:color w:val="auto"/>
                <w:sz w:val="24"/>
              </w:rPr>
              <w:t>项目实行雨污分流，项目厂区雨水通过雨水沟收集。初期雨水进入厂区沉淀池，初期雨水经沉淀池沉淀后回用于产品及场内降尘使用。</w:t>
            </w:r>
          </w:p>
          <w:p>
            <w:pPr>
              <w:pStyle w:val="205"/>
              <w:adjustRightInd w:val="0"/>
              <w:snapToGrid w:val="0"/>
              <w:ind w:firstLine="496"/>
              <w:rPr>
                <w:color w:val="auto"/>
                <w:spacing w:val="4"/>
              </w:rPr>
            </w:pPr>
            <w:r>
              <w:rPr>
                <w:color w:val="auto"/>
                <w:spacing w:val="4"/>
              </w:rPr>
              <w:t>项目厂区降雨初期会产生初期雨水，对于初期雨水量，按下列公式进行计算：</w:t>
            </w:r>
          </w:p>
          <w:p>
            <w:pPr>
              <w:pStyle w:val="205"/>
              <w:adjustRightInd w:val="0"/>
              <w:snapToGrid w:val="0"/>
              <w:ind w:firstLine="2409" w:firstLineChars="1004"/>
              <w:rPr>
                <w:color w:val="auto"/>
              </w:rPr>
            </w:pPr>
            <w:r>
              <w:rPr>
                <w:color w:val="auto"/>
              </w:rPr>
              <w:t>Q＝φ×q×F×t</w:t>
            </w:r>
          </w:p>
          <w:p>
            <w:pPr>
              <w:pStyle w:val="205"/>
              <w:adjustRightInd w:val="0"/>
              <w:snapToGrid w:val="0"/>
              <w:ind w:firstLine="2409" w:firstLineChars="1004"/>
              <w:rPr>
                <w:color w:val="auto"/>
              </w:rPr>
            </w:pPr>
            <w:r>
              <w:rPr>
                <w:color w:val="auto"/>
              </w:rPr>
              <w:t>φ--径流系数，取0.4；</w:t>
            </w:r>
          </w:p>
          <w:p>
            <w:pPr>
              <w:pStyle w:val="205"/>
              <w:adjustRightInd w:val="0"/>
              <w:snapToGrid w:val="0"/>
              <w:ind w:firstLine="2409" w:firstLineChars="1004"/>
              <w:rPr>
                <w:color w:val="auto"/>
              </w:rPr>
            </w:pPr>
            <w:r>
              <w:rPr>
                <w:color w:val="auto"/>
              </w:rPr>
              <w:t>q--暴雨强度（L/S</w:t>
            </w:r>
            <w:r>
              <w:rPr>
                <w:b/>
                <w:bCs/>
                <w:snapToGrid w:val="0"/>
                <w:color w:val="auto"/>
                <w:kern w:val="0"/>
              </w:rPr>
              <w:t>·</w:t>
            </w:r>
            <w:r>
              <w:rPr>
                <w:color w:val="auto"/>
              </w:rPr>
              <w:t>hm</w:t>
            </w:r>
            <w:r>
              <w:rPr>
                <w:color w:val="auto"/>
                <w:vertAlign w:val="superscript"/>
              </w:rPr>
              <w:t>2</w:t>
            </w:r>
            <w:r>
              <w:rPr>
                <w:color w:val="auto"/>
              </w:rPr>
              <w:t>），T为重现期（2年）；</w:t>
            </w:r>
          </w:p>
          <w:p>
            <w:pPr>
              <w:pStyle w:val="205"/>
              <w:adjustRightInd w:val="0"/>
              <w:snapToGrid w:val="0"/>
              <w:ind w:firstLine="2409" w:firstLineChars="1004"/>
              <w:rPr>
                <w:color w:val="auto"/>
              </w:rPr>
            </w:pPr>
            <w:r>
              <w:rPr>
                <w:color w:val="auto"/>
              </w:rPr>
              <w:t>F--汇水面积，（hm</w:t>
            </w:r>
            <w:r>
              <w:rPr>
                <w:color w:val="auto"/>
                <w:vertAlign w:val="superscript"/>
              </w:rPr>
              <w:t>2</w:t>
            </w:r>
            <w:r>
              <w:rPr>
                <w:color w:val="auto"/>
              </w:rPr>
              <w:t>）；0.266hm</w:t>
            </w:r>
            <w:r>
              <w:rPr>
                <w:color w:val="auto"/>
                <w:vertAlign w:val="superscript"/>
              </w:rPr>
              <w:t>2</w:t>
            </w:r>
            <w:r>
              <w:rPr>
                <w:color w:val="auto"/>
              </w:rPr>
              <w:t>；</w:t>
            </w:r>
          </w:p>
          <w:p>
            <w:pPr>
              <w:pStyle w:val="205"/>
              <w:adjustRightInd w:val="0"/>
              <w:snapToGrid w:val="0"/>
              <w:ind w:firstLine="2409" w:firstLineChars="1004"/>
              <w:rPr>
                <w:color w:val="auto"/>
              </w:rPr>
            </w:pPr>
            <w:r>
              <w:rPr>
                <w:color w:val="auto"/>
              </w:rPr>
              <w:t>t--降雨历时，取0.25h。</w:t>
            </w:r>
          </w:p>
          <w:p>
            <w:pPr>
              <w:adjustRightInd w:val="0"/>
              <w:snapToGrid w:val="0"/>
              <w:spacing w:line="360" w:lineRule="auto"/>
              <w:jc w:val="left"/>
              <w:rPr>
                <w:color w:val="auto"/>
                <w:sz w:val="24"/>
              </w:rPr>
            </w:pPr>
            <w:r>
              <w:rPr>
                <w:color w:val="auto"/>
              </w:rPr>
              <w:drawing>
                <wp:inline distT="0" distB="0" distL="114300" distR="114300">
                  <wp:extent cx="5543550" cy="5271770"/>
                  <wp:effectExtent l="0" t="0" r="0" b="5080"/>
                  <wp:docPr id="17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8"/>
                          <pic:cNvPicPr>
                            <a:picLocks noChangeAspect="1"/>
                          </pic:cNvPicPr>
                        </pic:nvPicPr>
                        <pic:blipFill>
                          <a:blip r:embed="rId57"/>
                          <a:stretch>
                            <a:fillRect/>
                          </a:stretch>
                        </pic:blipFill>
                        <pic:spPr>
                          <a:xfrm>
                            <a:off x="0" y="0"/>
                            <a:ext cx="5543550" cy="5271770"/>
                          </a:xfrm>
                          <a:prstGeom prst="rect">
                            <a:avLst/>
                          </a:prstGeom>
                          <a:noFill/>
                          <a:ln>
                            <a:noFill/>
                          </a:ln>
                        </pic:spPr>
                      </pic:pic>
                    </a:graphicData>
                  </a:graphic>
                </wp:inline>
              </w:drawing>
            </w:r>
          </w:p>
          <w:p>
            <w:pPr>
              <w:adjustRightInd w:val="0"/>
              <w:snapToGrid w:val="0"/>
              <w:spacing w:line="360" w:lineRule="auto"/>
              <w:ind w:firstLine="480" w:firstLineChars="200"/>
              <w:jc w:val="left"/>
              <w:rPr>
                <w:color w:val="auto"/>
                <w:sz w:val="24"/>
              </w:rPr>
            </w:pPr>
            <w:r>
              <w:rPr>
                <w:color w:val="auto"/>
                <w:sz w:val="24"/>
              </w:rPr>
              <w:t>经计算所得，本项目前15min初期雨水量为54m</w:t>
            </w:r>
            <w:r>
              <w:rPr>
                <w:color w:val="auto"/>
                <w:sz w:val="24"/>
                <w:vertAlign w:val="superscript"/>
              </w:rPr>
              <w:t>3</w:t>
            </w:r>
            <w:r>
              <w:rPr>
                <w:color w:val="auto"/>
                <w:sz w:val="24"/>
              </w:rPr>
              <w:t>，本项目初期雨水流入厂内沉淀池（200m</w:t>
            </w:r>
            <w:r>
              <w:rPr>
                <w:color w:val="auto"/>
                <w:sz w:val="24"/>
                <w:vertAlign w:val="superscript"/>
              </w:rPr>
              <w:t>3</w:t>
            </w:r>
            <w:r>
              <w:rPr>
                <w:color w:val="auto"/>
                <w:sz w:val="24"/>
              </w:rPr>
              <w:t>）内处理，能够满足处理需求。</w:t>
            </w:r>
          </w:p>
          <w:p>
            <w:pPr>
              <w:adjustRightInd w:val="0"/>
              <w:snapToGrid w:val="0"/>
              <w:spacing w:line="360" w:lineRule="auto"/>
              <w:ind w:firstLine="482" w:firstLineChars="200"/>
              <w:jc w:val="left"/>
              <w:rPr>
                <w:b/>
                <w:bCs/>
                <w:color w:val="auto"/>
                <w:sz w:val="24"/>
              </w:rPr>
            </w:pPr>
            <w:r>
              <w:rPr>
                <w:b/>
                <w:bCs/>
                <w:color w:val="auto"/>
                <w:sz w:val="24"/>
              </w:rPr>
              <w:t>（3）搅拌设备、罐车、地面清洗废水</w:t>
            </w:r>
          </w:p>
          <w:p>
            <w:pPr>
              <w:adjustRightInd w:val="0"/>
              <w:snapToGrid w:val="0"/>
              <w:spacing w:line="360" w:lineRule="auto"/>
              <w:ind w:firstLine="480" w:firstLineChars="200"/>
              <w:jc w:val="left"/>
              <w:rPr>
                <w:color w:val="auto"/>
                <w:sz w:val="24"/>
              </w:rPr>
            </w:pPr>
            <w:r>
              <w:rPr>
                <w:color w:val="auto"/>
                <w:sz w:val="24"/>
                <w:szCs w:val="24"/>
              </w:rPr>
              <w:t>本项目不生产时使用水对搅拌设备、罐车、地面进行清洗，用水量约为</w:t>
            </w:r>
            <w:r>
              <w:rPr>
                <w:rFonts w:hint="eastAsia"/>
                <w:color w:val="auto"/>
                <w:sz w:val="24"/>
                <w:szCs w:val="24"/>
                <w:lang w:val="en-US" w:eastAsia="zh-CN"/>
              </w:rPr>
              <w:t>5</w:t>
            </w:r>
            <w:r>
              <w:rPr>
                <w:color w:val="auto"/>
                <w:sz w:val="24"/>
                <w:szCs w:val="24"/>
              </w:rPr>
              <w:t>m</w:t>
            </w:r>
            <w:r>
              <w:rPr>
                <w:color w:val="auto"/>
                <w:sz w:val="24"/>
                <w:szCs w:val="24"/>
                <w:vertAlign w:val="superscript"/>
              </w:rPr>
              <w:t>3</w:t>
            </w:r>
            <w:r>
              <w:rPr>
                <w:color w:val="auto"/>
                <w:sz w:val="24"/>
                <w:szCs w:val="24"/>
              </w:rPr>
              <w:t>/d，</w:t>
            </w:r>
            <w:r>
              <w:rPr>
                <w:rFonts w:hint="eastAsia"/>
                <w:color w:val="auto"/>
                <w:sz w:val="24"/>
                <w:szCs w:val="24"/>
                <w:lang w:eastAsia="zh-CN"/>
              </w:rPr>
              <w:t>产污量为</w:t>
            </w:r>
            <w:r>
              <w:rPr>
                <w:rFonts w:hint="eastAsia"/>
                <w:color w:val="auto"/>
                <w:sz w:val="24"/>
                <w:szCs w:val="24"/>
                <w:lang w:val="en-US" w:eastAsia="zh-CN"/>
              </w:rPr>
              <w:t>4m</w:t>
            </w:r>
            <w:r>
              <w:rPr>
                <w:rFonts w:hint="eastAsia"/>
                <w:color w:val="auto"/>
                <w:sz w:val="24"/>
                <w:szCs w:val="24"/>
                <w:vertAlign w:val="superscript"/>
                <w:lang w:val="en-US" w:eastAsia="zh-CN"/>
              </w:rPr>
              <w:t>3</w:t>
            </w:r>
            <w:r>
              <w:rPr>
                <w:rFonts w:hint="eastAsia"/>
                <w:color w:val="auto"/>
                <w:sz w:val="24"/>
                <w:szCs w:val="24"/>
                <w:lang w:val="en-US" w:eastAsia="zh-CN"/>
              </w:rPr>
              <w:t>/d，</w:t>
            </w:r>
            <w:r>
              <w:rPr>
                <w:color w:val="auto"/>
                <w:sz w:val="24"/>
              </w:rPr>
              <w:t>清洗废水经厂区内</w:t>
            </w:r>
            <w:r>
              <w:rPr>
                <w:rFonts w:hint="eastAsia"/>
                <w:color w:val="auto"/>
                <w:sz w:val="24"/>
                <w:lang w:eastAsia="zh-CN"/>
              </w:rPr>
              <w:t>集水沟</w:t>
            </w:r>
            <w:r>
              <w:rPr>
                <w:color w:val="auto"/>
                <w:sz w:val="24"/>
              </w:rPr>
              <w:t>收集进入沉淀池，项目设置1套三级沉淀池，沉淀池有效容积为200m</w:t>
            </w:r>
            <w:r>
              <w:rPr>
                <w:color w:val="auto"/>
                <w:sz w:val="24"/>
                <w:vertAlign w:val="superscript"/>
              </w:rPr>
              <w:t>3</w:t>
            </w:r>
            <w:r>
              <w:rPr>
                <w:color w:val="auto"/>
                <w:sz w:val="24"/>
              </w:rPr>
              <w:t>，沉淀后清水回用于项目生产过程中，不外排。</w:t>
            </w:r>
          </w:p>
          <w:p>
            <w:pPr>
              <w:adjustRightInd w:val="0"/>
              <w:snapToGrid w:val="0"/>
              <w:spacing w:line="360" w:lineRule="auto"/>
              <w:jc w:val="left"/>
              <w:rPr>
                <w:color w:val="auto"/>
                <w:sz w:val="24"/>
              </w:rPr>
            </w:pPr>
            <w:r>
              <w:rPr>
                <w:color w:val="auto"/>
                <w:sz w:val="24"/>
              </w:rPr>
              <w:object>
                <v:shape id="_x0000_i1066" o:spt="75" type="#_x0000_t75" style="height:148.5pt;width:415.3pt;" o:ole="t" filled="f" o:preferrelative="t" stroked="f" coordsize="21600,21600">
                  <v:path/>
                  <v:fill on="f" focussize="0,0"/>
                  <v:stroke on="f" joinstyle="miter"/>
                  <v:imagedata r:id="rId59" o:title=""/>
                  <o:lock v:ext="edit" aspectratio="f"/>
                  <w10:wrap type="none"/>
                  <w10:anchorlock/>
                </v:shape>
                <o:OLEObject Type="Embed" ProgID="Visio.Drawing.11" ShapeID="_x0000_i1066" DrawAspect="Content" ObjectID="_1468075727" r:id="rId58">
                  <o:LockedField>false</o:LockedField>
                </o:OLEObject>
              </w:object>
            </w:r>
          </w:p>
          <w:p>
            <w:pPr>
              <w:keepNext w:val="0"/>
              <w:keepLines w:val="0"/>
              <w:pageBreakBefore w:val="0"/>
              <w:widowControl w:val="0"/>
              <w:kinsoku/>
              <w:wordWrap/>
              <w:topLinePunct w:val="0"/>
              <w:autoSpaceDE/>
              <w:autoSpaceDN/>
              <w:bidi w:val="0"/>
              <w:adjustRightInd w:val="0"/>
              <w:snapToGrid w:val="0"/>
              <w:spacing w:line="360" w:lineRule="auto"/>
              <w:jc w:val="center"/>
              <w:textAlignment w:val="auto"/>
              <w:rPr>
                <w:b/>
                <w:bCs/>
                <w:color w:val="auto"/>
                <w:szCs w:val="21"/>
              </w:rPr>
            </w:pPr>
            <w:r>
              <w:rPr>
                <w:b/>
                <w:bCs/>
                <w:color w:val="auto"/>
                <w:szCs w:val="21"/>
              </w:rPr>
              <w:t>图4-1</w:t>
            </w:r>
            <w:r>
              <w:rPr>
                <w:rFonts w:hint="eastAsia"/>
                <w:b/>
                <w:bCs/>
                <w:color w:val="auto"/>
                <w:szCs w:val="21"/>
                <w:lang w:val="en-US" w:eastAsia="zh-CN"/>
              </w:rPr>
              <w:t xml:space="preserve">  </w:t>
            </w:r>
            <w:r>
              <w:rPr>
                <w:b/>
                <w:bCs/>
                <w:color w:val="auto"/>
                <w:szCs w:val="21"/>
              </w:rPr>
              <w:t>废水处理系统处理工艺流程示意图</w:t>
            </w:r>
          </w:p>
          <w:p>
            <w:pPr>
              <w:keepNext w:val="0"/>
              <w:keepLines w:val="0"/>
              <w:pageBreakBefore w:val="0"/>
              <w:widowControl w:val="0"/>
              <w:kinsoku/>
              <w:wordWrap/>
              <w:topLinePunct w:val="0"/>
              <w:autoSpaceDE/>
              <w:autoSpaceDN/>
              <w:bidi w:val="0"/>
              <w:adjustRightInd w:val="0"/>
              <w:snapToGrid w:val="0"/>
              <w:spacing w:line="360" w:lineRule="auto"/>
              <w:ind w:firstLine="482" w:firstLineChars="200"/>
              <w:jc w:val="left"/>
              <w:textAlignment w:val="auto"/>
              <w:rPr>
                <w:b/>
                <w:bCs/>
                <w:color w:val="auto"/>
                <w:sz w:val="24"/>
              </w:rPr>
            </w:pPr>
            <w:r>
              <w:rPr>
                <w:b/>
                <w:bCs/>
                <w:color w:val="auto"/>
                <w:sz w:val="24"/>
              </w:rPr>
              <w:t>废水处理措施可行性分析：</w:t>
            </w:r>
          </w:p>
          <w:p>
            <w:pPr>
              <w:keepNext w:val="0"/>
              <w:keepLines w:val="0"/>
              <w:pageBreakBefore w:val="0"/>
              <w:widowControl w:val="0"/>
              <w:kinsoku/>
              <w:wordWrap/>
              <w:topLinePunct w:val="0"/>
              <w:autoSpaceDE/>
              <w:autoSpaceDN/>
              <w:bidi w:val="0"/>
              <w:adjustRightInd w:val="0"/>
              <w:snapToGrid w:val="0"/>
              <w:spacing w:line="360" w:lineRule="auto"/>
              <w:ind w:firstLine="480" w:firstLineChars="200"/>
              <w:jc w:val="left"/>
              <w:textAlignment w:val="auto"/>
              <w:rPr>
                <w:color w:val="auto"/>
                <w:sz w:val="24"/>
              </w:rPr>
            </w:pPr>
            <w:r>
              <w:rPr>
                <w:color w:val="auto"/>
                <w:sz w:val="24"/>
              </w:rPr>
              <w:t>本项目生活污水产生量为0.75m</w:t>
            </w:r>
            <w:r>
              <w:rPr>
                <w:color w:val="auto"/>
                <w:sz w:val="24"/>
                <w:vertAlign w:val="superscript"/>
              </w:rPr>
              <w:t>3</w:t>
            </w:r>
            <w:r>
              <w:rPr>
                <w:color w:val="auto"/>
                <w:sz w:val="24"/>
              </w:rPr>
              <w:t>/d，乐山铁匠世家手工刀具有限公司化粪池为10m</w:t>
            </w:r>
            <w:r>
              <w:rPr>
                <w:color w:val="auto"/>
                <w:sz w:val="24"/>
                <w:vertAlign w:val="superscript"/>
              </w:rPr>
              <w:t>3</w:t>
            </w:r>
            <w:r>
              <w:rPr>
                <w:color w:val="auto"/>
                <w:sz w:val="24"/>
              </w:rPr>
              <w:t>，乐山铁匠世家手工刀具有限公司工作人员为10人，生活污水产生量为1.36m</w:t>
            </w:r>
            <w:r>
              <w:rPr>
                <w:color w:val="auto"/>
                <w:sz w:val="24"/>
                <w:vertAlign w:val="superscript"/>
              </w:rPr>
              <w:t>3</w:t>
            </w:r>
            <w:r>
              <w:rPr>
                <w:color w:val="auto"/>
                <w:sz w:val="24"/>
              </w:rPr>
              <w:t>/d，尚余8.64m</w:t>
            </w:r>
            <w:r>
              <w:rPr>
                <w:color w:val="auto"/>
                <w:sz w:val="24"/>
                <w:vertAlign w:val="superscript"/>
              </w:rPr>
              <w:t>3</w:t>
            </w:r>
            <w:r>
              <w:rPr>
                <w:color w:val="auto"/>
                <w:sz w:val="24"/>
              </w:rPr>
              <w:t>/d，能够满足本项目生活污水处理需求。</w:t>
            </w:r>
          </w:p>
          <w:p>
            <w:pPr>
              <w:keepNext w:val="0"/>
              <w:keepLines w:val="0"/>
              <w:pageBreakBefore w:val="0"/>
              <w:widowControl w:val="0"/>
              <w:kinsoku/>
              <w:wordWrap/>
              <w:topLinePunct w:val="0"/>
              <w:autoSpaceDE/>
              <w:autoSpaceDN/>
              <w:bidi w:val="0"/>
              <w:adjustRightInd w:val="0"/>
              <w:snapToGrid w:val="0"/>
              <w:spacing w:line="360" w:lineRule="auto"/>
              <w:ind w:firstLine="480" w:firstLineChars="200"/>
              <w:jc w:val="left"/>
              <w:textAlignment w:val="auto"/>
              <w:rPr>
                <w:color w:val="auto"/>
                <w:sz w:val="24"/>
              </w:rPr>
            </w:pPr>
            <w:r>
              <w:rPr>
                <w:color w:val="auto"/>
                <w:sz w:val="24"/>
              </w:rPr>
              <w:t>本项目清洗</w:t>
            </w:r>
            <w:r>
              <w:rPr>
                <w:rFonts w:hint="eastAsia"/>
                <w:color w:val="auto"/>
                <w:sz w:val="24"/>
                <w:lang w:eastAsia="zh-CN"/>
              </w:rPr>
              <w:t>废水量</w:t>
            </w:r>
            <w:r>
              <w:rPr>
                <w:color w:val="auto"/>
                <w:sz w:val="24"/>
              </w:rPr>
              <w:t>约为</w:t>
            </w:r>
            <w:r>
              <w:rPr>
                <w:rFonts w:hint="eastAsia"/>
                <w:color w:val="auto"/>
                <w:sz w:val="24"/>
                <w:lang w:val="en-US" w:eastAsia="zh-CN"/>
              </w:rPr>
              <w:t>4</w:t>
            </w:r>
            <w:r>
              <w:rPr>
                <w:color w:val="auto"/>
                <w:sz w:val="24"/>
              </w:rPr>
              <w:t>m</w:t>
            </w:r>
            <w:r>
              <w:rPr>
                <w:color w:val="auto"/>
                <w:sz w:val="24"/>
                <w:vertAlign w:val="superscript"/>
              </w:rPr>
              <w:t>3</w:t>
            </w:r>
            <w:r>
              <w:rPr>
                <w:color w:val="auto"/>
                <w:sz w:val="24"/>
              </w:rPr>
              <w:t>/d。根据《建筑给水排水设计标准》，污水在污水预处理池中停留时间宜采用12~24h，本项目按照废水停留时间为24h计，预处理池不应小于</w:t>
            </w:r>
            <w:r>
              <w:rPr>
                <w:rFonts w:hint="eastAsia"/>
                <w:color w:val="auto"/>
                <w:sz w:val="24"/>
                <w:lang w:val="en-US" w:eastAsia="zh-CN"/>
              </w:rPr>
              <w:t>4</w:t>
            </w:r>
            <w:r>
              <w:rPr>
                <w:color w:val="auto"/>
                <w:sz w:val="24"/>
              </w:rPr>
              <w:t>m</w:t>
            </w:r>
            <w:r>
              <w:rPr>
                <w:color w:val="auto"/>
                <w:sz w:val="24"/>
                <w:vertAlign w:val="superscript"/>
              </w:rPr>
              <w:t>3</w:t>
            </w:r>
            <w:r>
              <w:rPr>
                <w:color w:val="auto"/>
                <w:sz w:val="24"/>
              </w:rPr>
              <w:t>/d。本项目设计三级沉淀池容积为200m</w:t>
            </w:r>
            <w:r>
              <w:rPr>
                <w:color w:val="auto"/>
                <w:sz w:val="24"/>
                <w:vertAlign w:val="superscript"/>
              </w:rPr>
              <w:t>3</w:t>
            </w:r>
            <w:r>
              <w:rPr>
                <w:color w:val="auto"/>
                <w:sz w:val="24"/>
              </w:rPr>
              <w:t>，可以满足要求。</w:t>
            </w:r>
          </w:p>
          <w:p>
            <w:pPr>
              <w:keepNext w:val="0"/>
              <w:keepLines w:val="0"/>
              <w:pageBreakBefore w:val="0"/>
              <w:widowControl w:val="0"/>
              <w:kinsoku/>
              <w:wordWrap/>
              <w:topLinePunct w:val="0"/>
              <w:autoSpaceDE/>
              <w:autoSpaceDN/>
              <w:bidi w:val="0"/>
              <w:adjustRightInd w:val="0"/>
              <w:snapToGrid w:val="0"/>
              <w:spacing w:line="360" w:lineRule="auto"/>
              <w:ind w:firstLine="482" w:firstLineChars="200"/>
              <w:textAlignment w:val="auto"/>
              <w:rPr>
                <w:b/>
                <w:bCs/>
                <w:color w:val="auto"/>
                <w:sz w:val="24"/>
              </w:rPr>
            </w:pPr>
            <w:r>
              <w:rPr>
                <w:b/>
                <w:bCs/>
                <w:color w:val="auto"/>
                <w:sz w:val="24"/>
              </w:rPr>
              <w:t>综上所述，本项目废水均不外排，对周边水环境影响较小。</w:t>
            </w:r>
          </w:p>
          <w:p>
            <w:pPr>
              <w:keepNext w:val="0"/>
              <w:keepLines w:val="0"/>
              <w:pageBreakBefore w:val="0"/>
              <w:widowControl w:val="0"/>
              <w:kinsoku/>
              <w:wordWrap/>
              <w:topLinePunct w:val="0"/>
              <w:autoSpaceDE/>
              <w:autoSpaceDN/>
              <w:bidi w:val="0"/>
              <w:adjustRightInd w:val="0"/>
              <w:snapToGrid w:val="0"/>
              <w:spacing w:line="360" w:lineRule="auto"/>
              <w:ind w:firstLine="482" w:firstLineChars="200"/>
              <w:textAlignment w:val="auto"/>
              <w:rPr>
                <w:bCs/>
                <w:color w:val="auto"/>
                <w:sz w:val="24"/>
              </w:rPr>
            </w:pPr>
            <w:r>
              <w:rPr>
                <w:b/>
                <w:color w:val="auto"/>
                <w:sz w:val="24"/>
              </w:rPr>
              <w:t>（4）监测计划</w:t>
            </w:r>
          </w:p>
          <w:p>
            <w:pPr>
              <w:keepNext w:val="0"/>
              <w:keepLines w:val="0"/>
              <w:pageBreakBefore w:val="0"/>
              <w:widowControl w:val="0"/>
              <w:kinsoku/>
              <w:wordWrap/>
              <w:topLinePunct w:val="0"/>
              <w:autoSpaceDE/>
              <w:autoSpaceDN/>
              <w:bidi w:val="0"/>
              <w:adjustRightInd w:val="0"/>
              <w:snapToGrid w:val="0"/>
              <w:spacing w:line="360" w:lineRule="auto"/>
              <w:ind w:firstLine="440" w:firstLineChars="200"/>
              <w:textAlignment w:val="auto"/>
              <w:rPr>
                <w:bCs/>
                <w:color w:val="auto"/>
                <w:sz w:val="24"/>
              </w:rPr>
            </w:pPr>
            <w:r>
              <w:rPr>
                <w:bCs/>
                <w:color w:val="auto"/>
                <w:spacing w:val="-10"/>
                <w:sz w:val="24"/>
              </w:rPr>
              <w:t>本项目为</w:t>
            </w:r>
            <w:r>
              <w:rPr>
                <w:color w:val="auto"/>
                <w:sz w:val="24"/>
              </w:rPr>
              <w:t>C3029其他水泥类似制品制造，根据《固定污染源排污许可分类管理名录》（2019版），本项目为登记管理，且本项目不设置废水排放口，因此本项目运营期不涉及废水排放，无需拟定废水监测计划</w:t>
            </w:r>
            <w:r>
              <w:rPr>
                <w:bCs/>
                <w:color w:val="auto"/>
                <w:sz w:val="24"/>
              </w:rPr>
              <w:t>。</w:t>
            </w:r>
          </w:p>
          <w:p>
            <w:pPr>
              <w:keepNext w:val="0"/>
              <w:keepLines w:val="0"/>
              <w:pageBreakBefore w:val="0"/>
              <w:widowControl w:val="0"/>
              <w:kinsoku/>
              <w:wordWrap/>
              <w:topLinePunct w:val="0"/>
              <w:autoSpaceDE/>
              <w:autoSpaceDN/>
              <w:bidi w:val="0"/>
              <w:adjustRightInd w:val="0"/>
              <w:snapToGrid w:val="0"/>
              <w:spacing w:line="360" w:lineRule="auto"/>
              <w:ind w:firstLine="482" w:firstLineChars="200"/>
              <w:textAlignment w:val="auto"/>
              <w:rPr>
                <w:b/>
                <w:bCs/>
                <w:color w:val="auto"/>
                <w:sz w:val="24"/>
              </w:rPr>
            </w:pPr>
            <w:r>
              <w:rPr>
                <w:b/>
                <w:bCs/>
                <w:color w:val="auto"/>
                <w:sz w:val="24"/>
              </w:rPr>
              <w:t>3、噪声</w:t>
            </w:r>
          </w:p>
          <w:p>
            <w:pPr>
              <w:keepNext w:val="0"/>
              <w:keepLines w:val="0"/>
              <w:pageBreakBefore w:val="0"/>
              <w:widowControl w:val="0"/>
              <w:kinsoku/>
              <w:wordWrap/>
              <w:topLinePunct w:val="0"/>
              <w:autoSpaceDE/>
              <w:autoSpaceDN/>
              <w:bidi w:val="0"/>
              <w:adjustRightInd w:val="0"/>
              <w:snapToGrid w:val="0"/>
              <w:spacing w:line="360" w:lineRule="auto"/>
              <w:ind w:firstLine="424" w:firstLineChars="177"/>
              <w:textAlignment w:val="auto"/>
              <w:rPr>
                <w:b/>
                <w:bCs/>
                <w:color w:val="auto"/>
                <w:szCs w:val="21"/>
              </w:rPr>
            </w:pPr>
            <w:r>
              <w:rPr>
                <w:color w:val="auto"/>
                <w:sz w:val="24"/>
              </w:rPr>
              <w:t>项目噪声产生来自于生产过程中设备运行噪声，根据对同类型企业类别调查，噪声值分别为70～90dB（A）。</w:t>
            </w:r>
          </w:p>
          <w:p>
            <w:pPr>
              <w:pStyle w:val="292"/>
              <w:keepNext w:val="0"/>
              <w:keepLines w:val="0"/>
              <w:pageBreakBefore w:val="0"/>
              <w:widowControl w:val="0"/>
              <w:kinsoku/>
              <w:wordWrap/>
              <w:overflowPunct w:val="0"/>
              <w:topLinePunct w:val="0"/>
              <w:autoSpaceDE/>
              <w:autoSpaceDN/>
              <w:bidi w:val="0"/>
              <w:adjustRightInd w:val="0"/>
              <w:snapToGrid w:val="0"/>
              <w:spacing w:line="360" w:lineRule="auto"/>
              <w:jc w:val="center"/>
              <w:textAlignment w:val="auto"/>
              <w:outlineLvl w:val="9"/>
              <w:rPr>
                <w:rFonts w:ascii="Times New Roman" w:eastAsia="宋体" w:cs="Times New Roman"/>
                <w:color w:val="auto"/>
                <w:sz w:val="21"/>
                <w:szCs w:val="21"/>
              </w:rPr>
            </w:pPr>
            <w:r>
              <w:rPr>
                <w:rFonts w:ascii="Times New Roman" w:eastAsia="宋体" w:cs="Times New Roman"/>
                <w:color w:val="auto"/>
                <w:sz w:val="21"/>
                <w:szCs w:val="21"/>
              </w:rPr>
              <w:t>表4-</w:t>
            </w:r>
            <w:r>
              <w:rPr>
                <w:rFonts w:hint="eastAsia" w:ascii="Times New Roman" w:eastAsia="宋体" w:cs="Times New Roman"/>
                <w:color w:val="auto"/>
                <w:sz w:val="21"/>
                <w:szCs w:val="21"/>
                <w:lang w:val="en-US" w:eastAsia="zh-CN"/>
              </w:rPr>
              <w:t>9</w:t>
            </w:r>
            <w:r>
              <w:rPr>
                <w:rFonts w:ascii="Times New Roman" w:eastAsia="宋体" w:cs="Times New Roman"/>
                <w:color w:val="auto"/>
                <w:sz w:val="21"/>
                <w:szCs w:val="21"/>
              </w:rPr>
              <w:t xml:space="preserve">  拟建项目运营期噪声源强调查清单（室内声源）</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330"/>
              <w:gridCol w:w="577"/>
              <w:gridCol w:w="784"/>
              <w:gridCol w:w="648"/>
              <w:gridCol w:w="891"/>
              <w:gridCol w:w="879"/>
              <w:gridCol w:w="419"/>
              <w:gridCol w:w="367"/>
              <w:gridCol w:w="396"/>
              <w:gridCol w:w="643"/>
              <w:gridCol w:w="670"/>
              <w:gridCol w:w="443"/>
              <w:gridCol w:w="670"/>
              <w:gridCol w:w="551"/>
              <w:gridCol w:w="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86" w:type="pct"/>
                  <w:vMerge w:val="restart"/>
                  <w:noWrap/>
                  <w:vAlign w:val="center"/>
                </w:tcPr>
                <w:p>
                  <w:pPr>
                    <w:jc w:val="center"/>
                    <w:textAlignment w:val="baseline"/>
                    <w:rPr>
                      <w:b/>
                      <w:bCs/>
                      <w:color w:val="auto"/>
                      <w:sz w:val="18"/>
                      <w:szCs w:val="18"/>
                    </w:rPr>
                  </w:pPr>
                  <w:r>
                    <w:rPr>
                      <w:b/>
                      <w:bCs/>
                      <w:color w:val="auto"/>
                      <w:sz w:val="18"/>
                      <w:szCs w:val="18"/>
                    </w:rPr>
                    <w:t>序号</w:t>
                  </w:r>
                </w:p>
              </w:tc>
              <w:tc>
                <w:tcPr>
                  <w:tcW w:w="326" w:type="pct"/>
                  <w:vMerge w:val="restart"/>
                  <w:noWrap/>
                  <w:vAlign w:val="center"/>
                </w:tcPr>
                <w:p>
                  <w:pPr>
                    <w:jc w:val="center"/>
                    <w:textAlignment w:val="baseline"/>
                    <w:rPr>
                      <w:b/>
                      <w:bCs/>
                      <w:color w:val="auto"/>
                      <w:sz w:val="18"/>
                      <w:szCs w:val="18"/>
                    </w:rPr>
                  </w:pPr>
                  <w:r>
                    <w:rPr>
                      <w:b/>
                      <w:bCs/>
                      <w:color w:val="auto"/>
                      <w:sz w:val="18"/>
                      <w:szCs w:val="18"/>
                    </w:rPr>
                    <w:t>建筑物名称</w:t>
                  </w:r>
                </w:p>
              </w:tc>
              <w:tc>
                <w:tcPr>
                  <w:tcW w:w="443" w:type="pct"/>
                  <w:vMerge w:val="restart"/>
                  <w:noWrap/>
                  <w:vAlign w:val="center"/>
                </w:tcPr>
                <w:p>
                  <w:pPr>
                    <w:jc w:val="center"/>
                    <w:textAlignment w:val="baseline"/>
                    <w:rPr>
                      <w:b/>
                      <w:bCs/>
                      <w:color w:val="auto"/>
                      <w:sz w:val="18"/>
                      <w:szCs w:val="18"/>
                    </w:rPr>
                  </w:pPr>
                  <w:r>
                    <w:rPr>
                      <w:b/>
                      <w:bCs/>
                      <w:color w:val="auto"/>
                      <w:sz w:val="18"/>
                      <w:szCs w:val="18"/>
                    </w:rPr>
                    <w:t>声源名称</w:t>
                  </w:r>
                </w:p>
              </w:tc>
              <w:tc>
                <w:tcPr>
                  <w:tcW w:w="366" w:type="pct"/>
                  <w:vMerge w:val="restart"/>
                  <w:noWrap/>
                  <w:vAlign w:val="center"/>
                </w:tcPr>
                <w:p>
                  <w:pPr>
                    <w:jc w:val="center"/>
                    <w:textAlignment w:val="baseline"/>
                    <w:rPr>
                      <w:b/>
                      <w:bCs/>
                      <w:color w:val="auto"/>
                      <w:sz w:val="18"/>
                      <w:szCs w:val="18"/>
                    </w:rPr>
                  </w:pPr>
                  <w:r>
                    <w:rPr>
                      <w:b/>
                      <w:bCs/>
                      <w:color w:val="auto"/>
                      <w:sz w:val="18"/>
                      <w:szCs w:val="18"/>
                    </w:rPr>
                    <w:t>规格型号</w:t>
                  </w:r>
                </w:p>
              </w:tc>
              <w:tc>
                <w:tcPr>
                  <w:tcW w:w="503" w:type="pct"/>
                  <w:noWrap/>
                  <w:vAlign w:val="center"/>
                </w:tcPr>
                <w:p>
                  <w:pPr>
                    <w:jc w:val="center"/>
                    <w:textAlignment w:val="baseline"/>
                    <w:rPr>
                      <w:b/>
                      <w:bCs/>
                      <w:color w:val="auto"/>
                      <w:sz w:val="18"/>
                      <w:szCs w:val="18"/>
                    </w:rPr>
                  </w:pPr>
                  <w:r>
                    <w:rPr>
                      <w:b/>
                      <w:bCs/>
                      <w:color w:val="auto"/>
                      <w:sz w:val="18"/>
                      <w:szCs w:val="18"/>
                    </w:rPr>
                    <w:t>声源源强</w:t>
                  </w:r>
                </w:p>
              </w:tc>
              <w:tc>
                <w:tcPr>
                  <w:tcW w:w="497" w:type="pct"/>
                  <w:vMerge w:val="restart"/>
                  <w:noWrap/>
                  <w:vAlign w:val="center"/>
                </w:tcPr>
                <w:p>
                  <w:pPr>
                    <w:jc w:val="center"/>
                    <w:textAlignment w:val="baseline"/>
                    <w:rPr>
                      <w:b/>
                      <w:bCs/>
                      <w:color w:val="auto"/>
                      <w:sz w:val="18"/>
                      <w:szCs w:val="18"/>
                    </w:rPr>
                  </w:pPr>
                  <w:r>
                    <w:rPr>
                      <w:b/>
                      <w:bCs/>
                      <w:color w:val="auto"/>
                      <w:sz w:val="18"/>
                      <w:szCs w:val="18"/>
                    </w:rPr>
                    <w:t>声源控制措施</w:t>
                  </w:r>
                </w:p>
              </w:tc>
              <w:tc>
                <w:tcPr>
                  <w:tcW w:w="669" w:type="pct"/>
                  <w:gridSpan w:val="3"/>
                  <w:noWrap/>
                  <w:vAlign w:val="center"/>
                </w:tcPr>
                <w:p>
                  <w:pPr>
                    <w:jc w:val="center"/>
                    <w:textAlignment w:val="baseline"/>
                    <w:rPr>
                      <w:b/>
                      <w:bCs/>
                      <w:color w:val="auto"/>
                      <w:sz w:val="18"/>
                      <w:szCs w:val="18"/>
                    </w:rPr>
                  </w:pPr>
                  <w:r>
                    <w:rPr>
                      <w:b/>
                      <w:bCs/>
                      <w:color w:val="auto"/>
                      <w:sz w:val="18"/>
                      <w:szCs w:val="18"/>
                    </w:rPr>
                    <w:t>空间相对位置*/m</w:t>
                  </w:r>
                </w:p>
              </w:tc>
              <w:tc>
                <w:tcPr>
                  <w:tcW w:w="364" w:type="pct"/>
                  <w:vMerge w:val="restart"/>
                  <w:noWrap/>
                  <w:vAlign w:val="center"/>
                </w:tcPr>
                <w:p>
                  <w:pPr>
                    <w:jc w:val="center"/>
                    <w:textAlignment w:val="baseline"/>
                    <w:rPr>
                      <w:b/>
                      <w:bCs/>
                      <w:color w:val="auto"/>
                      <w:sz w:val="18"/>
                      <w:szCs w:val="18"/>
                    </w:rPr>
                  </w:pPr>
                  <w:r>
                    <w:rPr>
                      <w:b/>
                      <w:bCs/>
                      <w:color w:val="auto"/>
                      <w:sz w:val="18"/>
                      <w:szCs w:val="18"/>
                    </w:rPr>
                    <w:t>距室内边界距离/m</w:t>
                  </w:r>
                </w:p>
              </w:tc>
              <w:tc>
                <w:tcPr>
                  <w:tcW w:w="379" w:type="pct"/>
                  <w:vMerge w:val="restart"/>
                  <w:noWrap/>
                  <w:vAlign w:val="center"/>
                </w:tcPr>
                <w:p>
                  <w:pPr>
                    <w:jc w:val="center"/>
                    <w:textAlignment w:val="baseline"/>
                    <w:rPr>
                      <w:b/>
                      <w:bCs/>
                      <w:color w:val="auto"/>
                      <w:sz w:val="18"/>
                      <w:szCs w:val="18"/>
                    </w:rPr>
                  </w:pPr>
                  <w:r>
                    <w:rPr>
                      <w:b/>
                      <w:bCs/>
                      <w:color w:val="auto"/>
                      <w:sz w:val="18"/>
                      <w:szCs w:val="18"/>
                    </w:rPr>
                    <w:t>室内边界声级/dB（A）</w:t>
                  </w:r>
                </w:p>
              </w:tc>
              <w:tc>
                <w:tcPr>
                  <w:tcW w:w="251" w:type="pct"/>
                  <w:vMerge w:val="restart"/>
                  <w:noWrap/>
                  <w:vAlign w:val="center"/>
                </w:tcPr>
                <w:p>
                  <w:pPr>
                    <w:jc w:val="center"/>
                    <w:textAlignment w:val="baseline"/>
                    <w:rPr>
                      <w:b/>
                      <w:bCs/>
                      <w:color w:val="auto"/>
                      <w:sz w:val="18"/>
                      <w:szCs w:val="18"/>
                    </w:rPr>
                  </w:pPr>
                  <w:r>
                    <w:rPr>
                      <w:b/>
                      <w:bCs/>
                      <w:color w:val="auto"/>
                      <w:sz w:val="18"/>
                      <w:szCs w:val="18"/>
                    </w:rPr>
                    <w:t>运行时段</w:t>
                  </w:r>
                </w:p>
              </w:tc>
              <w:tc>
                <w:tcPr>
                  <w:tcW w:w="379" w:type="pct"/>
                  <w:vMerge w:val="restart"/>
                  <w:noWrap/>
                  <w:vAlign w:val="center"/>
                </w:tcPr>
                <w:p>
                  <w:pPr>
                    <w:jc w:val="center"/>
                    <w:textAlignment w:val="baseline"/>
                    <w:rPr>
                      <w:b/>
                      <w:bCs/>
                      <w:color w:val="auto"/>
                      <w:sz w:val="18"/>
                      <w:szCs w:val="18"/>
                    </w:rPr>
                  </w:pPr>
                  <w:r>
                    <w:rPr>
                      <w:b/>
                      <w:bCs/>
                      <w:color w:val="auto"/>
                      <w:sz w:val="18"/>
                      <w:szCs w:val="18"/>
                    </w:rPr>
                    <w:t>建筑物插入损失/dB（A）</w:t>
                  </w:r>
                </w:p>
              </w:tc>
              <w:tc>
                <w:tcPr>
                  <w:tcW w:w="632" w:type="pct"/>
                  <w:gridSpan w:val="2"/>
                  <w:noWrap/>
                  <w:vAlign w:val="center"/>
                </w:tcPr>
                <w:p>
                  <w:pPr>
                    <w:jc w:val="center"/>
                    <w:textAlignment w:val="baseline"/>
                    <w:rPr>
                      <w:b/>
                      <w:bCs/>
                      <w:color w:val="auto"/>
                      <w:sz w:val="18"/>
                      <w:szCs w:val="18"/>
                    </w:rPr>
                  </w:pPr>
                  <w:r>
                    <w:rPr>
                      <w:b/>
                      <w:bCs/>
                      <w:color w:val="auto"/>
                      <w:sz w:val="18"/>
                      <w:szCs w:val="18"/>
                    </w:rPr>
                    <w:t>建筑物外噪声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86" w:type="pct"/>
                  <w:vMerge w:val="continue"/>
                  <w:noWrap/>
                  <w:vAlign w:val="center"/>
                </w:tcPr>
                <w:p>
                  <w:pPr>
                    <w:jc w:val="center"/>
                    <w:textAlignment w:val="baseline"/>
                    <w:rPr>
                      <w:b/>
                      <w:bCs/>
                      <w:color w:val="auto"/>
                      <w:sz w:val="18"/>
                      <w:szCs w:val="18"/>
                    </w:rPr>
                  </w:pPr>
                </w:p>
              </w:tc>
              <w:tc>
                <w:tcPr>
                  <w:tcW w:w="326" w:type="pct"/>
                  <w:vMerge w:val="continue"/>
                  <w:noWrap/>
                  <w:vAlign w:val="center"/>
                </w:tcPr>
                <w:p>
                  <w:pPr>
                    <w:jc w:val="center"/>
                    <w:textAlignment w:val="baseline"/>
                    <w:rPr>
                      <w:b/>
                      <w:bCs/>
                      <w:color w:val="auto"/>
                      <w:sz w:val="18"/>
                      <w:szCs w:val="18"/>
                    </w:rPr>
                  </w:pPr>
                </w:p>
              </w:tc>
              <w:tc>
                <w:tcPr>
                  <w:tcW w:w="443" w:type="pct"/>
                  <w:vMerge w:val="continue"/>
                  <w:noWrap/>
                  <w:vAlign w:val="center"/>
                </w:tcPr>
                <w:p>
                  <w:pPr>
                    <w:jc w:val="center"/>
                    <w:textAlignment w:val="baseline"/>
                    <w:rPr>
                      <w:b/>
                      <w:bCs/>
                      <w:color w:val="auto"/>
                      <w:sz w:val="18"/>
                      <w:szCs w:val="18"/>
                    </w:rPr>
                  </w:pPr>
                </w:p>
              </w:tc>
              <w:tc>
                <w:tcPr>
                  <w:tcW w:w="366" w:type="pct"/>
                  <w:vMerge w:val="continue"/>
                  <w:noWrap/>
                  <w:vAlign w:val="center"/>
                </w:tcPr>
                <w:p>
                  <w:pPr>
                    <w:jc w:val="center"/>
                    <w:textAlignment w:val="baseline"/>
                    <w:rPr>
                      <w:b/>
                      <w:bCs/>
                      <w:color w:val="auto"/>
                      <w:sz w:val="18"/>
                      <w:szCs w:val="18"/>
                    </w:rPr>
                  </w:pPr>
                </w:p>
              </w:tc>
              <w:tc>
                <w:tcPr>
                  <w:tcW w:w="503" w:type="pct"/>
                  <w:noWrap/>
                  <w:vAlign w:val="center"/>
                </w:tcPr>
                <w:p>
                  <w:pPr>
                    <w:jc w:val="center"/>
                    <w:textAlignment w:val="baseline"/>
                    <w:rPr>
                      <w:b/>
                      <w:bCs/>
                      <w:color w:val="auto"/>
                      <w:sz w:val="18"/>
                      <w:szCs w:val="18"/>
                    </w:rPr>
                  </w:pPr>
                  <w:r>
                    <w:rPr>
                      <w:b/>
                      <w:bCs/>
                      <w:color w:val="auto"/>
                      <w:sz w:val="18"/>
                      <w:szCs w:val="18"/>
                    </w:rPr>
                    <w:t>声功率级/dB（A）</w:t>
                  </w:r>
                </w:p>
              </w:tc>
              <w:tc>
                <w:tcPr>
                  <w:tcW w:w="497" w:type="pct"/>
                  <w:vMerge w:val="continue"/>
                  <w:noWrap/>
                  <w:vAlign w:val="center"/>
                </w:tcPr>
                <w:p>
                  <w:pPr>
                    <w:jc w:val="center"/>
                    <w:textAlignment w:val="baseline"/>
                    <w:rPr>
                      <w:b/>
                      <w:bCs/>
                      <w:color w:val="auto"/>
                      <w:sz w:val="18"/>
                      <w:szCs w:val="18"/>
                    </w:rPr>
                  </w:pPr>
                </w:p>
              </w:tc>
              <w:tc>
                <w:tcPr>
                  <w:tcW w:w="237" w:type="pct"/>
                  <w:noWrap/>
                  <w:vAlign w:val="center"/>
                </w:tcPr>
                <w:p>
                  <w:pPr>
                    <w:jc w:val="center"/>
                    <w:textAlignment w:val="baseline"/>
                    <w:rPr>
                      <w:b/>
                      <w:bCs/>
                      <w:color w:val="auto"/>
                      <w:sz w:val="18"/>
                      <w:szCs w:val="18"/>
                    </w:rPr>
                  </w:pPr>
                  <w:r>
                    <w:rPr>
                      <w:b/>
                      <w:bCs/>
                      <w:color w:val="auto"/>
                      <w:sz w:val="18"/>
                      <w:szCs w:val="18"/>
                    </w:rPr>
                    <w:t>X</w:t>
                  </w:r>
                </w:p>
              </w:tc>
              <w:tc>
                <w:tcPr>
                  <w:tcW w:w="208" w:type="pct"/>
                  <w:noWrap/>
                  <w:vAlign w:val="center"/>
                </w:tcPr>
                <w:p>
                  <w:pPr>
                    <w:jc w:val="center"/>
                    <w:textAlignment w:val="baseline"/>
                    <w:rPr>
                      <w:b/>
                      <w:bCs/>
                      <w:color w:val="auto"/>
                      <w:sz w:val="18"/>
                      <w:szCs w:val="18"/>
                    </w:rPr>
                  </w:pPr>
                  <w:r>
                    <w:rPr>
                      <w:b/>
                      <w:bCs/>
                      <w:color w:val="auto"/>
                      <w:sz w:val="18"/>
                      <w:szCs w:val="18"/>
                    </w:rPr>
                    <w:t>Y</w:t>
                  </w:r>
                </w:p>
              </w:tc>
              <w:tc>
                <w:tcPr>
                  <w:tcW w:w="223" w:type="pct"/>
                  <w:noWrap/>
                  <w:vAlign w:val="center"/>
                </w:tcPr>
                <w:p>
                  <w:pPr>
                    <w:jc w:val="center"/>
                    <w:textAlignment w:val="baseline"/>
                    <w:rPr>
                      <w:b/>
                      <w:bCs/>
                      <w:color w:val="auto"/>
                      <w:sz w:val="18"/>
                      <w:szCs w:val="18"/>
                    </w:rPr>
                  </w:pPr>
                  <w:r>
                    <w:rPr>
                      <w:b/>
                      <w:bCs/>
                      <w:color w:val="auto"/>
                      <w:sz w:val="18"/>
                      <w:szCs w:val="18"/>
                    </w:rPr>
                    <w:t>Z</w:t>
                  </w:r>
                </w:p>
              </w:tc>
              <w:tc>
                <w:tcPr>
                  <w:tcW w:w="364" w:type="pct"/>
                  <w:vMerge w:val="continue"/>
                  <w:noWrap/>
                  <w:vAlign w:val="center"/>
                </w:tcPr>
                <w:p>
                  <w:pPr>
                    <w:jc w:val="center"/>
                    <w:textAlignment w:val="baseline"/>
                    <w:rPr>
                      <w:b/>
                      <w:bCs/>
                      <w:color w:val="auto"/>
                      <w:sz w:val="18"/>
                      <w:szCs w:val="18"/>
                    </w:rPr>
                  </w:pPr>
                </w:p>
              </w:tc>
              <w:tc>
                <w:tcPr>
                  <w:tcW w:w="379" w:type="pct"/>
                  <w:vMerge w:val="continue"/>
                  <w:noWrap/>
                  <w:vAlign w:val="center"/>
                </w:tcPr>
                <w:p>
                  <w:pPr>
                    <w:jc w:val="center"/>
                    <w:textAlignment w:val="baseline"/>
                    <w:rPr>
                      <w:b/>
                      <w:bCs/>
                      <w:color w:val="auto"/>
                      <w:sz w:val="18"/>
                      <w:szCs w:val="18"/>
                    </w:rPr>
                  </w:pPr>
                </w:p>
              </w:tc>
              <w:tc>
                <w:tcPr>
                  <w:tcW w:w="251" w:type="pct"/>
                  <w:vMerge w:val="continue"/>
                  <w:noWrap/>
                  <w:vAlign w:val="center"/>
                </w:tcPr>
                <w:p>
                  <w:pPr>
                    <w:jc w:val="center"/>
                    <w:textAlignment w:val="baseline"/>
                    <w:rPr>
                      <w:b/>
                      <w:bCs/>
                      <w:color w:val="auto"/>
                      <w:sz w:val="18"/>
                      <w:szCs w:val="18"/>
                    </w:rPr>
                  </w:pPr>
                </w:p>
              </w:tc>
              <w:tc>
                <w:tcPr>
                  <w:tcW w:w="379" w:type="pct"/>
                  <w:vMerge w:val="continue"/>
                  <w:noWrap/>
                  <w:vAlign w:val="center"/>
                </w:tcPr>
                <w:p>
                  <w:pPr>
                    <w:jc w:val="center"/>
                    <w:textAlignment w:val="baseline"/>
                    <w:rPr>
                      <w:b/>
                      <w:bCs/>
                      <w:color w:val="auto"/>
                      <w:sz w:val="18"/>
                      <w:szCs w:val="18"/>
                    </w:rPr>
                  </w:pPr>
                </w:p>
              </w:tc>
              <w:tc>
                <w:tcPr>
                  <w:tcW w:w="312" w:type="pct"/>
                  <w:noWrap/>
                  <w:vAlign w:val="center"/>
                </w:tcPr>
                <w:p>
                  <w:pPr>
                    <w:jc w:val="center"/>
                    <w:textAlignment w:val="baseline"/>
                    <w:rPr>
                      <w:b/>
                      <w:bCs/>
                      <w:color w:val="auto"/>
                      <w:sz w:val="18"/>
                      <w:szCs w:val="18"/>
                    </w:rPr>
                  </w:pPr>
                  <w:r>
                    <w:rPr>
                      <w:b/>
                      <w:bCs/>
                      <w:color w:val="auto"/>
                      <w:sz w:val="18"/>
                      <w:szCs w:val="18"/>
                    </w:rPr>
                    <w:t>声压级/dB（A）</w:t>
                  </w:r>
                </w:p>
              </w:tc>
              <w:tc>
                <w:tcPr>
                  <w:tcW w:w="319" w:type="pct"/>
                  <w:noWrap/>
                  <w:vAlign w:val="center"/>
                </w:tcPr>
                <w:p>
                  <w:pPr>
                    <w:jc w:val="center"/>
                    <w:textAlignment w:val="baseline"/>
                    <w:rPr>
                      <w:b/>
                      <w:bCs/>
                      <w:color w:val="auto"/>
                      <w:sz w:val="18"/>
                      <w:szCs w:val="18"/>
                    </w:rPr>
                  </w:pPr>
                  <w:r>
                    <w:rPr>
                      <w:b/>
                      <w:bCs/>
                      <w:color w:val="auto"/>
                      <w:sz w:val="18"/>
                      <w:szCs w:val="18"/>
                    </w:rPr>
                    <w:t>建筑物外距离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0" w:hRule="atLeast"/>
                <w:jc w:val="center"/>
              </w:trPr>
              <w:tc>
                <w:tcPr>
                  <w:tcW w:w="186" w:type="pct"/>
                  <w:noWrap/>
                  <w:vAlign w:val="center"/>
                </w:tcPr>
                <w:p>
                  <w:pPr>
                    <w:widowControl/>
                    <w:jc w:val="center"/>
                    <w:rPr>
                      <w:color w:val="auto"/>
                      <w:szCs w:val="21"/>
                    </w:rPr>
                  </w:pPr>
                  <w:r>
                    <w:rPr>
                      <w:color w:val="auto"/>
                      <w:kern w:val="0"/>
                      <w:szCs w:val="21"/>
                    </w:rPr>
                    <w:t>1</w:t>
                  </w:r>
                </w:p>
              </w:tc>
              <w:tc>
                <w:tcPr>
                  <w:tcW w:w="326" w:type="pct"/>
                  <w:vMerge w:val="restart"/>
                  <w:noWrap/>
                  <w:vAlign w:val="center"/>
                </w:tcPr>
                <w:p>
                  <w:pPr>
                    <w:jc w:val="center"/>
                    <w:textAlignment w:val="baseline"/>
                    <w:rPr>
                      <w:color w:val="auto"/>
                      <w:szCs w:val="21"/>
                    </w:rPr>
                  </w:pPr>
                  <w:r>
                    <w:rPr>
                      <w:color w:val="auto"/>
                      <w:kern w:val="0"/>
                      <w:szCs w:val="21"/>
                    </w:rPr>
                    <w:t>生产车间</w:t>
                  </w:r>
                </w:p>
              </w:tc>
              <w:tc>
                <w:tcPr>
                  <w:tcW w:w="443" w:type="pct"/>
                  <w:noWrap/>
                  <w:vAlign w:val="center"/>
                </w:tcPr>
                <w:p>
                  <w:pPr>
                    <w:widowControl/>
                    <w:adjustRightInd w:val="0"/>
                    <w:snapToGrid w:val="0"/>
                    <w:jc w:val="center"/>
                    <w:textAlignment w:val="center"/>
                    <w:rPr>
                      <w:color w:val="auto"/>
                      <w:szCs w:val="21"/>
                    </w:rPr>
                  </w:pPr>
                  <w:r>
                    <w:rPr>
                      <w:color w:val="auto"/>
                      <w:kern w:val="0"/>
                      <w:szCs w:val="21"/>
                    </w:rPr>
                    <w:t>搅拌机</w:t>
                  </w:r>
                </w:p>
              </w:tc>
              <w:tc>
                <w:tcPr>
                  <w:tcW w:w="366" w:type="pct"/>
                  <w:noWrap/>
                  <w:vAlign w:val="center"/>
                </w:tcPr>
                <w:p>
                  <w:pPr>
                    <w:widowControl/>
                    <w:adjustRightInd w:val="0"/>
                    <w:snapToGrid w:val="0"/>
                    <w:jc w:val="center"/>
                    <w:textAlignment w:val="center"/>
                    <w:rPr>
                      <w:color w:val="auto"/>
                      <w:szCs w:val="21"/>
                    </w:rPr>
                  </w:pPr>
                  <w:r>
                    <w:rPr>
                      <w:color w:val="auto"/>
                      <w:kern w:val="0"/>
                      <w:szCs w:val="21"/>
                    </w:rPr>
                    <w:t>HZS90</w:t>
                  </w:r>
                </w:p>
              </w:tc>
              <w:tc>
                <w:tcPr>
                  <w:tcW w:w="503" w:type="pct"/>
                  <w:noWrap/>
                  <w:vAlign w:val="center"/>
                </w:tcPr>
                <w:p>
                  <w:pPr>
                    <w:adjustRightInd w:val="0"/>
                    <w:snapToGrid w:val="0"/>
                    <w:jc w:val="center"/>
                    <w:rPr>
                      <w:color w:val="auto"/>
                      <w:szCs w:val="20"/>
                    </w:rPr>
                  </w:pPr>
                  <w:r>
                    <w:rPr>
                      <w:color w:val="auto"/>
                      <w:szCs w:val="20"/>
                    </w:rPr>
                    <w:t>80</w:t>
                  </w:r>
                </w:p>
              </w:tc>
              <w:tc>
                <w:tcPr>
                  <w:tcW w:w="497" w:type="pct"/>
                  <w:vMerge w:val="restart"/>
                  <w:noWrap/>
                  <w:vAlign w:val="center"/>
                </w:tcPr>
                <w:p>
                  <w:pPr>
                    <w:jc w:val="center"/>
                    <w:textAlignment w:val="baseline"/>
                    <w:rPr>
                      <w:color w:val="auto"/>
                      <w:szCs w:val="21"/>
                    </w:rPr>
                  </w:pPr>
                  <w:r>
                    <w:rPr>
                      <w:color w:val="auto"/>
                      <w:szCs w:val="21"/>
                    </w:rPr>
                    <w:t>通过安装基座减震、隔挡等措施</w:t>
                  </w:r>
                </w:p>
              </w:tc>
              <w:tc>
                <w:tcPr>
                  <w:tcW w:w="237" w:type="pct"/>
                  <w:noWrap/>
                  <w:vAlign w:val="center"/>
                </w:tcPr>
                <w:p>
                  <w:pPr>
                    <w:jc w:val="center"/>
                    <w:textAlignment w:val="baseline"/>
                    <w:rPr>
                      <w:color w:val="auto"/>
                      <w:szCs w:val="21"/>
                    </w:rPr>
                  </w:pPr>
                  <w:r>
                    <w:rPr>
                      <w:color w:val="auto"/>
                      <w:szCs w:val="21"/>
                    </w:rPr>
                    <w:t>12</w:t>
                  </w:r>
                </w:p>
              </w:tc>
              <w:tc>
                <w:tcPr>
                  <w:tcW w:w="208" w:type="pct"/>
                  <w:noWrap/>
                  <w:vAlign w:val="center"/>
                </w:tcPr>
                <w:p>
                  <w:pPr>
                    <w:jc w:val="center"/>
                    <w:textAlignment w:val="baseline"/>
                    <w:rPr>
                      <w:color w:val="auto"/>
                      <w:szCs w:val="21"/>
                    </w:rPr>
                  </w:pPr>
                  <w:r>
                    <w:rPr>
                      <w:color w:val="auto"/>
                      <w:szCs w:val="21"/>
                    </w:rPr>
                    <w:t>50</w:t>
                  </w:r>
                </w:p>
              </w:tc>
              <w:tc>
                <w:tcPr>
                  <w:tcW w:w="223" w:type="pct"/>
                  <w:noWrap/>
                  <w:vAlign w:val="center"/>
                </w:tcPr>
                <w:p>
                  <w:pPr>
                    <w:jc w:val="center"/>
                    <w:textAlignment w:val="baseline"/>
                    <w:rPr>
                      <w:color w:val="auto"/>
                      <w:szCs w:val="21"/>
                    </w:rPr>
                  </w:pPr>
                  <w:r>
                    <w:rPr>
                      <w:color w:val="auto"/>
                      <w:szCs w:val="21"/>
                    </w:rPr>
                    <w:t>4</w:t>
                  </w:r>
                </w:p>
              </w:tc>
              <w:tc>
                <w:tcPr>
                  <w:tcW w:w="364" w:type="pct"/>
                  <w:noWrap/>
                  <w:vAlign w:val="center"/>
                </w:tcPr>
                <w:p>
                  <w:pPr>
                    <w:jc w:val="center"/>
                    <w:textAlignment w:val="baseline"/>
                    <w:rPr>
                      <w:color w:val="auto"/>
                      <w:szCs w:val="21"/>
                    </w:rPr>
                  </w:pPr>
                  <w:r>
                    <w:rPr>
                      <w:color w:val="auto"/>
                      <w:szCs w:val="21"/>
                    </w:rPr>
                    <w:t>3</w:t>
                  </w:r>
                </w:p>
              </w:tc>
              <w:tc>
                <w:tcPr>
                  <w:tcW w:w="379" w:type="pct"/>
                  <w:noWrap/>
                  <w:vAlign w:val="center"/>
                </w:tcPr>
                <w:p>
                  <w:pPr>
                    <w:widowControl/>
                    <w:jc w:val="center"/>
                    <w:rPr>
                      <w:color w:val="auto"/>
                      <w:szCs w:val="21"/>
                    </w:rPr>
                  </w:pPr>
                  <w:r>
                    <w:rPr>
                      <w:color w:val="auto"/>
                      <w:szCs w:val="21"/>
                    </w:rPr>
                    <w:t>70</w:t>
                  </w:r>
                </w:p>
              </w:tc>
              <w:tc>
                <w:tcPr>
                  <w:tcW w:w="251" w:type="pct"/>
                  <w:vMerge w:val="restart"/>
                  <w:noWrap/>
                  <w:vAlign w:val="center"/>
                </w:tcPr>
                <w:p>
                  <w:pPr>
                    <w:jc w:val="center"/>
                    <w:textAlignment w:val="baseline"/>
                    <w:rPr>
                      <w:color w:val="auto"/>
                      <w:szCs w:val="21"/>
                    </w:rPr>
                  </w:pPr>
                  <w:r>
                    <w:rPr>
                      <w:color w:val="auto"/>
                      <w:szCs w:val="21"/>
                    </w:rPr>
                    <w:t>12h/d</w:t>
                  </w:r>
                </w:p>
              </w:tc>
              <w:tc>
                <w:tcPr>
                  <w:tcW w:w="379" w:type="pct"/>
                  <w:vMerge w:val="restart"/>
                  <w:noWrap/>
                  <w:vAlign w:val="center"/>
                </w:tcPr>
                <w:p>
                  <w:pPr>
                    <w:jc w:val="center"/>
                    <w:textAlignment w:val="baseline"/>
                    <w:rPr>
                      <w:color w:val="auto"/>
                      <w:szCs w:val="21"/>
                    </w:rPr>
                  </w:pPr>
                  <w:r>
                    <w:rPr>
                      <w:color w:val="auto"/>
                      <w:szCs w:val="21"/>
                    </w:rPr>
                    <w:t>15</w:t>
                  </w:r>
                </w:p>
              </w:tc>
              <w:tc>
                <w:tcPr>
                  <w:tcW w:w="312" w:type="pct"/>
                  <w:noWrap/>
                  <w:vAlign w:val="center"/>
                </w:tcPr>
                <w:p>
                  <w:pPr>
                    <w:adjustRightInd w:val="0"/>
                    <w:snapToGrid w:val="0"/>
                    <w:jc w:val="center"/>
                    <w:rPr>
                      <w:color w:val="auto"/>
                      <w:szCs w:val="20"/>
                    </w:rPr>
                  </w:pPr>
                  <w:r>
                    <w:rPr>
                      <w:color w:val="auto"/>
                      <w:szCs w:val="20"/>
                    </w:rPr>
                    <w:t>55</w:t>
                  </w:r>
                </w:p>
              </w:tc>
              <w:tc>
                <w:tcPr>
                  <w:tcW w:w="319" w:type="pct"/>
                  <w:vMerge w:val="restart"/>
                  <w:noWrap/>
                  <w:vAlign w:val="center"/>
                </w:tcPr>
                <w:p>
                  <w:pPr>
                    <w:widowControl/>
                    <w:jc w:val="center"/>
                    <w:rPr>
                      <w:color w:val="auto"/>
                      <w:szCs w:val="21"/>
                    </w:rPr>
                  </w:pPr>
                  <w:r>
                    <w:rPr>
                      <w:color w:val="auto"/>
                      <w:szCs w:val="21"/>
                    </w:rPr>
                    <w:t>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67" w:hRule="atLeast"/>
                <w:jc w:val="center"/>
              </w:trPr>
              <w:tc>
                <w:tcPr>
                  <w:tcW w:w="186" w:type="pct"/>
                  <w:noWrap/>
                  <w:vAlign w:val="center"/>
                </w:tcPr>
                <w:p>
                  <w:pPr>
                    <w:widowControl/>
                    <w:jc w:val="center"/>
                    <w:rPr>
                      <w:color w:val="auto"/>
                      <w:szCs w:val="21"/>
                    </w:rPr>
                  </w:pPr>
                  <w:r>
                    <w:rPr>
                      <w:color w:val="auto"/>
                      <w:kern w:val="0"/>
                      <w:szCs w:val="21"/>
                    </w:rPr>
                    <w:t>2</w:t>
                  </w:r>
                </w:p>
              </w:tc>
              <w:tc>
                <w:tcPr>
                  <w:tcW w:w="326" w:type="pct"/>
                  <w:vMerge w:val="continue"/>
                  <w:noWrap/>
                  <w:vAlign w:val="center"/>
                </w:tcPr>
                <w:p>
                  <w:pPr>
                    <w:jc w:val="center"/>
                    <w:textAlignment w:val="baseline"/>
                    <w:rPr>
                      <w:color w:val="auto"/>
                      <w:szCs w:val="21"/>
                    </w:rPr>
                  </w:pPr>
                </w:p>
              </w:tc>
              <w:tc>
                <w:tcPr>
                  <w:tcW w:w="443" w:type="pct"/>
                  <w:noWrap/>
                  <w:vAlign w:val="center"/>
                </w:tcPr>
                <w:p>
                  <w:pPr>
                    <w:widowControl/>
                    <w:adjustRightInd w:val="0"/>
                    <w:snapToGrid w:val="0"/>
                    <w:jc w:val="center"/>
                    <w:textAlignment w:val="center"/>
                    <w:rPr>
                      <w:color w:val="auto"/>
                      <w:szCs w:val="21"/>
                    </w:rPr>
                  </w:pPr>
                  <w:r>
                    <w:rPr>
                      <w:color w:val="auto"/>
                      <w:szCs w:val="21"/>
                    </w:rPr>
                    <w:t>配料机</w:t>
                  </w:r>
                </w:p>
              </w:tc>
              <w:tc>
                <w:tcPr>
                  <w:tcW w:w="366" w:type="pct"/>
                  <w:noWrap/>
                  <w:vAlign w:val="center"/>
                </w:tcPr>
                <w:p>
                  <w:pPr>
                    <w:widowControl/>
                    <w:adjustRightInd w:val="0"/>
                    <w:snapToGrid w:val="0"/>
                    <w:jc w:val="center"/>
                    <w:textAlignment w:val="center"/>
                    <w:rPr>
                      <w:color w:val="auto"/>
                      <w:szCs w:val="21"/>
                    </w:rPr>
                  </w:pPr>
                  <w:r>
                    <w:rPr>
                      <w:color w:val="auto"/>
                      <w:szCs w:val="21"/>
                    </w:rPr>
                    <w:t>PLD2400</w:t>
                  </w:r>
                </w:p>
              </w:tc>
              <w:tc>
                <w:tcPr>
                  <w:tcW w:w="503" w:type="pct"/>
                  <w:noWrap/>
                  <w:vAlign w:val="center"/>
                </w:tcPr>
                <w:p>
                  <w:pPr>
                    <w:adjustRightInd w:val="0"/>
                    <w:snapToGrid w:val="0"/>
                    <w:jc w:val="center"/>
                    <w:rPr>
                      <w:color w:val="auto"/>
                      <w:szCs w:val="20"/>
                    </w:rPr>
                  </w:pPr>
                  <w:r>
                    <w:rPr>
                      <w:color w:val="auto"/>
                      <w:szCs w:val="20"/>
                    </w:rPr>
                    <w:t>80</w:t>
                  </w:r>
                </w:p>
              </w:tc>
              <w:tc>
                <w:tcPr>
                  <w:tcW w:w="497" w:type="pct"/>
                  <w:vMerge w:val="continue"/>
                  <w:noWrap/>
                  <w:vAlign w:val="center"/>
                </w:tcPr>
                <w:p>
                  <w:pPr>
                    <w:jc w:val="center"/>
                    <w:textAlignment w:val="baseline"/>
                    <w:rPr>
                      <w:color w:val="auto"/>
                      <w:szCs w:val="21"/>
                    </w:rPr>
                  </w:pPr>
                </w:p>
              </w:tc>
              <w:tc>
                <w:tcPr>
                  <w:tcW w:w="237" w:type="pct"/>
                  <w:noWrap/>
                  <w:vAlign w:val="center"/>
                </w:tcPr>
                <w:p>
                  <w:pPr>
                    <w:jc w:val="center"/>
                    <w:textAlignment w:val="baseline"/>
                    <w:rPr>
                      <w:color w:val="auto"/>
                      <w:szCs w:val="21"/>
                    </w:rPr>
                  </w:pPr>
                  <w:r>
                    <w:rPr>
                      <w:color w:val="auto"/>
                      <w:szCs w:val="21"/>
                    </w:rPr>
                    <w:t>25</w:t>
                  </w:r>
                </w:p>
              </w:tc>
              <w:tc>
                <w:tcPr>
                  <w:tcW w:w="208" w:type="pct"/>
                  <w:noWrap/>
                  <w:vAlign w:val="center"/>
                </w:tcPr>
                <w:p>
                  <w:pPr>
                    <w:jc w:val="center"/>
                    <w:textAlignment w:val="baseline"/>
                    <w:rPr>
                      <w:color w:val="auto"/>
                      <w:szCs w:val="21"/>
                    </w:rPr>
                  </w:pPr>
                  <w:r>
                    <w:rPr>
                      <w:color w:val="auto"/>
                      <w:szCs w:val="21"/>
                    </w:rPr>
                    <w:t>25</w:t>
                  </w:r>
                </w:p>
              </w:tc>
              <w:tc>
                <w:tcPr>
                  <w:tcW w:w="223" w:type="pct"/>
                  <w:noWrap/>
                  <w:vAlign w:val="center"/>
                </w:tcPr>
                <w:p>
                  <w:pPr>
                    <w:jc w:val="center"/>
                    <w:textAlignment w:val="baseline"/>
                    <w:rPr>
                      <w:color w:val="auto"/>
                      <w:szCs w:val="21"/>
                    </w:rPr>
                  </w:pPr>
                  <w:r>
                    <w:rPr>
                      <w:color w:val="auto"/>
                      <w:szCs w:val="21"/>
                    </w:rPr>
                    <w:t>1</w:t>
                  </w:r>
                </w:p>
              </w:tc>
              <w:tc>
                <w:tcPr>
                  <w:tcW w:w="364" w:type="pct"/>
                  <w:noWrap/>
                  <w:vAlign w:val="center"/>
                </w:tcPr>
                <w:p>
                  <w:pPr>
                    <w:jc w:val="center"/>
                    <w:textAlignment w:val="baseline"/>
                    <w:rPr>
                      <w:color w:val="auto"/>
                      <w:szCs w:val="21"/>
                    </w:rPr>
                  </w:pPr>
                  <w:r>
                    <w:rPr>
                      <w:color w:val="auto"/>
                      <w:szCs w:val="21"/>
                    </w:rPr>
                    <w:t>5</w:t>
                  </w:r>
                </w:p>
              </w:tc>
              <w:tc>
                <w:tcPr>
                  <w:tcW w:w="379" w:type="pct"/>
                  <w:noWrap/>
                  <w:vAlign w:val="center"/>
                </w:tcPr>
                <w:p>
                  <w:pPr>
                    <w:widowControl/>
                    <w:jc w:val="center"/>
                    <w:rPr>
                      <w:color w:val="auto"/>
                      <w:szCs w:val="21"/>
                    </w:rPr>
                  </w:pPr>
                  <w:r>
                    <w:rPr>
                      <w:color w:val="auto"/>
                      <w:szCs w:val="21"/>
                    </w:rPr>
                    <w:t>66</w:t>
                  </w:r>
                </w:p>
              </w:tc>
              <w:tc>
                <w:tcPr>
                  <w:tcW w:w="251" w:type="pct"/>
                  <w:vMerge w:val="continue"/>
                  <w:noWrap/>
                  <w:vAlign w:val="center"/>
                </w:tcPr>
                <w:p>
                  <w:pPr>
                    <w:jc w:val="center"/>
                    <w:textAlignment w:val="baseline"/>
                    <w:rPr>
                      <w:color w:val="auto"/>
                      <w:szCs w:val="21"/>
                    </w:rPr>
                  </w:pPr>
                </w:p>
              </w:tc>
              <w:tc>
                <w:tcPr>
                  <w:tcW w:w="379" w:type="pct"/>
                  <w:vMerge w:val="continue"/>
                  <w:noWrap/>
                  <w:vAlign w:val="center"/>
                </w:tcPr>
                <w:p>
                  <w:pPr>
                    <w:jc w:val="center"/>
                    <w:textAlignment w:val="baseline"/>
                    <w:rPr>
                      <w:color w:val="auto"/>
                      <w:szCs w:val="21"/>
                    </w:rPr>
                  </w:pPr>
                </w:p>
              </w:tc>
              <w:tc>
                <w:tcPr>
                  <w:tcW w:w="312" w:type="pct"/>
                  <w:noWrap/>
                  <w:vAlign w:val="center"/>
                </w:tcPr>
                <w:p>
                  <w:pPr>
                    <w:adjustRightInd w:val="0"/>
                    <w:snapToGrid w:val="0"/>
                    <w:jc w:val="center"/>
                    <w:rPr>
                      <w:color w:val="auto"/>
                      <w:szCs w:val="20"/>
                    </w:rPr>
                  </w:pPr>
                  <w:r>
                    <w:rPr>
                      <w:color w:val="auto"/>
                      <w:szCs w:val="20"/>
                    </w:rPr>
                    <w:t>51</w:t>
                  </w:r>
                </w:p>
              </w:tc>
              <w:tc>
                <w:tcPr>
                  <w:tcW w:w="319" w:type="pct"/>
                  <w:vMerge w:val="continue"/>
                  <w:noWrap/>
                  <w:vAlign w:val="center"/>
                </w:tcPr>
                <w:p>
                  <w:pPr>
                    <w:widowControl/>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08" w:hRule="atLeast"/>
                <w:jc w:val="center"/>
              </w:trPr>
              <w:tc>
                <w:tcPr>
                  <w:tcW w:w="186" w:type="pct"/>
                  <w:noWrap/>
                  <w:vAlign w:val="center"/>
                </w:tcPr>
                <w:p>
                  <w:pPr>
                    <w:widowControl/>
                    <w:jc w:val="center"/>
                    <w:rPr>
                      <w:color w:val="auto"/>
                      <w:szCs w:val="21"/>
                    </w:rPr>
                  </w:pPr>
                  <w:r>
                    <w:rPr>
                      <w:color w:val="auto"/>
                      <w:kern w:val="0"/>
                      <w:szCs w:val="21"/>
                    </w:rPr>
                    <w:t>3</w:t>
                  </w:r>
                </w:p>
              </w:tc>
              <w:tc>
                <w:tcPr>
                  <w:tcW w:w="326" w:type="pct"/>
                  <w:vMerge w:val="continue"/>
                  <w:noWrap/>
                  <w:vAlign w:val="center"/>
                </w:tcPr>
                <w:p>
                  <w:pPr>
                    <w:jc w:val="center"/>
                    <w:textAlignment w:val="baseline"/>
                    <w:rPr>
                      <w:color w:val="auto"/>
                      <w:szCs w:val="21"/>
                    </w:rPr>
                  </w:pPr>
                </w:p>
              </w:tc>
              <w:tc>
                <w:tcPr>
                  <w:tcW w:w="443" w:type="pct"/>
                  <w:noWrap/>
                  <w:vAlign w:val="center"/>
                </w:tcPr>
                <w:p>
                  <w:pPr>
                    <w:adjustRightInd w:val="0"/>
                    <w:snapToGrid w:val="0"/>
                    <w:jc w:val="center"/>
                    <w:rPr>
                      <w:color w:val="auto"/>
                      <w:kern w:val="0"/>
                      <w:szCs w:val="21"/>
                    </w:rPr>
                  </w:pPr>
                  <w:r>
                    <w:rPr>
                      <w:color w:val="auto"/>
                      <w:szCs w:val="21"/>
                    </w:rPr>
                    <w:t>皮带传送机</w:t>
                  </w:r>
                </w:p>
              </w:tc>
              <w:tc>
                <w:tcPr>
                  <w:tcW w:w="366" w:type="pct"/>
                  <w:noWrap/>
                  <w:vAlign w:val="center"/>
                </w:tcPr>
                <w:p>
                  <w:pPr>
                    <w:widowControl/>
                    <w:jc w:val="center"/>
                    <w:textAlignment w:val="center"/>
                    <w:rPr>
                      <w:color w:val="auto"/>
                      <w:kern w:val="0"/>
                      <w:szCs w:val="21"/>
                    </w:rPr>
                  </w:pPr>
                  <w:r>
                    <w:rPr>
                      <w:color w:val="auto"/>
                      <w:kern w:val="0"/>
                      <w:szCs w:val="21"/>
                    </w:rPr>
                    <w:t>/</w:t>
                  </w:r>
                </w:p>
              </w:tc>
              <w:tc>
                <w:tcPr>
                  <w:tcW w:w="503" w:type="pct"/>
                  <w:noWrap/>
                  <w:vAlign w:val="center"/>
                </w:tcPr>
                <w:p>
                  <w:pPr>
                    <w:adjustRightInd w:val="0"/>
                    <w:snapToGrid w:val="0"/>
                    <w:jc w:val="center"/>
                    <w:rPr>
                      <w:color w:val="auto"/>
                      <w:szCs w:val="20"/>
                    </w:rPr>
                  </w:pPr>
                  <w:r>
                    <w:rPr>
                      <w:color w:val="auto"/>
                      <w:szCs w:val="20"/>
                    </w:rPr>
                    <w:t>70</w:t>
                  </w:r>
                </w:p>
              </w:tc>
              <w:tc>
                <w:tcPr>
                  <w:tcW w:w="497" w:type="pct"/>
                  <w:vMerge w:val="continue"/>
                  <w:noWrap/>
                  <w:vAlign w:val="center"/>
                </w:tcPr>
                <w:p>
                  <w:pPr>
                    <w:jc w:val="center"/>
                    <w:textAlignment w:val="baseline"/>
                    <w:rPr>
                      <w:color w:val="auto"/>
                      <w:szCs w:val="21"/>
                    </w:rPr>
                  </w:pPr>
                </w:p>
              </w:tc>
              <w:tc>
                <w:tcPr>
                  <w:tcW w:w="237" w:type="pct"/>
                  <w:noWrap/>
                  <w:vAlign w:val="center"/>
                </w:tcPr>
                <w:p>
                  <w:pPr>
                    <w:jc w:val="center"/>
                    <w:textAlignment w:val="baseline"/>
                    <w:rPr>
                      <w:color w:val="auto"/>
                      <w:szCs w:val="21"/>
                    </w:rPr>
                  </w:pPr>
                  <w:r>
                    <w:rPr>
                      <w:color w:val="auto"/>
                      <w:szCs w:val="21"/>
                    </w:rPr>
                    <w:t>25</w:t>
                  </w:r>
                </w:p>
              </w:tc>
              <w:tc>
                <w:tcPr>
                  <w:tcW w:w="208" w:type="pct"/>
                  <w:noWrap/>
                  <w:vAlign w:val="center"/>
                </w:tcPr>
                <w:p>
                  <w:pPr>
                    <w:jc w:val="center"/>
                    <w:textAlignment w:val="baseline"/>
                    <w:rPr>
                      <w:color w:val="auto"/>
                      <w:szCs w:val="21"/>
                    </w:rPr>
                  </w:pPr>
                  <w:r>
                    <w:rPr>
                      <w:color w:val="auto"/>
                      <w:szCs w:val="21"/>
                    </w:rPr>
                    <w:t>25</w:t>
                  </w:r>
                </w:p>
              </w:tc>
              <w:tc>
                <w:tcPr>
                  <w:tcW w:w="223" w:type="pct"/>
                  <w:noWrap/>
                  <w:vAlign w:val="center"/>
                </w:tcPr>
                <w:p>
                  <w:pPr>
                    <w:jc w:val="center"/>
                    <w:textAlignment w:val="baseline"/>
                    <w:rPr>
                      <w:color w:val="auto"/>
                      <w:szCs w:val="21"/>
                    </w:rPr>
                  </w:pPr>
                  <w:r>
                    <w:rPr>
                      <w:color w:val="auto"/>
                      <w:szCs w:val="21"/>
                    </w:rPr>
                    <w:t>1</w:t>
                  </w:r>
                </w:p>
              </w:tc>
              <w:tc>
                <w:tcPr>
                  <w:tcW w:w="364" w:type="pct"/>
                  <w:noWrap/>
                  <w:vAlign w:val="center"/>
                </w:tcPr>
                <w:p>
                  <w:pPr>
                    <w:jc w:val="center"/>
                    <w:textAlignment w:val="baseline"/>
                    <w:rPr>
                      <w:color w:val="auto"/>
                      <w:szCs w:val="21"/>
                    </w:rPr>
                  </w:pPr>
                  <w:r>
                    <w:rPr>
                      <w:color w:val="auto"/>
                      <w:szCs w:val="21"/>
                    </w:rPr>
                    <w:t>5</w:t>
                  </w:r>
                </w:p>
              </w:tc>
              <w:tc>
                <w:tcPr>
                  <w:tcW w:w="379" w:type="pct"/>
                  <w:noWrap/>
                  <w:vAlign w:val="center"/>
                </w:tcPr>
                <w:p>
                  <w:pPr>
                    <w:widowControl/>
                    <w:jc w:val="center"/>
                    <w:rPr>
                      <w:color w:val="auto"/>
                      <w:szCs w:val="21"/>
                    </w:rPr>
                  </w:pPr>
                  <w:r>
                    <w:rPr>
                      <w:color w:val="auto"/>
                      <w:szCs w:val="21"/>
                    </w:rPr>
                    <w:t>56</w:t>
                  </w:r>
                </w:p>
              </w:tc>
              <w:tc>
                <w:tcPr>
                  <w:tcW w:w="251" w:type="pct"/>
                  <w:vMerge w:val="continue"/>
                  <w:noWrap/>
                  <w:vAlign w:val="center"/>
                </w:tcPr>
                <w:p>
                  <w:pPr>
                    <w:jc w:val="center"/>
                    <w:textAlignment w:val="baseline"/>
                    <w:rPr>
                      <w:color w:val="auto"/>
                      <w:szCs w:val="21"/>
                    </w:rPr>
                  </w:pPr>
                </w:p>
              </w:tc>
              <w:tc>
                <w:tcPr>
                  <w:tcW w:w="379" w:type="pct"/>
                  <w:vMerge w:val="continue"/>
                  <w:noWrap/>
                  <w:vAlign w:val="center"/>
                </w:tcPr>
                <w:p>
                  <w:pPr>
                    <w:jc w:val="center"/>
                    <w:textAlignment w:val="baseline"/>
                    <w:rPr>
                      <w:color w:val="auto"/>
                      <w:szCs w:val="21"/>
                    </w:rPr>
                  </w:pPr>
                </w:p>
              </w:tc>
              <w:tc>
                <w:tcPr>
                  <w:tcW w:w="312" w:type="pct"/>
                  <w:noWrap/>
                  <w:vAlign w:val="center"/>
                </w:tcPr>
                <w:p>
                  <w:pPr>
                    <w:adjustRightInd w:val="0"/>
                    <w:snapToGrid w:val="0"/>
                    <w:jc w:val="center"/>
                    <w:rPr>
                      <w:color w:val="auto"/>
                      <w:szCs w:val="20"/>
                    </w:rPr>
                  </w:pPr>
                  <w:r>
                    <w:rPr>
                      <w:color w:val="auto"/>
                      <w:szCs w:val="20"/>
                    </w:rPr>
                    <w:t>41</w:t>
                  </w:r>
                </w:p>
              </w:tc>
              <w:tc>
                <w:tcPr>
                  <w:tcW w:w="319" w:type="pct"/>
                  <w:vMerge w:val="continue"/>
                  <w:noWrap/>
                  <w:vAlign w:val="center"/>
                </w:tcPr>
                <w:p>
                  <w:pPr>
                    <w:widowControl/>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08" w:hRule="atLeast"/>
                <w:jc w:val="center"/>
              </w:trPr>
              <w:tc>
                <w:tcPr>
                  <w:tcW w:w="186" w:type="pct"/>
                  <w:noWrap/>
                  <w:vAlign w:val="center"/>
                </w:tcPr>
                <w:p>
                  <w:pPr>
                    <w:widowControl/>
                    <w:jc w:val="center"/>
                    <w:rPr>
                      <w:color w:val="auto"/>
                      <w:kern w:val="0"/>
                      <w:szCs w:val="21"/>
                    </w:rPr>
                  </w:pPr>
                  <w:r>
                    <w:rPr>
                      <w:color w:val="auto"/>
                      <w:kern w:val="0"/>
                      <w:szCs w:val="21"/>
                    </w:rPr>
                    <w:t>4</w:t>
                  </w:r>
                </w:p>
              </w:tc>
              <w:tc>
                <w:tcPr>
                  <w:tcW w:w="326" w:type="pct"/>
                  <w:vMerge w:val="continue"/>
                  <w:noWrap/>
                  <w:vAlign w:val="center"/>
                </w:tcPr>
                <w:p>
                  <w:pPr>
                    <w:jc w:val="center"/>
                    <w:textAlignment w:val="baseline"/>
                    <w:rPr>
                      <w:color w:val="auto"/>
                      <w:szCs w:val="21"/>
                    </w:rPr>
                  </w:pPr>
                </w:p>
              </w:tc>
              <w:tc>
                <w:tcPr>
                  <w:tcW w:w="443" w:type="pct"/>
                  <w:noWrap/>
                  <w:vAlign w:val="center"/>
                </w:tcPr>
                <w:p>
                  <w:pPr>
                    <w:adjustRightInd w:val="0"/>
                    <w:snapToGrid w:val="0"/>
                    <w:jc w:val="center"/>
                    <w:rPr>
                      <w:color w:val="auto"/>
                      <w:szCs w:val="21"/>
                    </w:rPr>
                  </w:pPr>
                  <w:r>
                    <w:rPr>
                      <w:color w:val="auto"/>
                      <w:szCs w:val="21"/>
                    </w:rPr>
                    <w:t>水泵</w:t>
                  </w:r>
                </w:p>
              </w:tc>
              <w:tc>
                <w:tcPr>
                  <w:tcW w:w="366" w:type="pct"/>
                  <w:noWrap/>
                  <w:vAlign w:val="center"/>
                </w:tcPr>
                <w:p>
                  <w:pPr>
                    <w:widowControl/>
                    <w:jc w:val="center"/>
                    <w:textAlignment w:val="center"/>
                    <w:rPr>
                      <w:color w:val="auto"/>
                      <w:kern w:val="0"/>
                      <w:szCs w:val="21"/>
                    </w:rPr>
                  </w:pPr>
                  <w:r>
                    <w:rPr>
                      <w:color w:val="auto"/>
                      <w:szCs w:val="21"/>
                    </w:rPr>
                    <w:t>/</w:t>
                  </w:r>
                </w:p>
              </w:tc>
              <w:tc>
                <w:tcPr>
                  <w:tcW w:w="503" w:type="pct"/>
                  <w:noWrap/>
                  <w:vAlign w:val="center"/>
                </w:tcPr>
                <w:p>
                  <w:pPr>
                    <w:adjustRightInd w:val="0"/>
                    <w:snapToGrid w:val="0"/>
                    <w:jc w:val="center"/>
                    <w:rPr>
                      <w:color w:val="auto"/>
                      <w:szCs w:val="20"/>
                    </w:rPr>
                  </w:pPr>
                  <w:r>
                    <w:rPr>
                      <w:color w:val="auto"/>
                      <w:szCs w:val="20"/>
                    </w:rPr>
                    <w:t>80</w:t>
                  </w:r>
                </w:p>
              </w:tc>
              <w:tc>
                <w:tcPr>
                  <w:tcW w:w="497" w:type="pct"/>
                  <w:vMerge w:val="continue"/>
                  <w:noWrap/>
                  <w:vAlign w:val="center"/>
                </w:tcPr>
                <w:p>
                  <w:pPr>
                    <w:jc w:val="center"/>
                    <w:textAlignment w:val="baseline"/>
                    <w:rPr>
                      <w:color w:val="auto"/>
                      <w:szCs w:val="21"/>
                    </w:rPr>
                  </w:pPr>
                </w:p>
              </w:tc>
              <w:tc>
                <w:tcPr>
                  <w:tcW w:w="237" w:type="pct"/>
                  <w:noWrap/>
                  <w:vAlign w:val="center"/>
                </w:tcPr>
                <w:p>
                  <w:pPr>
                    <w:jc w:val="center"/>
                    <w:textAlignment w:val="baseline"/>
                    <w:rPr>
                      <w:color w:val="auto"/>
                      <w:szCs w:val="21"/>
                    </w:rPr>
                  </w:pPr>
                  <w:r>
                    <w:rPr>
                      <w:color w:val="auto"/>
                      <w:szCs w:val="21"/>
                    </w:rPr>
                    <w:t>28</w:t>
                  </w:r>
                </w:p>
              </w:tc>
              <w:tc>
                <w:tcPr>
                  <w:tcW w:w="208" w:type="pct"/>
                  <w:noWrap/>
                  <w:vAlign w:val="center"/>
                </w:tcPr>
                <w:p>
                  <w:pPr>
                    <w:jc w:val="center"/>
                    <w:textAlignment w:val="baseline"/>
                    <w:rPr>
                      <w:color w:val="auto"/>
                      <w:szCs w:val="21"/>
                    </w:rPr>
                  </w:pPr>
                  <w:r>
                    <w:rPr>
                      <w:color w:val="auto"/>
                      <w:szCs w:val="21"/>
                    </w:rPr>
                    <w:t>5</w:t>
                  </w:r>
                </w:p>
              </w:tc>
              <w:tc>
                <w:tcPr>
                  <w:tcW w:w="223" w:type="pct"/>
                  <w:noWrap/>
                  <w:vAlign w:val="center"/>
                </w:tcPr>
                <w:p>
                  <w:pPr>
                    <w:jc w:val="center"/>
                    <w:textAlignment w:val="baseline"/>
                    <w:rPr>
                      <w:color w:val="auto"/>
                      <w:szCs w:val="21"/>
                    </w:rPr>
                  </w:pPr>
                  <w:r>
                    <w:rPr>
                      <w:color w:val="auto"/>
                      <w:szCs w:val="21"/>
                    </w:rPr>
                    <w:t>-2</w:t>
                  </w:r>
                </w:p>
              </w:tc>
              <w:tc>
                <w:tcPr>
                  <w:tcW w:w="364" w:type="pct"/>
                  <w:noWrap/>
                  <w:vAlign w:val="center"/>
                </w:tcPr>
                <w:p>
                  <w:pPr>
                    <w:jc w:val="center"/>
                    <w:textAlignment w:val="baseline"/>
                    <w:rPr>
                      <w:color w:val="auto"/>
                      <w:szCs w:val="21"/>
                    </w:rPr>
                  </w:pPr>
                  <w:r>
                    <w:rPr>
                      <w:color w:val="auto"/>
                      <w:szCs w:val="21"/>
                    </w:rPr>
                    <w:t>2</w:t>
                  </w:r>
                </w:p>
              </w:tc>
              <w:tc>
                <w:tcPr>
                  <w:tcW w:w="379" w:type="pct"/>
                  <w:noWrap/>
                  <w:vAlign w:val="center"/>
                </w:tcPr>
                <w:p>
                  <w:pPr>
                    <w:widowControl/>
                    <w:jc w:val="center"/>
                    <w:rPr>
                      <w:color w:val="auto"/>
                      <w:szCs w:val="21"/>
                    </w:rPr>
                  </w:pPr>
                  <w:r>
                    <w:rPr>
                      <w:color w:val="auto"/>
                      <w:szCs w:val="21"/>
                    </w:rPr>
                    <w:t>74</w:t>
                  </w:r>
                </w:p>
              </w:tc>
              <w:tc>
                <w:tcPr>
                  <w:tcW w:w="251" w:type="pct"/>
                  <w:vMerge w:val="continue"/>
                  <w:noWrap/>
                  <w:vAlign w:val="center"/>
                </w:tcPr>
                <w:p>
                  <w:pPr>
                    <w:jc w:val="center"/>
                    <w:textAlignment w:val="baseline"/>
                    <w:rPr>
                      <w:color w:val="auto"/>
                      <w:szCs w:val="21"/>
                    </w:rPr>
                  </w:pPr>
                </w:p>
              </w:tc>
              <w:tc>
                <w:tcPr>
                  <w:tcW w:w="379" w:type="pct"/>
                  <w:vMerge w:val="continue"/>
                  <w:noWrap/>
                  <w:vAlign w:val="center"/>
                </w:tcPr>
                <w:p>
                  <w:pPr>
                    <w:jc w:val="center"/>
                    <w:textAlignment w:val="baseline"/>
                    <w:rPr>
                      <w:color w:val="auto"/>
                      <w:szCs w:val="21"/>
                    </w:rPr>
                  </w:pPr>
                </w:p>
              </w:tc>
              <w:tc>
                <w:tcPr>
                  <w:tcW w:w="312" w:type="pct"/>
                  <w:noWrap/>
                  <w:vAlign w:val="center"/>
                </w:tcPr>
                <w:p>
                  <w:pPr>
                    <w:adjustRightInd w:val="0"/>
                    <w:snapToGrid w:val="0"/>
                    <w:jc w:val="center"/>
                    <w:rPr>
                      <w:color w:val="auto"/>
                      <w:szCs w:val="20"/>
                    </w:rPr>
                  </w:pPr>
                  <w:r>
                    <w:rPr>
                      <w:color w:val="auto"/>
                      <w:szCs w:val="20"/>
                    </w:rPr>
                    <w:t>59</w:t>
                  </w:r>
                </w:p>
              </w:tc>
              <w:tc>
                <w:tcPr>
                  <w:tcW w:w="319" w:type="pct"/>
                  <w:vMerge w:val="continue"/>
                  <w:noWrap/>
                  <w:vAlign w:val="center"/>
                </w:tcPr>
                <w:p>
                  <w:pPr>
                    <w:widowControl/>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08" w:hRule="atLeast"/>
                <w:jc w:val="center"/>
              </w:trPr>
              <w:tc>
                <w:tcPr>
                  <w:tcW w:w="186" w:type="pct"/>
                  <w:noWrap/>
                  <w:vAlign w:val="center"/>
                </w:tcPr>
                <w:p>
                  <w:pPr>
                    <w:widowControl/>
                    <w:jc w:val="center"/>
                    <w:rPr>
                      <w:color w:val="auto"/>
                      <w:kern w:val="0"/>
                      <w:szCs w:val="21"/>
                    </w:rPr>
                  </w:pPr>
                  <w:r>
                    <w:rPr>
                      <w:color w:val="auto"/>
                      <w:kern w:val="0"/>
                      <w:szCs w:val="21"/>
                    </w:rPr>
                    <w:t>5</w:t>
                  </w:r>
                </w:p>
              </w:tc>
              <w:tc>
                <w:tcPr>
                  <w:tcW w:w="326" w:type="pct"/>
                  <w:vMerge w:val="continue"/>
                  <w:noWrap/>
                  <w:vAlign w:val="center"/>
                </w:tcPr>
                <w:p>
                  <w:pPr>
                    <w:jc w:val="center"/>
                    <w:textAlignment w:val="baseline"/>
                    <w:rPr>
                      <w:color w:val="auto"/>
                      <w:szCs w:val="21"/>
                    </w:rPr>
                  </w:pPr>
                </w:p>
              </w:tc>
              <w:tc>
                <w:tcPr>
                  <w:tcW w:w="443" w:type="pct"/>
                  <w:noWrap/>
                  <w:vAlign w:val="center"/>
                </w:tcPr>
                <w:p>
                  <w:pPr>
                    <w:widowControl/>
                    <w:adjustRightInd w:val="0"/>
                    <w:snapToGrid w:val="0"/>
                    <w:jc w:val="center"/>
                    <w:textAlignment w:val="center"/>
                    <w:rPr>
                      <w:color w:val="auto"/>
                      <w:szCs w:val="21"/>
                    </w:rPr>
                  </w:pPr>
                  <w:r>
                    <w:rPr>
                      <w:color w:val="auto"/>
                      <w:szCs w:val="21"/>
                    </w:rPr>
                    <w:t>脉冲反吹式仓顶除尘器×3</w:t>
                  </w:r>
                </w:p>
              </w:tc>
              <w:tc>
                <w:tcPr>
                  <w:tcW w:w="366" w:type="pct"/>
                  <w:noWrap/>
                  <w:vAlign w:val="center"/>
                </w:tcPr>
                <w:p>
                  <w:pPr>
                    <w:widowControl/>
                    <w:adjustRightInd w:val="0"/>
                    <w:snapToGrid w:val="0"/>
                    <w:jc w:val="center"/>
                    <w:textAlignment w:val="center"/>
                    <w:rPr>
                      <w:color w:val="auto"/>
                      <w:szCs w:val="21"/>
                    </w:rPr>
                  </w:pPr>
                  <w:r>
                    <w:rPr>
                      <w:color w:val="auto"/>
                      <w:szCs w:val="21"/>
                    </w:rPr>
                    <w:t>800×1600</w:t>
                  </w:r>
                </w:p>
              </w:tc>
              <w:tc>
                <w:tcPr>
                  <w:tcW w:w="503" w:type="pct"/>
                  <w:noWrap/>
                  <w:vAlign w:val="center"/>
                </w:tcPr>
                <w:p>
                  <w:pPr>
                    <w:adjustRightInd w:val="0"/>
                    <w:snapToGrid w:val="0"/>
                    <w:jc w:val="center"/>
                    <w:rPr>
                      <w:color w:val="auto"/>
                      <w:szCs w:val="20"/>
                    </w:rPr>
                  </w:pPr>
                  <w:r>
                    <w:rPr>
                      <w:color w:val="auto"/>
                      <w:szCs w:val="20"/>
                    </w:rPr>
                    <w:t>80</w:t>
                  </w:r>
                </w:p>
              </w:tc>
              <w:tc>
                <w:tcPr>
                  <w:tcW w:w="497" w:type="pct"/>
                  <w:vMerge w:val="continue"/>
                  <w:noWrap/>
                  <w:vAlign w:val="center"/>
                </w:tcPr>
                <w:p>
                  <w:pPr>
                    <w:jc w:val="center"/>
                    <w:textAlignment w:val="baseline"/>
                    <w:rPr>
                      <w:color w:val="auto"/>
                      <w:szCs w:val="21"/>
                    </w:rPr>
                  </w:pPr>
                </w:p>
              </w:tc>
              <w:tc>
                <w:tcPr>
                  <w:tcW w:w="237" w:type="pct"/>
                  <w:noWrap/>
                  <w:vAlign w:val="center"/>
                </w:tcPr>
                <w:p>
                  <w:pPr>
                    <w:jc w:val="center"/>
                    <w:textAlignment w:val="baseline"/>
                    <w:rPr>
                      <w:color w:val="auto"/>
                      <w:szCs w:val="21"/>
                    </w:rPr>
                  </w:pPr>
                  <w:r>
                    <w:rPr>
                      <w:color w:val="auto"/>
                      <w:szCs w:val="21"/>
                    </w:rPr>
                    <w:t>10</w:t>
                  </w:r>
                </w:p>
              </w:tc>
              <w:tc>
                <w:tcPr>
                  <w:tcW w:w="208" w:type="pct"/>
                  <w:noWrap/>
                  <w:vAlign w:val="center"/>
                </w:tcPr>
                <w:p>
                  <w:pPr>
                    <w:jc w:val="center"/>
                    <w:textAlignment w:val="baseline"/>
                    <w:rPr>
                      <w:color w:val="auto"/>
                      <w:szCs w:val="21"/>
                    </w:rPr>
                  </w:pPr>
                  <w:r>
                    <w:rPr>
                      <w:color w:val="auto"/>
                      <w:szCs w:val="21"/>
                    </w:rPr>
                    <w:t>50</w:t>
                  </w:r>
                </w:p>
              </w:tc>
              <w:tc>
                <w:tcPr>
                  <w:tcW w:w="223" w:type="pct"/>
                  <w:noWrap/>
                  <w:vAlign w:val="center"/>
                </w:tcPr>
                <w:p>
                  <w:pPr>
                    <w:jc w:val="center"/>
                    <w:textAlignment w:val="baseline"/>
                    <w:rPr>
                      <w:color w:val="auto"/>
                      <w:szCs w:val="21"/>
                    </w:rPr>
                  </w:pPr>
                  <w:r>
                    <w:rPr>
                      <w:color w:val="auto"/>
                      <w:szCs w:val="21"/>
                    </w:rPr>
                    <w:t>12</w:t>
                  </w:r>
                </w:p>
              </w:tc>
              <w:tc>
                <w:tcPr>
                  <w:tcW w:w="364" w:type="pct"/>
                  <w:noWrap/>
                  <w:vAlign w:val="center"/>
                </w:tcPr>
                <w:p>
                  <w:pPr>
                    <w:jc w:val="center"/>
                    <w:textAlignment w:val="baseline"/>
                    <w:rPr>
                      <w:color w:val="auto"/>
                      <w:szCs w:val="21"/>
                    </w:rPr>
                  </w:pPr>
                  <w:r>
                    <w:rPr>
                      <w:color w:val="auto"/>
                      <w:szCs w:val="21"/>
                    </w:rPr>
                    <w:t>2</w:t>
                  </w:r>
                </w:p>
              </w:tc>
              <w:tc>
                <w:tcPr>
                  <w:tcW w:w="379" w:type="pct"/>
                  <w:noWrap/>
                  <w:vAlign w:val="center"/>
                </w:tcPr>
                <w:p>
                  <w:pPr>
                    <w:widowControl/>
                    <w:jc w:val="center"/>
                    <w:rPr>
                      <w:color w:val="auto"/>
                      <w:szCs w:val="21"/>
                    </w:rPr>
                  </w:pPr>
                  <w:r>
                    <w:rPr>
                      <w:color w:val="auto"/>
                      <w:szCs w:val="21"/>
                    </w:rPr>
                    <w:t>74</w:t>
                  </w:r>
                </w:p>
              </w:tc>
              <w:tc>
                <w:tcPr>
                  <w:tcW w:w="251" w:type="pct"/>
                  <w:noWrap/>
                  <w:vAlign w:val="center"/>
                </w:tcPr>
                <w:p>
                  <w:pPr>
                    <w:jc w:val="center"/>
                    <w:textAlignment w:val="baseline"/>
                    <w:rPr>
                      <w:color w:val="auto"/>
                      <w:szCs w:val="21"/>
                    </w:rPr>
                  </w:pPr>
                  <w:r>
                    <w:rPr>
                      <w:color w:val="auto"/>
                      <w:szCs w:val="21"/>
                    </w:rPr>
                    <w:t>1h/d</w:t>
                  </w:r>
                </w:p>
              </w:tc>
              <w:tc>
                <w:tcPr>
                  <w:tcW w:w="379" w:type="pct"/>
                  <w:vMerge w:val="continue"/>
                  <w:noWrap/>
                  <w:vAlign w:val="center"/>
                </w:tcPr>
                <w:p>
                  <w:pPr>
                    <w:jc w:val="center"/>
                    <w:textAlignment w:val="baseline"/>
                    <w:rPr>
                      <w:color w:val="auto"/>
                      <w:szCs w:val="21"/>
                    </w:rPr>
                  </w:pPr>
                </w:p>
              </w:tc>
              <w:tc>
                <w:tcPr>
                  <w:tcW w:w="312" w:type="pct"/>
                  <w:noWrap/>
                  <w:vAlign w:val="center"/>
                </w:tcPr>
                <w:p>
                  <w:pPr>
                    <w:adjustRightInd w:val="0"/>
                    <w:snapToGrid w:val="0"/>
                    <w:jc w:val="center"/>
                    <w:rPr>
                      <w:color w:val="auto"/>
                      <w:szCs w:val="20"/>
                    </w:rPr>
                  </w:pPr>
                  <w:r>
                    <w:rPr>
                      <w:color w:val="auto"/>
                      <w:szCs w:val="20"/>
                    </w:rPr>
                    <w:t>59</w:t>
                  </w:r>
                </w:p>
              </w:tc>
              <w:tc>
                <w:tcPr>
                  <w:tcW w:w="319" w:type="pct"/>
                  <w:vMerge w:val="continue"/>
                  <w:noWrap/>
                  <w:vAlign w:val="center"/>
                </w:tcPr>
                <w:p>
                  <w:pPr>
                    <w:widowControl/>
                    <w:jc w:val="center"/>
                    <w:rPr>
                      <w:color w:val="auto"/>
                      <w:szCs w:val="21"/>
                    </w:rPr>
                  </w:pPr>
                </w:p>
              </w:tc>
            </w:tr>
          </w:tbl>
          <w:p>
            <w:pPr>
              <w:pStyle w:val="292"/>
              <w:overflowPunct w:val="0"/>
              <w:jc w:val="center"/>
              <w:outlineLvl w:val="9"/>
              <w:rPr>
                <w:rFonts w:ascii="Times New Roman" w:eastAsia="宋体" w:cs="Times New Roman"/>
                <w:color w:val="auto"/>
                <w:sz w:val="21"/>
                <w:szCs w:val="21"/>
              </w:rPr>
            </w:pPr>
            <w:r>
              <w:rPr>
                <w:rFonts w:ascii="Times New Roman" w:eastAsia="宋体" w:cs="Times New Roman"/>
                <w:color w:val="auto"/>
                <w:sz w:val="21"/>
                <w:szCs w:val="21"/>
              </w:rPr>
              <w:t>表4-1</w:t>
            </w:r>
            <w:r>
              <w:rPr>
                <w:rFonts w:hint="eastAsia" w:ascii="Times New Roman" w:eastAsia="宋体" w:cs="Times New Roman"/>
                <w:color w:val="auto"/>
                <w:sz w:val="21"/>
                <w:szCs w:val="21"/>
                <w:lang w:val="en-US" w:eastAsia="zh-CN"/>
              </w:rPr>
              <w:t>0</w:t>
            </w:r>
            <w:r>
              <w:rPr>
                <w:rFonts w:ascii="Times New Roman" w:eastAsia="宋体" w:cs="Times New Roman"/>
                <w:color w:val="auto"/>
                <w:sz w:val="21"/>
                <w:szCs w:val="21"/>
              </w:rPr>
              <w:t xml:space="preserve">  拟建项目运营期噪声源强调查清单（室外声源）</w:t>
            </w:r>
          </w:p>
          <w:tbl>
            <w:tblPr>
              <w:tblStyle w:val="4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509"/>
              <w:gridCol w:w="1449"/>
              <w:gridCol w:w="1157"/>
              <w:gridCol w:w="755"/>
              <w:gridCol w:w="650"/>
              <w:gridCol w:w="667"/>
              <w:gridCol w:w="1232"/>
              <w:gridCol w:w="1501"/>
              <w:gridCol w:w="9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288" w:type="pct"/>
                  <w:vMerge w:val="restart"/>
                  <w:noWrap/>
                  <w:vAlign w:val="center"/>
                </w:tcPr>
                <w:p>
                  <w:pPr>
                    <w:jc w:val="center"/>
                    <w:textAlignment w:val="baseline"/>
                    <w:rPr>
                      <w:b/>
                      <w:bCs/>
                      <w:color w:val="auto"/>
                      <w:szCs w:val="21"/>
                    </w:rPr>
                  </w:pPr>
                  <w:r>
                    <w:rPr>
                      <w:b/>
                      <w:bCs/>
                      <w:color w:val="auto"/>
                      <w:szCs w:val="21"/>
                    </w:rPr>
                    <w:t>序号</w:t>
                  </w:r>
                </w:p>
              </w:tc>
              <w:tc>
                <w:tcPr>
                  <w:tcW w:w="820" w:type="pct"/>
                  <w:vMerge w:val="restart"/>
                  <w:noWrap/>
                  <w:vAlign w:val="center"/>
                </w:tcPr>
                <w:p>
                  <w:pPr>
                    <w:jc w:val="center"/>
                    <w:textAlignment w:val="baseline"/>
                    <w:rPr>
                      <w:b/>
                      <w:bCs/>
                      <w:color w:val="auto"/>
                      <w:szCs w:val="21"/>
                    </w:rPr>
                  </w:pPr>
                  <w:r>
                    <w:rPr>
                      <w:b/>
                      <w:bCs/>
                      <w:color w:val="auto"/>
                      <w:szCs w:val="21"/>
                    </w:rPr>
                    <w:t>声源名称</w:t>
                  </w:r>
                </w:p>
              </w:tc>
              <w:tc>
                <w:tcPr>
                  <w:tcW w:w="655" w:type="pct"/>
                  <w:vMerge w:val="restart"/>
                  <w:noWrap/>
                  <w:vAlign w:val="center"/>
                </w:tcPr>
                <w:p>
                  <w:pPr>
                    <w:jc w:val="center"/>
                    <w:textAlignment w:val="baseline"/>
                    <w:rPr>
                      <w:b/>
                      <w:bCs/>
                      <w:color w:val="auto"/>
                      <w:szCs w:val="21"/>
                    </w:rPr>
                  </w:pPr>
                  <w:r>
                    <w:rPr>
                      <w:b/>
                      <w:bCs/>
                      <w:color w:val="auto"/>
                      <w:szCs w:val="21"/>
                    </w:rPr>
                    <w:t>型号</w:t>
                  </w:r>
                </w:p>
              </w:tc>
              <w:tc>
                <w:tcPr>
                  <w:tcW w:w="1173" w:type="pct"/>
                  <w:gridSpan w:val="3"/>
                  <w:noWrap/>
                  <w:vAlign w:val="center"/>
                </w:tcPr>
                <w:p>
                  <w:pPr>
                    <w:jc w:val="center"/>
                    <w:textAlignment w:val="baseline"/>
                    <w:rPr>
                      <w:b/>
                      <w:bCs/>
                      <w:color w:val="auto"/>
                      <w:szCs w:val="21"/>
                    </w:rPr>
                  </w:pPr>
                  <w:r>
                    <w:rPr>
                      <w:b/>
                      <w:bCs/>
                      <w:color w:val="auto"/>
                      <w:szCs w:val="21"/>
                    </w:rPr>
                    <w:t>空间相对位置*/m</w:t>
                  </w:r>
                </w:p>
              </w:tc>
              <w:tc>
                <w:tcPr>
                  <w:tcW w:w="698" w:type="pct"/>
                  <w:noWrap/>
                  <w:vAlign w:val="center"/>
                </w:tcPr>
                <w:p>
                  <w:pPr>
                    <w:jc w:val="center"/>
                    <w:textAlignment w:val="baseline"/>
                    <w:rPr>
                      <w:b/>
                      <w:bCs/>
                      <w:color w:val="auto"/>
                      <w:szCs w:val="21"/>
                    </w:rPr>
                  </w:pPr>
                  <w:r>
                    <w:rPr>
                      <w:b/>
                      <w:bCs/>
                      <w:color w:val="auto"/>
                      <w:szCs w:val="21"/>
                    </w:rPr>
                    <w:t>声源源强</w:t>
                  </w:r>
                </w:p>
              </w:tc>
              <w:tc>
                <w:tcPr>
                  <w:tcW w:w="849" w:type="pct"/>
                  <w:vMerge w:val="restart"/>
                  <w:noWrap/>
                  <w:vAlign w:val="center"/>
                </w:tcPr>
                <w:p>
                  <w:pPr>
                    <w:jc w:val="center"/>
                    <w:textAlignment w:val="baseline"/>
                    <w:rPr>
                      <w:b/>
                      <w:bCs/>
                      <w:color w:val="auto"/>
                      <w:szCs w:val="21"/>
                    </w:rPr>
                  </w:pPr>
                  <w:r>
                    <w:rPr>
                      <w:b/>
                      <w:bCs/>
                      <w:color w:val="auto"/>
                      <w:szCs w:val="21"/>
                    </w:rPr>
                    <w:t>声源控制措施</w:t>
                  </w:r>
                </w:p>
              </w:tc>
              <w:tc>
                <w:tcPr>
                  <w:tcW w:w="514" w:type="pct"/>
                  <w:vMerge w:val="restart"/>
                  <w:noWrap/>
                  <w:vAlign w:val="center"/>
                </w:tcPr>
                <w:p>
                  <w:pPr>
                    <w:jc w:val="center"/>
                    <w:textAlignment w:val="baseline"/>
                    <w:rPr>
                      <w:b/>
                      <w:bCs/>
                      <w:color w:val="auto"/>
                      <w:szCs w:val="21"/>
                    </w:rPr>
                  </w:pPr>
                  <w:r>
                    <w:rPr>
                      <w:b/>
                      <w:bCs/>
                      <w:color w:val="auto"/>
                      <w:szCs w:val="21"/>
                    </w:rPr>
                    <w:t>运行时段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288" w:type="pct"/>
                  <w:vMerge w:val="continue"/>
                  <w:noWrap/>
                  <w:vAlign w:val="center"/>
                </w:tcPr>
                <w:p>
                  <w:pPr>
                    <w:jc w:val="center"/>
                    <w:textAlignment w:val="baseline"/>
                    <w:rPr>
                      <w:color w:val="auto"/>
                      <w:szCs w:val="21"/>
                    </w:rPr>
                  </w:pPr>
                </w:p>
              </w:tc>
              <w:tc>
                <w:tcPr>
                  <w:tcW w:w="820" w:type="pct"/>
                  <w:vMerge w:val="continue"/>
                  <w:noWrap/>
                  <w:vAlign w:val="center"/>
                </w:tcPr>
                <w:p>
                  <w:pPr>
                    <w:jc w:val="center"/>
                    <w:textAlignment w:val="baseline"/>
                    <w:rPr>
                      <w:color w:val="auto"/>
                      <w:szCs w:val="21"/>
                    </w:rPr>
                  </w:pPr>
                </w:p>
              </w:tc>
              <w:tc>
                <w:tcPr>
                  <w:tcW w:w="655" w:type="pct"/>
                  <w:vMerge w:val="continue"/>
                  <w:noWrap/>
                  <w:vAlign w:val="center"/>
                </w:tcPr>
                <w:p>
                  <w:pPr>
                    <w:jc w:val="center"/>
                    <w:textAlignment w:val="baseline"/>
                    <w:rPr>
                      <w:color w:val="auto"/>
                      <w:szCs w:val="21"/>
                    </w:rPr>
                  </w:pPr>
                </w:p>
              </w:tc>
              <w:tc>
                <w:tcPr>
                  <w:tcW w:w="427" w:type="pct"/>
                  <w:noWrap/>
                  <w:vAlign w:val="center"/>
                </w:tcPr>
                <w:p>
                  <w:pPr>
                    <w:jc w:val="center"/>
                    <w:textAlignment w:val="baseline"/>
                    <w:rPr>
                      <w:b/>
                      <w:bCs/>
                      <w:color w:val="auto"/>
                      <w:szCs w:val="21"/>
                    </w:rPr>
                  </w:pPr>
                  <w:r>
                    <w:rPr>
                      <w:b/>
                      <w:bCs/>
                      <w:color w:val="auto"/>
                      <w:szCs w:val="21"/>
                    </w:rPr>
                    <w:t>X</w:t>
                  </w:r>
                </w:p>
              </w:tc>
              <w:tc>
                <w:tcPr>
                  <w:tcW w:w="368" w:type="pct"/>
                  <w:noWrap/>
                  <w:vAlign w:val="center"/>
                </w:tcPr>
                <w:p>
                  <w:pPr>
                    <w:jc w:val="center"/>
                    <w:textAlignment w:val="baseline"/>
                    <w:rPr>
                      <w:b/>
                      <w:bCs/>
                      <w:color w:val="auto"/>
                      <w:szCs w:val="21"/>
                    </w:rPr>
                  </w:pPr>
                  <w:r>
                    <w:rPr>
                      <w:b/>
                      <w:bCs/>
                      <w:color w:val="auto"/>
                      <w:szCs w:val="21"/>
                    </w:rPr>
                    <w:t>Y</w:t>
                  </w:r>
                </w:p>
              </w:tc>
              <w:tc>
                <w:tcPr>
                  <w:tcW w:w="376" w:type="pct"/>
                  <w:noWrap/>
                  <w:vAlign w:val="center"/>
                </w:tcPr>
                <w:p>
                  <w:pPr>
                    <w:jc w:val="center"/>
                    <w:textAlignment w:val="baseline"/>
                    <w:rPr>
                      <w:b/>
                      <w:bCs/>
                      <w:color w:val="auto"/>
                      <w:szCs w:val="21"/>
                    </w:rPr>
                  </w:pPr>
                  <w:r>
                    <w:rPr>
                      <w:b/>
                      <w:bCs/>
                      <w:color w:val="auto"/>
                      <w:szCs w:val="21"/>
                    </w:rPr>
                    <w:t>Z</w:t>
                  </w:r>
                </w:p>
              </w:tc>
              <w:tc>
                <w:tcPr>
                  <w:tcW w:w="698" w:type="pct"/>
                  <w:noWrap/>
                  <w:vAlign w:val="center"/>
                </w:tcPr>
                <w:p>
                  <w:pPr>
                    <w:jc w:val="center"/>
                    <w:textAlignment w:val="baseline"/>
                    <w:rPr>
                      <w:b/>
                      <w:bCs/>
                      <w:color w:val="auto"/>
                      <w:szCs w:val="21"/>
                    </w:rPr>
                  </w:pPr>
                  <w:r>
                    <w:rPr>
                      <w:b/>
                      <w:bCs/>
                      <w:color w:val="auto"/>
                      <w:szCs w:val="21"/>
                    </w:rPr>
                    <w:t>声功率级/dB（A）</w:t>
                  </w:r>
                </w:p>
              </w:tc>
              <w:tc>
                <w:tcPr>
                  <w:tcW w:w="849" w:type="pct"/>
                  <w:vMerge w:val="continue"/>
                  <w:noWrap/>
                  <w:vAlign w:val="center"/>
                </w:tcPr>
                <w:p>
                  <w:pPr>
                    <w:jc w:val="center"/>
                    <w:textAlignment w:val="baseline"/>
                    <w:rPr>
                      <w:color w:val="auto"/>
                      <w:szCs w:val="21"/>
                    </w:rPr>
                  </w:pPr>
                </w:p>
              </w:tc>
              <w:tc>
                <w:tcPr>
                  <w:tcW w:w="514" w:type="pct"/>
                  <w:vMerge w:val="continue"/>
                  <w:noWrap/>
                  <w:vAlign w:val="center"/>
                </w:tcPr>
                <w:p>
                  <w:pPr>
                    <w:jc w:val="center"/>
                    <w:textAlignment w:val="baseline"/>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8" w:type="pct"/>
                  <w:noWrap/>
                  <w:vAlign w:val="center"/>
                </w:tcPr>
                <w:p>
                  <w:pPr>
                    <w:jc w:val="center"/>
                    <w:textAlignment w:val="baseline"/>
                    <w:rPr>
                      <w:color w:val="auto"/>
                      <w:szCs w:val="21"/>
                    </w:rPr>
                  </w:pPr>
                  <w:r>
                    <w:rPr>
                      <w:color w:val="auto"/>
                      <w:szCs w:val="21"/>
                    </w:rPr>
                    <w:t>1</w:t>
                  </w:r>
                </w:p>
              </w:tc>
              <w:tc>
                <w:tcPr>
                  <w:tcW w:w="820" w:type="pct"/>
                  <w:noWrap/>
                  <w:vAlign w:val="center"/>
                </w:tcPr>
                <w:p>
                  <w:pPr>
                    <w:jc w:val="center"/>
                    <w:rPr>
                      <w:color w:val="auto"/>
                      <w:kern w:val="0"/>
                      <w:szCs w:val="21"/>
                    </w:rPr>
                  </w:pPr>
                  <w:r>
                    <w:rPr>
                      <w:color w:val="auto"/>
                      <w:kern w:val="0"/>
                      <w:szCs w:val="21"/>
                    </w:rPr>
                    <w:t>装载机</w:t>
                  </w:r>
                </w:p>
              </w:tc>
              <w:tc>
                <w:tcPr>
                  <w:tcW w:w="1132" w:type="dxa"/>
                  <w:noWrap/>
                  <w:vAlign w:val="center"/>
                </w:tcPr>
                <w:p>
                  <w:pPr>
                    <w:widowControl/>
                    <w:adjustRightInd w:val="0"/>
                    <w:snapToGrid w:val="0"/>
                    <w:jc w:val="center"/>
                    <w:textAlignment w:val="center"/>
                    <w:rPr>
                      <w:color w:val="auto"/>
                      <w:szCs w:val="21"/>
                    </w:rPr>
                  </w:pPr>
                  <w:r>
                    <w:rPr>
                      <w:color w:val="auto"/>
                      <w:kern w:val="0"/>
                      <w:szCs w:val="21"/>
                    </w:rPr>
                    <w:t>龙工50</w:t>
                  </w:r>
                </w:p>
              </w:tc>
              <w:tc>
                <w:tcPr>
                  <w:tcW w:w="427" w:type="pct"/>
                  <w:noWrap/>
                  <w:vAlign w:val="center"/>
                </w:tcPr>
                <w:p>
                  <w:pPr>
                    <w:jc w:val="center"/>
                    <w:textAlignment w:val="baseline"/>
                    <w:rPr>
                      <w:color w:val="auto"/>
                      <w:szCs w:val="21"/>
                    </w:rPr>
                  </w:pPr>
                  <w:r>
                    <w:rPr>
                      <w:color w:val="auto"/>
                      <w:szCs w:val="21"/>
                    </w:rPr>
                    <w:t>40</w:t>
                  </w:r>
                </w:p>
              </w:tc>
              <w:tc>
                <w:tcPr>
                  <w:tcW w:w="368" w:type="pct"/>
                  <w:noWrap/>
                  <w:vAlign w:val="center"/>
                </w:tcPr>
                <w:p>
                  <w:pPr>
                    <w:jc w:val="center"/>
                    <w:textAlignment w:val="baseline"/>
                    <w:rPr>
                      <w:color w:val="auto"/>
                      <w:szCs w:val="21"/>
                    </w:rPr>
                  </w:pPr>
                  <w:r>
                    <w:rPr>
                      <w:color w:val="auto"/>
                      <w:szCs w:val="21"/>
                    </w:rPr>
                    <w:t>20</w:t>
                  </w:r>
                </w:p>
              </w:tc>
              <w:tc>
                <w:tcPr>
                  <w:tcW w:w="376" w:type="pct"/>
                  <w:noWrap/>
                  <w:vAlign w:val="center"/>
                </w:tcPr>
                <w:p>
                  <w:pPr>
                    <w:jc w:val="center"/>
                    <w:textAlignment w:val="baseline"/>
                    <w:rPr>
                      <w:color w:val="auto"/>
                      <w:szCs w:val="21"/>
                    </w:rPr>
                  </w:pPr>
                  <w:r>
                    <w:rPr>
                      <w:color w:val="auto"/>
                      <w:szCs w:val="21"/>
                    </w:rPr>
                    <w:t>2</w:t>
                  </w:r>
                </w:p>
              </w:tc>
              <w:tc>
                <w:tcPr>
                  <w:tcW w:w="698" w:type="pct"/>
                  <w:noWrap/>
                  <w:vAlign w:val="center"/>
                </w:tcPr>
                <w:p>
                  <w:pPr>
                    <w:jc w:val="center"/>
                    <w:textAlignment w:val="baseline"/>
                    <w:rPr>
                      <w:color w:val="auto"/>
                      <w:szCs w:val="21"/>
                    </w:rPr>
                  </w:pPr>
                  <w:r>
                    <w:rPr>
                      <w:color w:val="auto"/>
                      <w:szCs w:val="21"/>
                    </w:rPr>
                    <w:t>90</w:t>
                  </w:r>
                </w:p>
              </w:tc>
              <w:tc>
                <w:tcPr>
                  <w:tcW w:w="849" w:type="pct"/>
                  <w:vMerge w:val="restart"/>
                  <w:noWrap/>
                  <w:vAlign w:val="center"/>
                </w:tcPr>
                <w:p>
                  <w:pPr>
                    <w:jc w:val="center"/>
                    <w:textAlignment w:val="baseline"/>
                    <w:rPr>
                      <w:color w:val="auto"/>
                      <w:szCs w:val="21"/>
                    </w:rPr>
                  </w:pPr>
                  <w:r>
                    <w:rPr>
                      <w:color w:val="auto"/>
                      <w:szCs w:val="21"/>
                    </w:rPr>
                    <w:t>通过降低车速，控制鸣笛，定时保养维护等措施</w:t>
                  </w:r>
                </w:p>
              </w:tc>
              <w:tc>
                <w:tcPr>
                  <w:tcW w:w="514" w:type="pct"/>
                  <w:noWrap/>
                  <w:vAlign w:val="center"/>
                </w:tcPr>
                <w:p>
                  <w:pPr>
                    <w:jc w:val="center"/>
                    <w:textAlignment w:val="baseline"/>
                    <w:rPr>
                      <w:color w:val="auto"/>
                      <w:szCs w:val="21"/>
                    </w:rPr>
                  </w:pPr>
                  <w:r>
                    <w:rPr>
                      <w:color w:val="auto"/>
                      <w:szCs w:val="21"/>
                    </w:rPr>
                    <w:t>12h/d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8" w:type="pct"/>
                  <w:noWrap/>
                  <w:vAlign w:val="center"/>
                </w:tcPr>
                <w:p>
                  <w:pPr>
                    <w:jc w:val="center"/>
                    <w:textAlignment w:val="baseline"/>
                    <w:rPr>
                      <w:color w:val="auto"/>
                      <w:szCs w:val="21"/>
                    </w:rPr>
                  </w:pPr>
                  <w:r>
                    <w:rPr>
                      <w:color w:val="auto"/>
                      <w:szCs w:val="21"/>
                    </w:rPr>
                    <w:t>2</w:t>
                  </w:r>
                </w:p>
              </w:tc>
              <w:tc>
                <w:tcPr>
                  <w:tcW w:w="820" w:type="pct"/>
                  <w:noWrap/>
                  <w:vAlign w:val="center"/>
                </w:tcPr>
                <w:p>
                  <w:pPr>
                    <w:widowControl/>
                    <w:jc w:val="center"/>
                    <w:textAlignment w:val="center"/>
                    <w:rPr>
                      <w:color w:val="auto"/>
                      <w:kern w:val="0"/>
                      <w:szCs w:val="21"/>
                    </w:rPr>
                  </w:pPr>
                  <w:r>
                    <w:rPr>
                      <w:color w:val="auto"/>
                      <w:szCs w:val="21"/>
                    </w:rPr>
                    <w:t>混凝土罐车</w:t>
                  </w:r>
                </w:p>
              </w:tc>
              <w:tc>
                <w:tcPr>
                  <w:tcW w:w="1132" w:type="dxa"/>
                  <w:noWrap/>
                  <w:vAlign w:val="center"/>
                </w:tcPr>
                <w:p>
                  <w:pPr>
                    <w:widowControl/>
                    <w:adjustRightInd w:val="0"/>
                    <w:snapToGrid w:val="0"/>
                    <w:jc w:val="center"/>
                    <w:textAlignment w:val="center"/>
                    <w:rPr>
                      <w:color w:val="auto"/>
                      <w:szCs w:val="21"/>
                    </w:rPr>
                  </w:pPr>
                  <w:r>
                    <w:rPr>
                      <w:color w:val="auto"/>
                      <w:szCs w:val="21"/>
                    </w:rPr>
                    <w:t>10m</w:t>
                  </w:r>
                  <w:r>
                    <w:rPr>
                      <w:color w:val="auto"/>
                      <w:szCs w:val="21"/>
                      <w:vertAlign w:val="superscript"/>
                    </w:rPr>
                    <w:t>3</w:t>
                  </w:r>
                </w:p>
              </w:tc>
              <w:tc>
                <w:tcPr>
                  <w:tcW w:w="427" w:type="pct"/>
                  <w:noWrap/>
                  <w:vAlign w:val="center"/>
                </w:tcPr>
                <w:p>
                  <w:pPr>
                    <w:jc w:val="center"/>
                    <w:textAlignment w:val="baseline"/>
                    <w:rPr>
                      <w:color w:val="auto"/>
                      <w:szCs w:val="21"/>
                    </w:rPr>
                  </w:pPr>
                  <w:r>
                    <w:rPr>
                      <w:color w:val="auto"/>
                      <w:szCs w:val="21"/>
                    </w:rPr>
                    <w:t>12</w:t>
                  </w:r>
                </w:p>
              </w:tc>
              <w:tc>
                <w:tcPr>
                  <w:tcW w:w="368" w:type="pct"/>
                  <w:noWrap/>
                  <w:vAlign w:val="center"/>
                </w:tcPr>
                <w:p>
                  <w:pPr>
                    <w:jc w:val="center"/>
                    <w:textAlignment w:val="baseline"/>
                    <w:rPr>
                      <w:color w:val="auto"/>
                      <w:szCs w:val="21"/>
                    </w:rPr>
                  </w:pPr>
                  <w:r>
                    <w:rPr>
                      <w:color w:val="auto"/>
                      <w:szCs w:val="21"/>
                    </w:rPr>
                    <w:t>50</w:t>
                  </w:r>
                </w:p>
              </w:tc>
              <w:tc>
                <w:tcPr>
                  <w:tcW w:w="376" w:type="pct"/>
                  <w:noWrap/>
                  <w:vAlign w:val="center"/>
                </w:tcPr>
                <w:p>
                  <w:pPr>
                    <w:jc w:val="center"/>
                    <w:textAlignment w:val="baseline"/>
                    <w:rPr>
                      <w:color w:val="auto"/>
                      <w:szCs w:val="21"/>
                    </w:rPr>
                  </w:pPr>
                  <w:r>
                    <w:rPr>
                      <w:color w:val="auto"/>
                      <w:szCs w:val="21"/>
                    </w:rPr>
                    <w:t>2</w:t>
                  </w:r>
                </w:p>
              </w:tc>
              <w:tc>
                <w:tcPr>
                  <w:tcW w:w="698" w:type="pct"/>
                  <w:noWrap/>
                  <w:vAlign w:val="center"/>
                </w:tcPr>
                <w:p>
                  <w:pPr>
                    <w:jc w:val="center"/>
                    <w:textAlignment w:val="baseline"/>
                    <w:rPr>
                      <w:color w:val="auto"/>
                      <w:szCs w:val="21"/>
                    </w:rPr>
                  </w:pPr>
                  <w:r>
                    <w:rPr>
                      <w:color w:val="auto"/>
                      <w:szCs w:val="21"/>
                    </w:rPr>
                    <w:t>80</w:t>
                  </w:r>
                </w:p>
              </w:tc>
              <w:tc>
                <w:tcPr>
                  <w:tcW w:w="849" w:type="pct"/>
                  <w:vMerge w:val="continue"/>
                  <w:noWrap/>
                  <w:vAlign w:val="center"/>
                </w:tcPr>
                <w:p>
                  <w:pPr>
                    <w:jc w:val="center"/>
                    <w:textAlignment w:val="baseline"/>
                    <w:rPr>
                      <w:color w:val="auto"/>
                      <w:szCs w:val="21"/>
                    </w:rPr>
                  </w:pPr>
                </w:p>
              </w:tc>
              <w:tc>
                <w:tcPr>
                  <w:tcW w:w="514" w:type="pct"/>
                  <w:noWrap/>
                  <w:vAlign w:val="center"/>
                </w:tcPr>
                <w:p>
                  <w:pPr>
                    <w:jc w:val="center"/>
                    <w:textAlignment w:val="baseline"/>
                    <w:rPr>
                      <w:color w:val="auto"/>
                      <w:szCs w:val="21"/>
                    </w:rPr>
                  </w:pPr>
                  <w:r>
                    <w:rPr>
                      <w:color w:val="auto"/>
                      <w:szCs w:val="21"/>
                    </w:rPr>
                    <w:t>12h/d</w:t>
                  </w:r>
                </w:p>
              </w:tc>
            </w:tr>
          </w:tbl>
          <w:p>
            <w:pPr>
              <w:spacing w:line="360" w:lineRule="auto"/>
              <w:ind w:firstLine="518" w:firstLineChars="215"/>
              <w:rPr>
                <w:b/>
                <w:color w:val="auto"/>
                <w:szCs w:val="21"/>
              </w:rPr>
            </w:pPr>
            <w:r>
              <w:rPr>
                <w:b/>
                <w:color w:val="auto"/>
                <w:szCs w:val="21"/>
              </w:rPr>
              <w:t>注：坐标原点为项目西南侧厂界处。</w:t>
            </w:r>
          </w:p>
          <w:p>
            <w:pPr>
              <w:spacing w:line="360" w:lineRule="auto"/>
              <w:ind w:firstLine="518" w:firstLineChars="215"/>
              <w:rPr>
                <w:b/>
                <w:color w:val="auto"/>
                <w:sz w:val="24"/>
              </w:rPr>
            </w:pPr>
            <w:r>
              <w:rPr>
                <w:b/>
                <w:color w:val="auto"/>
                <w:sz w:val="24"/>
              </w:rPr>
              <w:t>预测模式：</w:t>
            </w:r>
          </w:p>
          <w:p>
            <w:pPr>
              <w:spacing w:line="360" w:lineRule="auto"/>
              <w:ind w:firstLine="480" w:firstLineChars="200"/>
              <w:jc w:val="left"/>
              <w:rPr>
                <w:bCs/>
                <w:color w:val="auto"/>
                <w:sz w:val="24"/>
              </w:rPr>
            </w:pPr>
            <w:r>
              <w:rPr>
                <w:bCs/>
                <w:color w:val="auto"/>
                <w:sz w:val="24"/>
              </w:rPr>
              <w:t>根据设备噪声强度，采用距离衰减模式分析该项目对声环境的影响。噪声衰减公式：</w:t>
            </w:r>
          </w:p>
          <w:p>
            <w:pPr>
              <w:spacing w:line="360" w:lineRule="auto"/>
              <w:jc w:val="center"/>
              <w:rPr>
                <w:bCs/>
                <w:color w:val="auto"/>
                <w:sz w:val="24"/>
              </w:rPr>
            </w:pPr>
            <w:r>
              <w:rPr>
                <w:bCs/>
                <w:color w:val="auto"/>
                <w:sz w:val="24"/>
              </w:rPr>
              <w:t>L</w:t>
            </w:r>
            <w:r>
              <w:rPr>
                <w:bCs/>
                <w:color w:val="auto"/>
                <w:sz w:val="24"/>
                <w:vertAlign w:val="subscript"/>
              </w:rPr>
              <w:t>p</w:t>
            </w:r>
            <w:r>
              <w:rPr>
                <w:bCs/>
                <w:color w:val="auto"/>
                <w:sz w:val="24"/>
              </w:rPr>
              <w:t>（r）=L</w:t>
            </w:r>
            <w:r>
              <w:rPr>
                <w:bCs/>
                <w:color w:val="auto"/>
                <w:sz w:val="24"/>
                <w:vertAlign w:val="subscript"/>
              </w:rPr>
              <w:t>p</w:t>
            </w:r>
            <w:r>
              <w:rPr>
                <w:bCs/>
                <w:color w:val="auto"/>
                <w:sz w:val="24"/>
              </w:rPr>
              <w:t>（r</w:t>
            </w:r>
            <w:r>
              <w:rPr>
                <w:bCs/>
                <w:color w:val="auto"/>
                <w:sz w:val="24"/>
                <w:vertAlign w:val="subscript"/>
              </w:rPr>
              <w:t>o</w:t>
            </w:r>
            <w:r>
              <w:rPr>
                <w:bCs/>
                <w:color w:val="auto"/>
                <w:sz w:val="24"/>
              </w:rPr>
              <w:t>）-201g（r/r</w:t>
            </w:r>
            <w:r>
              <w:rPr>
                <w:bCs/>
                <w:color w:val="auto"/>
                <w:sz w:val="24"/>
                <w:vertAlign w:val="subscript"/>
              </w:rPr>
              <w:t>o</w:t>
            </w:r>
            <w:r>
              <w:rPr>
                <w:bCs/>
                <w:color w:val="auto"/>
                <w:sz w:val="24"/>
              </w:rPr>
              <w:t>）</w:t>
            </w:r>
          </w:p>
          <w:p>
            <w:pPr>
              <w:spacing w:line="360" w:lineRule="auto"/>
              <w:ind w:firstLine="480" w:firstLineChars="200"/>
              <w:jc w:val="left"/>
              <w:rPr>
                <w:bCs/>
                <w:color w:val="auto"/>
                <w:sz w:val="24"/>
              </w:rPr>
            </w:pPr>
            <w:r>
              <w:rPr>
                <w:bCs/>
                <w:color w:val="auto"/>
                <w:sz w:val="24"/>
              </w:rPr>
              <w:t>式中：L</w:t>
            </w:r>
            <w:r>
              <w:rPr>
                <w:bCs/>
                <w:color w:val="auto"/>
                <w:sz w:val="24"/>
                <w:vertAlign w:val="subscript"/>
              </w:rPr>
              <w:t>p</w:t>
            </w:r>
            <w:r>
              <w:rPr>
                <w:bCs/>
                <w:color w:val="auto"/>
                <w:sz w:val="24"/>
              </w:rPr>
              <w:t>（r）-预测点处声压级，dB；</w:t>
            </w:r>
          </w:p>
          <w:p>
            <w:pPr>
              <w:spacing w:line="360" w:lineRule="auto"/>
              <w:ind w:firstLine="1200" w:firstLineChars="500"/>
              <w:jc w:val="left"/>
              <w:rPr>
                <w:bCs/>
                <w:color w:val="auto"/>
                <w:sz w:val="24"/>
              </w:rPr>
            </w:pPr>
            <w:r>
              <w:rPr>
                <w:bCs/>
                <w:color w:val="auto"/>
                <w:sz w:val="24"/>
              </w:rPr>
              <w:t>L</w:t>
            </w:r>
            <w:r>
              <w:rPr>
                <w:bCs/>
                <w:color w:val="auto"/>
                <w:sz w:val="24"/>
                <w:vertAlign w:val="subscript"/>
              </w:rPr>
              <w:t>p</w:t>
            </w:r>
            <w:r>
              <w:rPr>
                <w:bCs/>
                <w:color w:val="auto"/>
                <w:sz w:val="24"/>
              </w:rPr>
              <w:t>（r</w:t>
            </w:r>
            <w:r>
              <w:rPr>
                <w:bCs/>
                <w:color w:val="auto"/>
                <w:sz w:val="24"/>
                <w:vertAlign w:val="subscript"/>
              </w:rPr>
              <w:t>o</w:t>
            </w:r>
            <w:r>
              <w:rPr>
                <w:bCs/>
                <w:color w:val="auto"/>
                <w:sz w:val="24"/>
              </w:rPr>
              <w:t>）-参考位置r</w:t>
            </w:r>
            <w:r>
              <w:rPr>
                <w:bCs/>
                <w:color w:val="auto"/>
                <w:sz w:val="24"/>
                <w:vertAlign w:val="subscript"/>
              </w:rPr>
              <w:t>o</w:t>
            </w:r>
            <w:r>
              <w:rPr>
                <w:bCs/>
                <w:color w:val="auto"/>
                <w:sz w:val="24"/>
              </w:rPr>
              <w:t>处的声压级，dB；</w:t>
            </w:r>
          </w:p>
          <w:p>
            <w:pPr>
              <w:spacing w:line="360" w:lineRule="auto"/>
              <w:ind w:firstLine="1200" w:firstLineChars="500"/>
              <w:jc w:val="left"/>
              <w:rPr>
                <w:rFonts w:hint="eastAsia" w:eastAsia="宋体"/>
                <w:bCs/>
                <w:color w:val="auto"/>
                <w:sz w:val="24"/>
                <w:lang w:eastAsia="zh-CN"/>
              </w:rPr>
            </w:pPr>
            <w:r>
              <w:rPr>
                <w:bCs/>
                <w:color w:val="auto"/>
                <w:sz w:val="24"/>
              </w:rPr>
              <w:t>r</w:t>
            </w:r>
            <w:r>
              <w:rPr>
                <w:bCs/>
                <w:color w:val="auto"/>
                <w:sz w:val="24"/>
                <w:vertAlign w:val="subscript"/>
              </w:rPr>
              <w:t>o</w:t>
            </w:r>
            <w:r>
              <w:rPr>
                <w:bCs/>
                <w:color w:val="auto"/>
                <w:sz w:val="24"/>
              </w:rPr>
              <w:t>-参考位置距声源的距离</w:t>
            </w:r>
            <w:r>
              <w:rPr>
                <w:rStyle w:val="48"/>
                <w:rFonts w:hint="eastAsia"/>
                <w:color w:val="auto"/>
                <w:kern w:val="0"/>
                <w:szCs w:val="20"/>
                <w:lang w:eastAsia="zh-CN"/>
              </w:rPr>
              <w:t>；</w:t>
            </w:r>
          </w:p>
          <w:p>
            <w:pPr>
              <w:spacing w:line="360" w:lineRule="auto"/>
              <w:ind w:firstLine="1200" w:firstLineChars="500"/>
              <w:jc w:val="left"/>
              <w:rPr>
                <w:bCs/>
                <w:color w:val="auto"/>
                <w:sz w:val="24"/>
              </w:rPr>
            </w:pPr>
            <w:r>
              <w:rPr>
                <w:bCs/>
                <w:color w:val="auto"/>
                <w:sz w:val="24"/>
              </w:rPr>
              <w:t>r-预测点距声源的距离，m。</w:t>
            </w:r>
          </w:p>
          <w:p>
            <w:pPr>
              <w:spacing w:line="360" w:lineRule="auto"/>
              <w:ind w:firstLine="480" w:firstLineChars="200"/>
              <w:rPr>
                <w:color w:val="auto"/>
                <w:sz w:val="24"/>
              </w:rPr>
            </w:pPr>
            <w:r>
              <w:rPr>
                <w:color w:val="auto"/>
                <w:sz w:val="24"/>
              </w:rPr>
              <w:t>噪声预测值（L</w:t>
            </w:r>
            <w:r>
              <w:rPr>
                <w:color w:val="auto"/>
                <w:sz w:val="24"/>
                <w:vertAlign w:val="subscript"/>
              </w:rPr>
              <w:t>eq</w:t>
            </w:r>
            <w:r>
              <w:rPr>
                <w:color w:val="auto"/>
                <w:sz w:val="24"/>
              </w:rPr>
              <w:t>）计算公式：</w:t>
            </w:r>
          </w:p>
          <w:p>
            <w:pPr>
              <w:spacing w:line="360" w:lineRule="auto"/>
              <w:jc w:val="center"/>
              <w:rPr>
                <w:color w:val="auto"/>
                <w:sz w:val="24"/>
              </w:rPr>
            </w:pPr>
            <w:r>
              <w:rPr>
                <w:color w:val="auto"/>
                <w:position w:val="-14"/>
                <w:sz w:val="24"/>
              </w:rPr>
              <w:object>
                <v:shape id="_x0000_i1067" o:spt="75" type="#_x0000_t75" style="height:21.2pt;width:136.95pt;" o:ole="t" filled="f" o:preferrelative="t" stroked="f" coordsize="21600,21600">
                  <v:path/>
                  <v:fill on="f" focussize="0,0"/>
                  <v:stroke on="f" joinstyle="miter"/>
                  <v:imagedata r:id="rId61" o:title=""/>
                  <o:lock v:ext="edit" aspectratio="t"/>
                  <w10:wrap type="none"/>
                  <w10:anchorlock/>
                </v:shape>
                <o:OLEObject Type="Embed" ProgID="Equation.3" ShapeID="_x0000_i1067" DrawAspect="Content" ObjectID="_1468075728" r:id="rId60">
                  <o:LockedField>false</o:LockedField>
                </o:OLEObject>
              </w:object>
            </w:r>
          </w:p>
          <w:p>
            <w:pPr>
              <w:spacing w:line="360" w:lineRule="auto"/>
              <w:rPr>
                <w:color w:val="auto"/>
                <w:sz w:val="24"/>
              </w:rPr>
            </w:pPr>
            <w:r>
              <w:rPr>
                <w:color w:val="auto"/>
                <w:sz w:val="24"/>
              </w:rPr>
              <w:t xml:space="preserve">    式中：L</w:t>
            </w:r>
            <w:r>
              <w:rPr>
                <w:color w:val="auto"/>
                <w:sz w:val="24"/>
                <w:vertAlign w:val="subscript"/>
              </w:rPr>
              <w:t>eq</w:t>
            </w:r>
            <w:r>
              <w:rPr>
                <w:color w:val="auto"/>
                <w:sz w:val="24"/>
              </w:rPr>
              <w:t xml:space="preserve"> ——预测点的噪声预测值，dB；</w:t>
            </w:r>
          </w:p>
          <w:p>
            <w:pPr>
              <w:spacing w:line="360" w:lineRule="auto"/>
              <w:rPr>
                <w:color w:val="auto"/>
                <w:sz w:val="24"/>
              </w:rPr>
            </w:pPr>
            <w:r>
              <w:rPr>
                <w:color w:val="auto"/>
                <w:sz w:val="24"/>
              </w:rPr>
              <w:t xml:space="preserve">          L</w:t>
            </w:r>
            <w:r>
              <w:rPr>
                <w:color w:val="auto"/>
                <w:sz w:val="24"/>
                <w:vertAlign w:val="subscript"/>
              </w:rPr>
              <w:t>eqg</w:t>
            </w:r>
            <w:r>
              <w:rPr>
                <w:color w:val="auto"/>
                <w:sz w:val="24"/>
              </w:rPr>
              <w:t xml:space="preserve">——建设项目声源在预测点产生的噪声贡献值，dB； </w:t>
            </w:r>
          </w:p>
          <w:p>
            <w:pPr>
              <w:spacing w:line="360" w:lineRule="auto"/>
              <w:ind w:firstLine="1200" w:firstLineChars="500"/>
              <w:jc w:val="left"/>
              <w:rPr>
                <w:bCs/>
                <w:color w:val="auto"/>
                <w:sz w:val="24"/>
              </w:rPr>
            </w:pPr>
            <w:r>
              <w:rPr>
                <w:color w:val="auto"/>
                <w:sz w:val="24"/>
              </w:rPr>
              <w:t>L</w:t>
            </w:r>
            <w:r>
              <w:rPr>
                <w:color w:val="auto"/>
                <w:sz w:val="24"/>
                <w:vertAlign w:val="subscript"/>
              </w:rPr>
              <w:t>eqb</w:t>
            </w:r>
            <w:r>
              <w:rPr>
                <w:color w:val="auto"/>
                <w:sz w:val="24"/>
              </w:rPr>
              <w:t>——预测点的背景噪声值，dB</w:t>
            </w:r>
            <w:r>
              <w:rPr>
                <w:bCs/>
                <w:color w:val="auto"/>
                <w:sz w:val="24"/>
              </w:rPr>
              <w:t>。</w:t>
            </w:r>
          </w:p>
          <w:p>
            <w:pPr>
              <w:spacing w:line="360" w:lineRule="auto"/>
              <w:ind w:firstLine="518" w:firstLineChars="215"/>
              <w:rPr>
                <w:b/>
                <w:color w:val="auto"/>
                <w:sz w:val="24"/>
              </w:rPr>
            </w:pPr>
            <w:r>
              <w:rPr>
                <w:b/>
                <w:color w:val="auto"/>
                <w:sz w:val="24"/>
              </w:rPr>
              <w:t>预测结果与评价：</w:t>
            </w:r>
          </w:p>
          <w:p>
            <w:pPr>
              <w:spacing w:line="360" w:lineRule="auto"/>
              <w:ind w:firstLine="480" w:firstLineChars="200"/>
              <w:jc w:val="left"/>
              <w:rPr>
                <w:bCs/>
                <w:color w:val="auto"/>
                <w:sz w:val="24"/>
              </w:rPr>
            </w:pPr>
            <w:r>
              <w:rPr>
                <w:bCs/>
                <w:color w:val="auto"/>
                <w:sz w:val="24"/>
              </w:rPr>
              <w:t>本项目运营期预测结果见下表。</w:t>
            </w:r>
          </w:p>
          <w:p>
            <w:pPr>
              <w:spacing w:line="360" w:lineRule="auto"/>
              <w:ind w:firstLine="480"/>
              <w:jc w:val="center"/>
              <w:rPr>
                <w:b/>
                <w:bCs/>
                <w:color w:val="auto"/>
                <w:szCs w:val="21"/>
              </w:rPr>
            </w:pPr>
            <w:r>
              <w:rPr>
                <w:b/>
                <w:bCs/>
                <w:color w:val="auto"/>
                <w:szCs w:val="21"/>
              </w:rPr>
              <w:t>表4-1</w:t>
            </w:r>
            <w:r>
              <w:rPr>
                <w:rFonts w:hint="eastAsia"/>
                <w:b/>
                <w:bCs/>
                <w:color w:val="auto"/>
                <w:szCs w:val="21"/>
                <w:lang w:val="en-US" w:eastAsia="zh-CN"/>
              </w:rPr>
              <w:t>1</w:t>
            </w:r>
            <w:r>
              <w:rPr>
                <w:b/>
                <w:bCs/>
                <w:color w:val="auto"/>
                <w:szCs w:val="21"/>
              </w:rPr>
              <w:t xml:space="preserve">  项目厂界噪声预测结果  单位：dB（A）</w:t>
            </w:r>
          </w:p>
          <w:tbl>
            <w:tblPr>
              <w:tblStyle w:val="41"/>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3"/>
              <w:gridCol w:w="758"/>
              <w:gridCol w:w="826"/>
              <w:gridCol w:w="925"/>
              <w:gridCol w:w="731"/>
              <w:gridCol w:w="935"/>
              <w:gridCol w:w="731"/>
              <w:gridCol w:w="935"/>
              <w:gridCol w:w="731"/>
              <w:gridCol w:w="9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1" w:type="pct"/>
                  <w:vMerge w:val="restart"/>
                  <w:tcMar>
                    <w:left w:w="11" w:type="dxa"/>
                    <w:right w:w="11" w:type="dxa"/>
                  </w:tcMar>
                  <w:vAlign w:val="center"/>
                </w:tcPr>
                <w:p>
                  <w:pPr>
                    <w:jc w:val="center"/>
                    <w:rPr>
                      <w:b/>
                      <w:color w:val="auto"/>
                      <w:szCs w:val="21"/>
                    </w:rPr>
                  </w:pPr>
                  <w:r>
                    <w:rPr>
                      <w:b/>
                      <w:color w:val="auto"/>
                      <w:szCs w:val="21"/>
                    </w:rPr>
                    <w:t>设备名称</w:t>
                  </w:r>
                </w:p>
              </w:tc>
              <w:tc>
                <w:tcPr>
                  <w:tcW w:w="429" w:type="pct"/>
                  <w:vMerge w:val="restart"/>
                  <w:tcMar>
                    <w:left w:w="11" w:type="dxa"/>
                    <w:right w:w="11" w:type="dxa"/>
                  </w:tcMar>
                  <w:vAlign w:val="center"/>
                </w:tcPr>
                <w:p>
                  <w:pPr>
                    <w:jc w:val="center"/>
                    <w:rPr>
                      <w:b/>
                      <w:color w:val="auto"/>
                      <w:szCs w:val="21"/>
                    </w:rPr>
                  </w:pPr>
                  <w:r>
                    <w:rPr>
                      <w:b/>
                      <w:color w:val="auto"/>
                      <w:szCs w:val="21"/>
                    </w:rPr>
                    <w:t>源强</w:t>
                  </w:r>
                </w:p>
                <w:p>
                  <w:pPr>
                    <w:jc w:val="center"/>
                    <w:rPr>
                      <w:b/>
                      <w:color w:val="auto"/>
                      <w:szCs w:val="21"/>
                    </w:rPr>
                  </w:pPr>
                  <w:r>
                    <w:rPr>
                      <w:b/>
                      <w:color w:val="auto"/>
                      <w:szCs w:val="21"/>
                    </w:rPr>
                    <w:t>dB（A）</w:t>
                  </w:r>
                </w:p>
              </w:tc>
              <w:tc>
                <w:tcPr>
                  <w:tcW w:w="992" w:type="pct"/>
                  <w:gridSpan w:val="2"/>
                  <w:tcMar>
                    <w:left w:w="11" w:type="dxa"/>
                    <w:right w:w="11" w:type="dxa"/>
                  </w:tcMar>
                  <w:vAlign w:val="center"/>
                </w:tcPr>
                <w:p>
                  <w:pPr>
                    <w:jc w:val="center"/>
                    <w:rPr>
                      <w:b/>
                      <w:color w:val="auto"/>
                      <w:szCs w:val="21"/>
                    </w:rPr>
                  </w:pPr>
                  <w:r>
                    <w:rPr>
                      <w:b/>
                      <w:color w:val="auto"/>
                      <w:szCs w:val="21"/>
                    </w:rPr>
                    <w:t>东侧厂界外1m</w:t>
                  </w:r>
                </w:p>
              </w:tc>
              <w:tc>
                <w:tcPr>
                  <w:tcW w:w="944" w:type="pct"/>
                  <w:gridSpan w:val="2"/>
                  <w:tcMar>
                    <w:left w:w="11" w:type="dxa"/>
                    <w:right w:w="11" w:type="dxa"/>
                  </w:tcMar>
                  <w:vAlign w:val="center"/>
                </w:tcPr>
                <w:p>
                  <w:pPr>
                    <w:jc w:val="center"/>
                    <w:rPr>
                      <w:b/>
                      <w:color w:val="auto"/>
                      <w:szCs w:val="21"/>
                    </w:rPr>
                  </w:pPr>
                  <w:r>
                    <w:rPr>
                      <w:b/>
                      <w:color w:val="auto"/>
                      <w:szCs w:val="21"/>
                    </w:rPr>
                    <w:t>南侧厂界外1m</w:t>
                  </w:r>
                </w:p>
              </w:tc>
              <w:tc>
                <w:tcPr>
                  <w:tcW w:w="944" w:type="pct"/>
                  <w:gridSpan w:val="2"/>
                  <w:tcMar>
                    <w:left w:w="11" w:type="dxa"/>
                    <w:right w:w="11" w:type="dxa"/>
                  </w:tcMar>
                  <w:vAlign w:val="center"/>
                </w:tcPr>
                <w:p>
                  <w:pPr>
                    <w:jc w:val="center"/>
                    <w:rPr>
                      <w:b/>
                      <w:color w:val="auto"/>
                      <w:szCs w:val="21"/>
                    </w:rPr>
                  </w:pPr>
                  <w:r>
                    <w:rPr>
                      <w:b/>
                      <w:color w:val="auto"/>
                      <w:szCs w:val="21"/>
                    </w:rPr>
                    <w:t>西侧厂界外1m</w:t>
                  </w:r>
                </w:p>
              </w:tc>
              <w:tc>
                <w:tcPr>
                  <w:tcW w:w="967" w:type="pct"/>
                  <w:gridSpan w:val="2"/>
                  <w:tcMar>
                    <w:left w:w="11" w:type="dxa"/>
                    <w:right w:w="11" w:type="dxa"/>
                  </w:tcMar>
                  <w:vAlign w:val="center"/>
                </w:tcPr>
                <w:p>
                  <w:pPr>
                    <w:jc w:val="center"/>
                    <w:rPr>
                      <w:b/>
                      <w:color w:val="auto"/>
                      <w:szCs w:val="21"/>
                    </w:rPr>
                  </w:pPr>
                  <w:r>
                    <w:rPr>
                      <w:b/>
                      <w:color w:val="auto"/>
                      <w:szCs w:val="21"/>
                    </w:rPr>
                    <w:t>北侧厂界外1m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1" w:type="pct"/>
                  <w:vMerge w:val="continue"/>
                  <w:tcMar>
                    <w:left w:w="11" w:type="dxa"/>
                    <w:right w:w="11" w:type="dxa"/>
                  </w:tcMar>
                  <w:vAlign w:val="center"/>
                </w:tcPr>
                <w:p>
                  <w:pPr>
                    <w:jc w:val="center"/>
                    <w:rPr>
                      <w:b/>
                      <w:color w:val="auto"/>
                      <w:szCs w:val="21"/>
                    </w:rPr>
                  </w:pPr>
                </w:p>
              </w:tc>
              <w:tc>
                <w:tcPr>
                  <w:tcW w:w="429" w:type="pct"/>
                  <w:vMerge w:val="continue"/>
                  <w:tcMar>
                    <w:left w:w="11" w:type="dxa"/>
                    <w:right w:w="11" w:type="dxa"/>
                  </w:tcMar>
                  <w:vAlign w:val="center"/>
                </w:tcPr>
                <w:p>
                  <w:pPr>
                    <w:jc w:val="center"/>
                    <w:rPr>
                      <w:b/>
                      <w:color w:val="auto"/>
                      <w:szCs w:val="21"/>
                    </w:rPr>
                  </w:pPr>
                </w:p>
              </w:tc>
              <w:tc>
                <w:tcPr>
                  <w:tcW w:w="468" w:type="pct"/>
                  <w:tcMar>
                    <w:left w:w="11" w:type="dxa"/>
                    <w:right w:w="11" w:type="dxa"/>
                  </w:tcMar>
                  <w:vAlign w:val="center"/>
                </w:tcPr>
                <w:p>
                  <w:pPr>
                    <w:jc w:val="center"/>
                    <w:rPr>
                      <w:b/>
                      <w:color w:val="auto"/>
                      <w:szCs w:val="21"/>
                    </w:rPr>
                  </w:pPr>
                  <w:r>
                    <w:rPr>
                      <w:b/>
                      <w:color w:val="auto"/>
                      <w:szCs w:val="21"/>
                    </w:rPr>
                    <w:t>距离（m）</w:t>
                  </w:r>
                </w:p>
              </w:tc>
              <w:tc>
                <w:tcPr>
                  <w:tcW w:w="524" w:type="pct"/>
                  <w:tcMar>
                    <w:left w:w="11" w:type="dxa"/>
                    <w:right w:w="11" w:type="dxa"/>
                  </w:tcMar>
                  <w:vAlign w:val="center"/>
                </w:tcPr>
                <w:p>
                  <w:pPr>
                    <w:jc w:val="center"/>
                    <w:rPr>
                      <w:b/>
                      <w:color w:val="auto"/>
                      <w:szCs w:val="21"/>
                    </w:rPr>
                  </w:pPr>
                  <w:r>
                    <w:rPr>
                      <w:b/>
                      <w:color w:val="auto"/>
                      <w:szCs w:val="21"/>
                    </w:rPr>
                    <w:t>预测值dB（A）</w:t>
                  </w:r>
                </w:p>
              </w:tc>
              <w:tc>
                <w:tcPr>
                  <w:tcW w:w="414" w:type="pct"/>
                  <w:tcMar>
                    <w:left w:w="11" w:type="dxa"/>
                    <w:right w:w="11" w:type="dxa"/>
                  </w:tcMar>
                  <w:vAlign w:val="center"/>
                </w:tcPr>
                <w:p>
                  <w:pPr>
                    <w:jc w:val="center"/>
                    <w:rPr>
                      <w:b/>
                      <w:color w:val="auto"/>
                      <w:szCs w:val="21"/>
                    </w:rPr>
                  </w:pPr>
                  <w:r>
                    <w:rPr>
                      <w:b/>
                      <w:color w:val="auto"/>
                      <w:szCs w:val="21"/>
                    </w:rPr>
                    <w:t>距离（m）</w:t>
                  </w:r>
                </w:p>
              </w:tc>
              <w:tc>
                <w:tcPr>
                  <w:tcW w:w="530" w:type="pct"/>
                  <w:tcMar>
                    <w:left w:w="11" w:type="dxa"/>
                    <w:right w:w="11" w:type="dxa"/>
                  </w:tcMar>
                  <w:vAlign w:val="center"/>
                </w:tcPr>
                <w:p>
                  <w:pPr>
                    <w:jc w:val="center"/>
                    <w:rPr>
                      <w:b/>
                      <w:color w:val="auto"/>
                      <w:szCs w:val="21"/>
                    </w:rPr>
                  </w:pPr>
                  <w:r>
                    <w:rPr>
                      <w:b/>
                      <w:color w:val="auto"/>
                      <w:szCs w:val="21"/>
                    </w:rPr>
                    <w:t>预测值dB（A）</w:t>
                  </w:r>
                </w:p>
              </w:tc>
              <w:tc>
                <w:tcPr>
                  <w:tcW w:w="414" w:type="pct"/>
                  <w:tcMar>
                    <w:left w:w="11" w:type="dxa"/>
                    <w:right w:w="11" w:type="dxa"/>
                  </w:tcMar>
                  <w:vAlign w:val="center"/>
                </w:tcPr>
                <w:p>
                  <w:pPr>
                    <w:jc w:val="center"/>
                    <w:rPr>
                      <w:b/>
                      <w:color w:val="auto"/>
                      <w:szCs w:val="21"/>
                    </w:rPr>
                  </w:pPr>
                  <w:r>
                    <w:rPr>
                      <w:b/>
                      <w:color w:val="auto"/>
                      <w:szCs w:val="21"/>
                    </w:rPr>
                    <w:t>距离（m）</w:t>
                  </w:r>
                </w:p>
              </w:tc>
              <w:tc>
                <w:tcPr>
                  <w:tcW w:w="530" w:type="pct"/>
                  <w:tcMar>
                    <w:left w:w="11" w:type="dxa"/>
                    <w:right w:w="11" w:type="dxa"/>
                  </w:tcMar>
                  <w:vAlign w:val="center"/>
                </w:tcPr>
                <w:p>
                  <w:pPr>
                    <w:jc w:val="center"/>
                    <w:rPr>
                      <w:b/>
                      <w:color w:val="auto"/>
                      <w:szCs w:val="21"/>
                    </w:rPr>
                  </w:pPr>
                  <w:r>
                    <w:rPr>
                      <w:b/>
                      <w:color w:val="auto"/>
                      <w:szCs w:val="21"/>
                    </w:rPr>
                    <w:t>预测值dB（A）</w:t>
                  </w:r>
                </w:p>
              </w:tc>
              <w:tc>
                <w:tcPr>
                  <w:tcW w:w="414" w:type="pct"/>
                  <w:tcMar>
                    <w:left w:w="11" w:type="dxa"/>
                    <w:right w:w="11" w:type="dxa"/>
                  </w:tcMar>
                  <w:vAlign w:val="center"/>
                </w:tcPr>
                <w:p>
                  <w:pPr>
                    <w:jc w:val="center"/>
                    <w:rPr>
                      <w:b/>
                      <w:color w:val="auto"/>
                      <w:szCs w:val="21"/>
                    </w:rPr>
                  </w:pPr>
                  <w:r>
                    <w:rPr>
                      <w:b/>
                      <w:color w:val="auto"/>
                      <w:szCs w:val="21"/>
                    </w:rPr>
                    <w:t>距离（m）</w:t>
                  </w:r>
                </w:p>
              </w:tc>
              <w:tc>
                <w:tcPr>
                  <w:tcW w:w="553" w:type="pct"/>
                  <w:tcMar>
                    <w:left w:w="11" w:type="dxa"/>
                    <w:right w:w="11" w:type="dxa"/>
                  </w:tcMar>
                  <w:vAlign w:val="center"/>
                </w:tcPr>
                <w:p>
                  <w:pPr>
                    <w:jc w:val="center"/>
                    <w:rPr>
                      <w:b/>
                      <w:color w:val="auto"/>
                      <w:szCs w:val="21"/>
                    </w:rPr>
                  </w:pPr>
                  <w:r>
                    <w:rPr>
                      <w:b/>
                      <w:color w:val="auto"/>
                      <w:szCs w:val="21"/>
                    </w:rPr>
                    <w:t>预测值dB（A）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1" w:type="pct"/>
                  <w:tcMar>
                    <w:left w:w="11" w:type="dxa"/>
                    <w:right w:w="11" w:type="dxa"/>
                  </w:tcMar>
                  <w:vAlign w:val="center"/>
                </w:tcPr>
                <w:p>
                  <w:pPr>
                    <w:widowControl/>
                    <w:adjustRightInd w:val="0"/>
                    <w:snapToGrid w:val="0"/>
                    <w:jc w:val="center"/>
                    <w:textAlignment w:val="center"/>
                    <w:rPr>
                      <w:bCs/>
                      <w:color w:val="auto"/>
                      <w:kern w:val="0"/>
                      <w:szCs w:val="21"/>
                    </w:rPr>
                  </w:pPr>
                  <w:r>
                    <w:rPr>
                      <w:color w:val="auto"/>
                      <w:kern w:val="0"/>
                      <w:szCs w:val="21"/>
                    </w:rPr>
                    <w:t>搅拌机</w:t>
                  </w:r>
                </w:p>
              </w:tc>
              <w:tc>
                <w:tcPr>
                  <w:tcW w:w="429" w:type="pct"/>
                  <w:tcMar>
                    <w:left w:w="11" w:type="dxa"/>
                    <w:right w:w="11" w:type="dxa"/>
                  </w:tcMar>
                  <w:vAlign w:val="center"/>
                </w:tcPr>
                <w:p>
                  <w:pPr>
                    <w:jc w:val="center"/>
                    <w:rPr>
                      <w:bCs/>
                      <w:color w:val="auto"/>
                      <w:szCs w:val="21"/>
                    </w:rPr>
                  </w:pPr>
                  <w:r>
                    <w:rPr>
                      <w:bCs/>
                      <w:color w:val="auto"/>
                      <w:szCs w:val="21"/>
                    </w:rPr>
                    <w:t>65</w:t>
                  </w:r>
                </w:p>
              </w:tc>
              <w:tc>
                <w:tcPr>
                  <w:tcW w:w="468" w:type="pct"/>
                  <w:tcMar>
                    <w:left w:w="11" w:type="dxa"/>
                    <w:right w:w="11" w:type="dxa"/>
                  </w:tcMar>
                  <w:vAlign w:val="center"/>
                </w:tcPr>
                <w:p>
                  <w:pPr>
                    <w:jc w:val="center"/>
                    <w:rPr>
                      <w:bCs/>
                      <w:color w:val="auto"/>
                      <w:szCs w:val="21"/>
                    </w:rPr>
                  </w:pPr>
                  <w:r>
                    <w:rPr>
                      <w:bCs/>
                      <w:color w:val="auto"/>
                      <w:szCs w:val="21"/>
                    </w:rPr>
                    <w:t>23</w:t>
                  </w:r>
                </w:p>
              </w:tc>
              <w:tc>
                <w:tcPr>
                  <w:tcW w:w="524" w:type="pct"/>
                  <w:tcMar>
                    <w:left w:w="11" w:type="dxa"/>
                    <w:right w:w="11" w:type="dxa"/>
                  </w:tcMar>
                  <w:vAlign w:val="center"/>
                </w:tcPr>
                <w:p>
                  <w:pPr>
                    <w:jc w:val="center"/>
                    <w:rPr>
                      <w:bCs/>
                      <w:color w:val="auto"/>
                      <w:szCs w:val="21"/>
                    </w:rPr>
                  </w:pPr>
                  <w:r>
                    <w:rPr>
                      <w:bCs/>
                      <w:color w:val="auto"/>
                      <w:szCs w:val="21"/>
                    </w:rPr>
                    <w:t>37.8</w:t>
                  </w:r>
                </w:p>
              </w:tc>
              <w:tc>
                <w:tcPr>
                  <w:tcW w:w="414" w:type="pct"/>
                  <w:tcMar>
                    <w:left w:w="11" w:type="dxa"/>
                    <w:right w:w="11" w:type="dxa"/>
                  </w:tcMar>
                  <w:vAlign w:val="center"/>
                </w:tcPr>
                <w:p>
                  <w:pPr>
                    <w:jc w:val="center"/>
                    <w:rPr>
                      <w:bCs/>
                      <w:color w:val="auto"/>
                      <w:szCs w:val="21"/>
                    </w:rPr>
                  </w:pPr>
                  <w:r>
                    <w:rPr>
                      <w:bCs/>
                      <w:color w:val="auto"/>
                      <w:szCs w:val="21"/>
                    </w:rPr>
                    <w:t>50</w:t>
                  </w:r>
                </w:p>
              </w:tc>
              <w:tc>
                <w:tcPr>
                  <w:tcW w:w="530" w:type="pct"/>
                  <w:tcMar>
                    <w:left w:w="11" w:type="dxa"/>
                    <w:right w:w="11" w:type="dxa"/>
                  </w:tcMar>
                  <w:vAlign w:val="center"/>
                </w:tcPr>
                <w:p>
                  <w:pPr>
                    <w:jc w:val="center"/>
                    <w:rPr>
                      <w:bCs/>
                      <w:color w:val="auto"/>
                      <w:szCs w:val="21"/>
                    </w:rPr>
                  </w:pPr>
                  <w:r>
                    <w:rPr>
                      <w:bCs/>
                      <w:color w:val="auto"/>
                      <w:szCs w:val="21"/>
                    </w:rPr>
                    <w:t>31.0</w:t>
                  </w:r>
                </w:p>
              </w:tc>
              <w:tc>
                <w:tcPr>
                  <w:tcW w:w="414" w:type="pct"/>
                  <w:tcMar>
                    <w:left w:w="11" w:type="dxa"/>
                    <w:right w:w="11" w:type="dxa"/>
                  </w:tcMar>
                  <w:vAlign w:val="center"/>
                </w:tcPr>
                <w:p>
                  <w:pPr>
                    <w:jc w:val="center"/>
                    <w:rPr>
                      <w:bCs/>
                      <w:color w:val="auto"/>
                      <w:szCs w:val="21"/>
                    </w:rPr>
                  </w:pPr>
                  <w:r>
                    <w:rPr>
                      <w:bCs/>
                      <w:color w:val="auto"/>
                      <w:szCs w:val="21"/>
                    </w:rPr>
                    <w:t>3</w:t>
                  </w:r>
                </w:p>
              </w:tc>
              <w:tc>
                <w:tcPr>
                  <w:tcW w:w="530" w:type="pct"/>
                  <w:tcMar>
                    <w:left w:w="11" w:type="dxa"/>
                    <w:right w:w="11" w:type="dxa"/>
                  </w:tcMar>
                  <w:vAlign w:val="center"/>
                </w:tcPr>
                <w:p>
                  <w:pPr>
                    <w:jc w:val="center"/>
                    <w:rPr>
                      <w:bCs/>
                      <w:color w:val="auto"/>
                      <w:szCs w:val="21"/>
                    </w:rPr>
                  </w:pPr>
                  <w:r>
                    <w:rPr>
                      <w:bCs/>
                      <w:color w:val="auto"/>
                      <w:szCs w:val="21"/>
                    </w:rPr>
                    <w:t>55.5</w:t>
                  </w:r>
                </w:p>
              </w:tc>
              <w:tc>
                <w:tcPr>
                  <w:tcW w:w="414" w:type="pct"/>
                  <w:tcMar>
                    <w:left w:w="11" w:type="dxa"/>
                    <w:right w:w="11" w:type="dxa"/>
                  </w:tcMar>
                  <w:vAlign w:val="center"/>
                </w:tcPr>
                <w:p>
                  <w:pPr>
                    <w:jc w:val="center"/>
                    <w:rPr>
                      <w:bCs/>
                      <w:color w:val="auto"/>
                      <w:szCs w:val="21"/>
                    </w:rPr>
                  </w:pPr>
                  <w:r>
                    <w:rPr>
                      <w:bCs/>
                      <w:color w:val="auto"/>
                      <w:szCs w:val="21"/>
                    </w:rPr>
                    <w:t>16</w:t>
                  </w:r>
                </w:p>
              </w:tc>
              <w:tc>
                <w:tcPr>
                  <w:tcW w:w="553" w:type="pct"/>
                  <w:tcMar>
                    <w:left w:w="11" w:type="dxa"/>
                    <w:right w:w="11" w:type="dxa"/>
                  </w:tcMar>
                  <w:vAlign w:val="center"/>
                </w:tcPr>
                <w:p>
                  <w:pPr>
                    <w:jc w:val="center"/>
                    <w:rPr>
                      <w:bCs/>
                      <w:color w:val="auto"/>
                      <w:szCs w:val="21"/>
                    </w:rPr>
                  </w:pPr>
                  <w:r>
                    <w:rPr>
                      <w:bCs/>
                      <w:color w:val="auto"/>
                      <w:szCs w:val="21"/>
                    </w:rPr>
                    <w:t>40.9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1" w:type="pct"/>
                  <w:tcMar>
                    <w:left w:w="11" w:type="dxa"/>
                    <w:right w:w="11" w:type="dxa"/>
                  </w:tcMar>
                  <w:vAlign w:val="center"/>
                </w:tcPr>
                <w:p>
                  <w:pPr>
                    <w:widowControl/>
                    <w:adjustRightInd w:val="0"/>
                    <w:snapToGrid w:val="0"/>
                    <w:jc w:val="center"/>
                    <w:textAlignment w:val="center"/>
                    <w:rPr>
                      <w:bCs/>
                      <w:color w:val="auto"/>
                      <w:kern w:val="0"/>
                      <w:szCs w:val="21"/>
                    </w:rPr>
                  </w:pPr>
                  <w:r>
                    <w:rPr>
                      <w:color w:val="auto"/>
                      <w:szCs w:val="21"/>
                    </w:rPr>
                    <w:t>配料机</w:t>
                  </w:r>
                </w:p>
              </w:tc>
              <w:tc>
                <w:tcPr>
                  <w:tcW w:w="429" w:type="pct"/>
                  <w:tcMar>
                    <w:left w:w="11" w:type="dxa"/>
                    <w:right w:w="11" w:type="dxa"/>
                  </w:tcMar>
                  <w:vAlign w:val="center"/>
                </w:tcPr>
                <w:p>
                  <w:pPr>
                    <w:jc w:val="center"/>
                    <w:rPr>
                      <w:bCs/>
                      <w:color w:val="auto"/>
                      <w:szCs w:val="21"/>
                    </w:rPr>
                  </w:pPr>
                  <w:r>
                    <w:rPr>
                      <w:bCs/>
                      <w:color w:val="auto"/>
                      <w:szCs w:val="21"/>
                    </w:rPr>
                    <w:t>65</w:t>
                  </w:r>
                </w:p>
              </w:tc>
              <w:tc>
                <w:tcPr>
                  <w:tcW w:w="468" w:type="pct"/>
                  <w:tcMar>
                    <w:left w:w="11" w:type="dxa"/>
                    <w:right w:w="11" w:type="dxa"/>
                  </w:tcMar>
                  <w:vAlign w:val="center"/>
                </w:tcPr>
                <w:p>
                  <w:pPr>
                    <w:jc w:val="center"/>
                    <w:rPr>
                      <w:bCs/>
                      <w:color w:val="auto"/>
                      <w:szCs w:val="21"/>
                    </w:rPr>
                  </w:pPr>
                  <w:r>
                    <w:rPr>
                      <w:bCs/>
                      <w:color w:val="auto"/>
                      <w:szCs w:val="21"/>
                    </w:rPr>
                    <w:t>28</w:t>
                  </w:r>
                </w:p>
              </w:tc>
              <w:tc>
                <w:tcPr>
                  <w:tcW w:w="524" w:type="pct"/>
                  <w:tcMar>
                    <w:left w:w="11" w:type="dxa"/>
                    <w:right w:w="11" w:type="dxa"/>
                  </w:tcMar>
                  <w:vAlign w:val="center"/>
                </w:tcPr>
                <w:p>
                  <w:pPr>
                    <w:jc w:val="center"/>
                    <w:rPr>
                      <w:bCs/>
                      <w:color w:val="auto"/>
                      <w:szCs w:val="21"/>
                    </w:rPr>
                  </w:pPr>
                  <w:r>
                    <w:rPr>
                      <w:bCs/>
                      <w:color w:val="auto"/>
                      <w:szCs w:val="21"/>
                    </w:rPr>
                    <w:t>36.1</w:t>
                  </w:r>
                </w:p>
              </w:tc>
              <w:tc>
                <w:tcPr>
                  <w:tcW w:w="414" w:type="pct"/>
                  <w:tcMar>
                    <w:left w:w="11" w:type="dxa"/>
                    <w:right w:w="11" w:type="dxa"/>
                  </w:tcMar>
                  <w:vAlign w:val="center"/>
                </w:tcPr>
                <w:p>
                  <w:pPr>
                    <w:jc w:val="center"/>
                    <w:rPr>
                      <w:bCs/>
                      <w:color w:val="auto"/>
                      <w:szCs w:val="21"/>
                    </w:rPr>
                  </w:pPr>
                  <w:r>
                    <w:rPr>
                      <w:bCs/>
                      <w:color w:val="auto"/>
                      <w:szCs w:val="21"/>
                    </w:rPr>
                    <w:t>25</w:t>
                  </w:r>
                </w:p>
              </w:tc>
              <w:tc>
                <w:tcPr>
                  <w:tcW w:w="530" w:type="pct"/>
                  <w:tcMar>
                    <w:left w:w="11" w:type="dxa"/>
                    <w:right w:w="11" w:type="dxa"/>
                  </w:tcMar>
                  <w:vAlign w:val="center"/>
                </w:tcPr>
                <w:p>
                  <w:pPr>
                    <w:jc w:val="center"/>
                    <w:rPr>
                      <w:bCs/>
                      <w:color w:val="auto"/>
                      <w:szCs w:val="21"/>
                    </w:rPr>
                  </w:pPr>
                  <w:r>
                    <w:rPr>
                      <w:bCs/>
                      <w:color w:val="auto"/>
                      <w:szCs w:val="21"/>
                    </w:rPr>
                    <w:t>37.0</w:t>
                  </w:r>
                </w:p>
              </w:tc>
              <w:tc>
                <w:tcPr>
                  <w:tcW w:w="414" w:type="pct"/>
                  <w:tcMar>
                    <w:left w:w="11" w:type="dxa"/>
                    <w:right w:w="11" w:type="dxa"/>
                  </w:tcMar>
                  <w:vAlign w:val="center"/>
                </w:tcPr>
                <w:p>
                  <w:pPr>
                    <w:jc w:val="center"/>
                    <w:rPr>
                      <w:bCs/>
                      <w:color w:val="auto"/>
                      <w:szCs w:val="21"/>
                    </w:rPr>
                  </w:pPr>
                  <w:r>
                    <w:rPr>
                      <w:bCs/>
                      <w:color w:val="auto"/>
                      <w:szCs w:val="21"/>
                    </w:rPr>
                    <w:t>25</w:t>
                  </w:r>
                </w:p>
              </w:tc>
              <w:tc>
                <w:tcPr>
                  <w:tcW w:w="530" w:type="pct"/>
                  <w:tcMar>
                    <w:left w:w="11" w:type="dxa"/>
                    <w:right w:w="11" w:type="dxa"/>
                  </w:tcMar>
                  <w:vAlign w:val="center"/>
                </w:tcPr>
                <w:p>
                  <w:pPr>
                    <w:jc w:val="center"/>
                    <w:rPr>
                      <w:bCs/>
                      <w:color w:val="auto"/>
                      <w:szCs w:val="21"/>
                    </w:rPr>
                  </w:pPr>
                  <w:r>
                    <w:rPr>
                      <w:bCs/>
                      <w:color w:val="auto"/>
                      <w:szCs w:val="21"/>
                    </w:rPr>
                    <w:t>37.0</w:t>
                  </w:r>
                </w:p>
              </w:tc>
              <w:tc>
                <w:tcPr>
                  <w:tcW w:w="414" w:type="pct"/>
                  <w:tcMar>
                    <w:left w:w="11" w:type="dxa"/>
                    <w:right w:w="11" w:type="dxa"/>
                  </w:tcMar>
                  <w:vAlign w:val="center"/>
                </w:tcPr>
                <w:p>
                  <w:pPr>
                    <w:jc w:val="center"/>
                    <w:rPr>
                      <w:bCs/>
                      <w:color w:val="auto"/>
                      <w:szCs w:val="21"/>
                    </w:rPr>
                  </w:pPr>
                  <w:r>
                    <w:rPr>
                      <w:bCs/>
                      <w:color w:val="auto"/>
                      <w:szCs w:val="21"/>
                    </w:rPr>
                    <w:t>36</w:t>
                  </w:r>
                </w:p>
              </w:tc>
              <w:tc>
                <w:tcPr>
                  <w:tcW w:w="553" w:type="pct"/>
                  <w:tcMar>
                    <w:left w:w="11" w:type="dxa"/>
                    <w:right w:w="11" w:type="dxa"/>
                  </w:tcMar>
                  <w:vAlign w:val="center"/>
                </w:tcPr>
                <w:p>
                  <w:pPr>
                    <w:jc w:val="center"/>
                    <w:rPr>
                      <w:bCs/>
                      <w:color w:val="auto"/>
                      <w:szCs w:val="21"/>
                    </w:rPr>
                  </w:pPr>
                  <w:r>
                    <w:rPr>
                      <w:bCs/>
                      <w:color w:val="auto"/>
                      <w:szCs w:val="21"/>
                    </w:rPr>
                    <w:t>33.9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1" w:type="pct"/>
                  <w:tcMar>
                    <w:left w:w="11" w:type="dxa"/>
                    <w:right w:w="11" w:type="dxa"/>
                  </w:tcMar>
                  <w:vAlign w:val="center"/>
                </w:tcPr>
                <w:p>
                  <w:pPr>
                    <w:adjustRightInd w:val="0"/>
                    <w:snapToGrid w:val="0"/>
                    <w:jc w:val="center"/>
                    <w:rPr>
                      <w:bCs/>
                      <w:color w:val="auto"/>
                      <w:szCs w:val="21"/>
                      <w:lang w:val="zh-CN" w:bidi="zh-CN"/>
                    </w:rPr>
                  </w:pPr>
                  <w:r>
                    <w:rPr>
                      <w:color w:val="auto"/>
                      <w:szCs w:val="21"/>
                    </w:rPr>
                    <w:t>皮带传送机</w:t>
                  </w:r>
                </w:p>
              </w:tc>
              <w:tc>
                <w:tcPr>
                  <w:tcW w:w="429" w:type="pct"/>
                  <w:tcMar>
                    <w:left w:w="11" w:type="dxa"/>
                    <w:right w:w="11" w:type="dxa"/>
                  </w:tcMar>
                  <w:vAlign w:val="center"/>
                </w:tcPr>
                <w:p>
                  <w:pPr>
                    <w:jc w:val="center"/>
                    <w:rPr>
                      <w:bCs/>
                      <w:color w:val="auto"/>
                      <w:szCs w:val="21"/>
                    </w:rPr>
                  </w:pPr>
                  <w:r>
                    <w:rPr>
                      <w:bCs/>
                      <w:color w:val="auto"/>
                      <w:szCs w:val="21"/>
                    </w:rPr>
                    <w:t>55</w:t>
                  </w:r>
                </w:p>
              </w:tc>
              <w:tc>
                <w:tcPr>
                  <w:tcW w:w="468" w:type="pct"/>
                  <w:tcMar>
                    <w:left w:w="11" w:type="dxa"/>
                    <w:right w:w="11" w:type="dxa"/>
                  </w:tcMar>
                  <w:vAlign w:val="center"/>
                </w:tcPr>
                <w:p>
                  <w:pPr>
                    <w:jc w:val="center"/>
                    <w:rPr>
                      <w:bCs/>
                      <w:color w:val="auto"/>
                      <w:szCs w:val="21"/>
                    </w:rPr>
                  </w:pPr>
                  <w:r>
                    <w:rPr>
                      <w:bCs/>
                      <w:color w:val="auto"/>
                      <w:szCs w:val="21"/>
                    </w:rPr>
                    <w:t>28</w:t>
                  </w:r>
                </w:p>
              </w:tc>
              <w:tc>
                <w:tcPr>
                  <w:tcW w:w="524" w:type="pct"/>
                  <w:tcMar>
                    <w:left w:w="11" w:type="dxa"/>
                    <w:right w:w="11" w:type="dxa"/>
                  </w:tcMar>
                  <w:vAlign w:val="center"/>
                </w:tcPr>
                <w:p>
                  <w:pPr>
                    <w:jc w:val="center"/>
                    <w:rPr>
                      <w:bCs/>
                      <w:color w:val="auto"/>
                      <w:szCs w:val="21"/>
                    </w:rPr>
                  </w:pPr>
                  <w:r>
                    <w:rPr>
                      <w:bCs/>
                      <w:color w:val="auto"/>
                      <w:szCs w:val="21"/>
                    </w:rPr>
                    <w:t>26.1</w:t>
                  </w:r>
                </w:p>
              </w:tc>
              <w:tc>
                <w:tcPr>
                  <w:tcW w:w="414" w:type="pct"/>
                  <w:tcMar>
                    <w:left w:w="11" w:type="dxa"/>
                    <w:right w:w="11" w:type="dxa"/>
                  </w:tcMar>
                  <w:vAlign w:val="center"/>
                </w:tcPr>
                <w:p>
                  <w:pPr>
                    <w:jc w:val="center"/>
                    <w:rPr>
                      <w:bCs/>
                      <w:color w:val="auto"/>
                      <w:szCs w:val="21"/>
                    </w:rPr>
                  </w:pPr>
                  <w:r>
                    <w:rPr>
                      <w:bCs/>
                      <w:color w:val="auto"/>
                      <w:szCs w:val="21"/>
                    </w:rPr>
                    <w:t>25</w:t>
                  </w:r>
                </w:p>
              </w:tc>
              <w:tc>
                <w:tcPr>
                  <w:tcW w:w="530" w:type="pct"/>
                  <w:tcMar>
                    <w:left w:w="11" w:type="dxa"/>
                    <w:right w:w="11" w:type="dxa"/>
                  </w:tcMar>
                  <w:vAlign w:val="center"/>
                </w:tcPr>
                <w:p>
                  <w:pPr>
                    <w:jc w:val="center"/>
                    <w:rPr>
                      <w:bCs/>
                      <w:color w:val="auto"/>
                      <w:szCs w:val="21"/>
                    </w:rPr>
                  </w:pPr>
                  <w:r>
                    <w:rPr>
                      <w:bCs/>
                      <w:color w:val="auto"/>
                      <w:szCs w:val="21"/>
                    </w:rPr>
                    <w:t>27.0</w:t>
                  </w:r>
                </w:p>
              </w:tc>
              <w:tc>
                <w:tcPr>
                  <w:tcW w:w="414" w:type="pct"/>
                  <w:tcMar>
                    <w:left w:w="11" w:type="dxa"/>
                    <w:right w:w="11" w:type="dxa"/>
                  </w:tcMar>
                  <w:vAlign w:val="center"/>
                </w:tcPr>
                <w:p>
                  <w:pPr>
                    <w:jc w:val="center"/>
                    <w:rPr>
                      <w:bCs/>
                      <w:color w:val="auto"/>
                      <w:szCs w:val="21"/>
                    </w:rPr>
                  </w:pPr>
                  <w:r>
                    <w:rPr>
                      <w:bCs/>
                      <w:color w:val="auto"/>
                      <w:szCs w:val="21"/>
                    </w:rPr>
                    <w:t>25</w:t>
                  </w:r>
                </w:p>
              </w:tc>
              <w:tc>
                <w:tcPr>
                  <w:tcW w:w="530" w:type="pct"/>
                  <w:tcMar>
                    <w:left w:w="11" w:type="dxa"/>
                    <w:right w:w="11" w:type="dxa"/>
                  </w:tcMar>
                  <w:vAlign w:val="center"/>
                </w:tcPr>
                <w:p>
                  <w:pPr>
                    <w:jc w:val="center"/>
                    <w:rPr>
                      <w:bCs/>
                      <w:color w:val="auto"/>
                      <w:szCs w:val="21"/>
                    </w:rPr>
                  </w:pPr>
                  <w:r>
                    <w:rPr>
                      <w:bCs/>
                      <w:color w:val="auto"/>
                      <w:szCs w:val="21"/>
                    </w:rPr>
                    <w:t>27.0</w:t>
                  </w:r>
                </w:p>
              </w:tc>
              <w:tc>
                <w:tcPr>
                  <w:tcW w:w="414" w:type="pct"/>
                  <w:tcMar>
                    <w:left w:w="11" w:type="dxa"/>
                    <w:right w:w="11" w:type="dxa"/>
                  </w:tcMar>
                  <w:vAlign w:val="center"/>
                </w:tcPr>
                <w:p>
                  <w:pPr>
                    <w:jc w:val="center"/>
                    <w:rPr>
                      <w:bCs/>
                      <w:color w:val="auto"/>
                      <w:szCs w:val="21"/>
                    </w:rPr>
                  </w:pPr>
                  <w:r>
                    <w:rPr>
                      <w:bCs/>
                      <w:color w:val="auto"/>
                      <w:szCs w:val="21"/>
                    </w:rPr>
                    <w:t>36</w:t>
                  </w:r>
                </w:p>
              </w:tc>
              <w:tc>
                <w:tcPr>
                  <w:tcW w:w="553" w:type="pct"/>
                  <w:tcMar>
                    <w:left w:w="11" w:type="dxa"/>
                    <w:right w:w="11" w:type="dxa"/>
                  </w:tcMar>
                  <w:vAlign w:val="center"/>
                </w:tcPr>
                <w:p>
                  <w:pPr>
                    <w:jc w:val="center"/>
                    <w:rPr>
                      <w:bCs/>
                      <w:color w:val="auto"/>
                      <w:szCs w:val="21"/>
                    </w:rPr>
                  </w:pPr>
                  <w:r>
                    <w:rPr>
                      <w:bCs/>
                      <w:color w:val="auto"/>
                      <w:szCs w:val="21"/>
                    </w:rPr>
                    <w:t>23.9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1" w:type="pct"/>
                  <w:tcMar>
                    <w:left w:w="11" w:type="dxa"/>
                    <w:right w:w="11" w:type="dxa"/>
                  </w:tcMar>
                  <w:vAlign w:val="center"/>
                </w:tcPr>
                <w:p>
                  <w:pPr>
                    <w:adjustRightInd w:val="0"/>
                    <w:snapToGrid w:val="0"/>
                    <w:jc w:val="center"/>
                    <w:rPr>
                      <w:bCs/>
                      <w:color w:val="auto"/>
                      <w:kern w:val="0"/>
                      <w:szCs w:val="21"/>
                    </w:rPr>
                  </w:pPr>
                  <w:r>
                    <w:rPr>
                      <w:color w:val="auto"/>
                      <w:szCs w:val="21"/>
                    </w:rPr>
                    <w:t>水泵</w:t>
                  </w:r>
                </w:p>
              </w:tc>
              <w:tc>
                <w:tcPr>
                  <w:tcW w:w="429" w:type="pct"/>
                  <w:tcMar>
                    <w:left w:w="11" w:type="dxa"/>
                    <w:right w:w="11" w:type="dxa"/>
                  </w:tcMar>
                  <w:vAlign w:val="center"/>
                </w:tcPr>
                <w:p>
                  <w:pPr>
                    <w:jc w:val="center"/>
                    <w:rPr>
                      <w:bCs/>
                      <w:color w:val="auto"/>
                      <w:szCs w:val="21"/>
                    </w:rPr>
                  </w:pPr>
                  <w:r>
                    <w:rPr>
                      <w:bCs/>
                      <w:color w:val="auto"/>
                      <w:szCs w:val="21"/>
                    </w:rPr>
                    <w:t>65</w:t>
                  </w:r>
                </w:p>
              </w:tc>
              <w:tc>
                <w:tcPr>
                  <w:tcW w:w="468" w:type="pct"/>
                  <w:tcMar>
                    <w:left w:w="11" w:type="dxa"/>
                    <w:right w:w="11" w:type="dxa"/>
                  </w:tcMar>
                  <w:vAlign w:val="center"/>
                </w:tcPr>
                <w:p>
                  <w:pPr>
                    <w:jc w:val="center"/>
                    <w:rPr>
                      <w:bCs/>
                      <w:color w:val="auto"/>
                      <w:szCs w:val="21"/>
                    </w:rPr>
                  </w:pPr>
                  <w:r>
                    <w:rPr>
                      <w:bCs/>
                      <w:color w:val="auto"/>
                      <w:szCs w:val="21"/>
                    </w:rPr>
                    <w:t>29</w:t>
                  </w:r>
                </w:p>
              </w:tc>
              <w:tc>
                <w:tcPr>
                  <w:tcW w:w="524" w:type="pct"/>
                  <w:tcMar>
                    <w:left w:w="11" w:type="dxa"/>
                    <w:right w:w="11" w:type="dxa"/>
                  </w:tcMar>
                  <w:vAlign w:val="center"/>
                </w:tcPr>
                <w:p>
                  <w:pPr>
                    <w:jc w:val="center"/>
                    <w:rPr>
                      <w:bCs/>
                      <w:color w:val="auto"/>
                      <w:szCs w:val="21"/>
                    </w:rPr>
                  </w:pPr>
                  <w:r>
                    <w:rPr>
                      <w:bCs/>
                      <w:color w:val="auto"/>
                      <w:szCs w:val="21"/>
                    </w:rPr>
                    <w:t>35.8</w:t>
                  </w:r>
                </w:p>
              </w:tc>
              <w:tc>
                <w:tcPr>
                  <w:tcW w:w="414" w:type="pct"/>
                  <w:tcMar>
                    <w:left w:w="11" w:type="dxa"/>
                    <w:right w:w="11" w:type="dxa"/>
                  </w:tcMar>
                  <w:vAlign w:val="center"/>
                </w:tcPr>
                <w:p>
                  <w:pPr>
                    <w:jc w:val="center"/>
                    <w:rPr>
                      <w:bCs/>
                      <w:color w:val="auto"/>
                      <w:szCs w:val="21"/>
                    </w:rPr>
                  </w:pPr>
                  <w:r>
                    <w:rPr>
                      <w:bCs/>
                      <w:color w:val="auto"/>
                      <w:szCs w:val="21"/>
                    </w:rPr>
                    <w:t>5</w:t>
                  </w:r>
                </w:p>
              </w:tc>
              <w:tc>
                <w:tcPr>
                  <w:tcW w:w="530" w:type="pct"/>
                  <w:tcMar>
                    <w:left w:w="11" w:type="dxa"/>
                    <w:right w:w="11" w:type="dxa"/>
                  </w:tcMar>
                  <w:vAlign w:val="center"/>
                </w:tcPr>
                <w:p>
                  <w:pPr>
                    <w:jc w:val="center"/>
                    <w:rPr>
                      <w:bCs/>
                      <w:color w:val="auto"/>
                      <w:szCs w:val="21"/>
                    </w:rPr>
                  </w:pPr>
                  <w:r>
                    <w:rPr>
                      <w:bCs/>
                      <w:color w:val="auto"/>
                      <w:szCs w:val="21"/>
                    </w:rPr>
                    <w:t>51.0</w:t>
                  </w:r>
                </w:p>
              </w:tc>
              <w:tc>
                <w:tcPr>
                  <w:tcW w:w="414" w:type="pct"/>
                  <w:tcMar>
                    <w:left w:w="11" w:type="dxa"/>
                    <w:right w:w="11" w:type="dxa"/>
                  </w:tcMar>
                  <w:vAlign w:val="center"/>
                </w:tcPr>
                <w:p>
                  <w:pPr>
                    <w:jc w:val="center"/>
                    <w:rPr>
                      <w:bCs/>
                      <w:color w:val="auto"/>
                      <w:szCs w:val="21"/>
                    </w:rPr>
                  </w:pPr>
                  <w:r>
                    <w:rPr>
                      <w:bCs/>
                      <w:color w:val="auto"/>
                      <w:szCs w:val="21"/>
                    </w:rPr>
                    <w:t>28</w:t>
                  </w:r>
                </w:p>
              </w:tc>
              <w:tc>
                <w:tcPr>
                  <w:tcW w:w="530" w:type="pct"/>
                  <w:tcMar>
                    <w:left w:w="11" w:type="dxa"/>
                    <w:right w:w="11" w:type="dxa"/>
                  </w:tcMar>
                  <w:vAlign w:val="center"/>
                </w:tcPr>
                <w:p>
                  <w:pPr>
                    <w:jc w:val="center"/>
                    <w:rPr>
                      <w:bCs/>
                      <w:color w:val="auto"/>
                      <w:szCs w:val="21"/>
                    </w:rPr>
                  </w:pPr>
                  <w:r>
                    <w:rPr>
                      <w:bCs/>
                      <w:color w:val="auto"/>
                      <w:szCs w:val="21"/>
                    </w:rPr>
                    <w:t>36.1</w:t>
                  </w:r>
                </w:p>
              </w:tc>
              <w:tc>
                <w:tcPr>
                  <w:tcW w:w="414" w:type="pct"/>
                  <w:tcMar>
                    <w:left w:w="11" w:type="dxa"/>
                    <w:right w:w="11" w:type="dxa"/>
                  </w:tcMar>
                  <w:vAlign w:val="center"/>
                </w:tcPr>
                <w:p>
                  <w:pPr>
                    <w:jc w:val="center"/>
                    <w:rPr>
                      <w:bCs/>
                      <w:color w:val="auto"/>
                      <w:szCs w:val="21"/>
                    </w:rPr>
                  </w:pPr>
                  <w:r>
                    <w:rPr>
                      <w:bCs/>
                      <w:color w:val="auto"/>
                      <w:szCs w:val="21"/>
                    </w:rPr>
                    <w:t>53</w:t>
                  </w:r>
                </w:p>
              </w:tc>
              <w:tc>
                <w:tcPr>
                  <w:tcW w:w="553" w:type="pct"/>
                  <w:tcMar>
                    <w:left w:w="11" w:type="dxa"/>
                    <w:right w:w="11" w:type="dxa"/>
                  </w:tcMar>
                  <w:vAlign w:val="center"/>
                </w:tcPr>
                <w:p>
                  <w:pPr>
                    <w:jc w:val="center"/>
                    <w:rPr>
                      <w:bCs/>
                      <w:color w:val="auto"/>
                      <w:szCs w:val="21"/>
                    </w:rPr>
                  </w:pPr>
                  <w:r>
                    <w:rPr>
                      <w:bCs/>
                      <w:color w:val="auto"/>
                      <w:szCs w:val="21"/>
                    </w:rPr>
                    <w:t>30.5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1" w:type="pct"/>
                  <w:tcMar>
                    <w:left w:w="11" w:type="dxa"/>
                    <w:right w:w="11" w:type="dxa"/>
                  </w:tcMar>
                  <w:vAlign w:val="center"/>
                </w:tcPr>
                <w:p>
                  <w:pPr>
                    <w:widowControl/>
                    <w:adjustRightInd w:val="0"/>
                    <w:snapToGrid w:val="0"/>
                    <w:jc w:val="center"/>
                    <w:textAlignment w:val="center"/>
                    <w:rPr>
                      <w:bCs/>
                      <w:color w:val="auto"/>
                      <w:kern w:val="0"/>
                      <w:szCs w:val="21"/>
                    </w:rPr>
                  </w:pPr>
                  <w:r>
                    <w:rPr>
                      <w:color w:val="auto"/>
                      <w:szCs w:val="21"/>
                    </w:rPr>
                    <w:t>脉冲反吹式仓顶除尘器</w:t>
                  </w:r>
                </w:p>
              </w:tc>
              <w:tc>
                <w:tcPr>
                  <w:tcW w:w="429" w:type="pct"/>
                  <w:tcMar>
                    <w:left w:w="11" w:type="dxa"/>
                    <w:right w:w="11" w:type="dxa"/>
                  </w:tcMar>
                  <w:vAlign w:val="center"/>
                </w:tcPr>
                <w:p>
                  <w:pPr>
                    <w:jc w:val="center"/>
                    <w:rPr>
                      <w:bCs/>
                      <w:color w:val="auto"/>
                      <w:szCs w:val="21"/>
                    </w:rPr>
                  </w:pPr>
                  <w:r>
                    <w:rPr>
                      <w:bCs/>
                      <w:color w:val="auto"/>
                      <w:szCs w:val="21"/>
                    </w:rPr>
                    <w:t>65</w:t>
                  </w:r>
                </w:p>
              </w:tc>
              <w:tc>
                <w:tcPr>
                  <w:tcW w:w="468" w:type="pct"/>
                  <w:tcMar>
                    <w:left w:w="11" w:type="dxa"/>
                    <w:right w:w="11" w:type="dxa"/>
                  </w:tcMar>
                  <w:vAlign w:val="center"/>
                </w:tcPr>
                <w:p>
                  <w:pPr>
                    <w:jc w:val="center"/>
                    <w:rPr>
                      <w:bCs/>
                      <w:color w:val="auto"/>
                      <w:szCs w:val="21"/>
                    </w:rPr>
                  </w:pPr>
                  <w:r>
                    <w:rPr>
                      <w:bCs/>
                      <w:color w:val="auto"/>
                      <w:szCs w:val="21"/>
                    </w:rPr>
                    <w:t>17</w:t>
                  </w:r>
                </w:p>
              </w:tc>
              <w:tc>
                <w:tcPr>
                  <w:tcW w:w="524" w:type="pct"/>
                  <w:tcMar>
                    <w:left w:w="11" w:type="dxa"/>
                    <w:right w:w="11" w:type="dxa"/>
                  </w:tcMar>
                  <w:vAlign w:val="center"/>
                </w:tcPr>
                <w:p>
                  <w:pPr>
                    <w:jc w:val="center"/>
                    <w:rPr>
                      <w:bCs/>
                      <w:color w:val="auto"/>
                      <w:szCs w:val="21"/>
                    </w:rPr>
                  </w:pPr>
                  <w:r>
                    <w:rPr>
                      <w:bCs/>
                      <w:color w:val="auto"/>
                      <w:szCs w:val="21"/>
                    </w:rPr>
                    <w:t>40.4</w:t>
                  </w:r>
                </w:p>
              </w:tc>
              <w:tc>
                <w:tcPr>
                  <w:tcW w:w="414" w:type="pct"/>
                  <w:tcMar>
                    <w:left w:w="11" w:type="dxa"/>
                    <w:right w:w="11" w:type="dxa"/>
                  </w:tcMar>
                  <w:vAlign w:val="center"/>
                </w:tcPr>
                <w:p>
                  <w:pPr>
                    <w:jc w:val="center"/>
                    <w:rPr>
                      <w:bCs/>
                      <w:color w:val="auto"/>
                      <w:szCs w:val="21"/>
                    </w:rPr>
                  </w:pPr>
                  <w:r>
                    <w:rPr>
                      <w:bCs/>
                      <w:color w:val="auto"/>
                      <w:szCs w:val="21"/>
                    </w:rPr>
                    <w:t>50</w:t>
                  </w:r>
                </w:p>
              </w:tc>
              <w:tc>
                <w:tcPr>
                  <w:tcW w:w="530" w:type="pct"/>
                  <w:tcMar>
                    <w:left w:w="11" w:type="dxa"/>
                    <w:right w:w="11" w:type="dxa"/>
                  </w:tcMar>
                  <w:vAlign w:val="center"/>
                </w:tcPr>
                <w:p>
                  <w:pPr>
                    <w:jc w:val="center"/>
                    <w:rPr>
                      <w:bCs/>
                      <w:color w:val="auto"/>
                      <w:szCs w:val="21"/>
                    </w:rPr>
                  </w:pPr>
                  <w:r>
                    <w:rPr>
                      <w:bCs/>
                      <w:color w:val="auto"/>
                      <w:szCs w:val="21"/>
                    </w:rPr>
                    <w:t>31.0</w:t>
                  </w:r>
                </w:p>
              </w:tc>
              <w:tc>
                <w:tcPr>
                  <w:tcW w:w="414" w:type="pct"/>
                  <w:tcMar>
                    <w:left w:w="11" w:type="dxa"/>
                    <w:right w:w="11" w:type="dxa"/>
                  </w:tcMar>
                  <w:vAlign w:val="center"/>
                </w:tcPr>
                <w:p>
                  <w:pPr>
                    <w:jc w:val="center"/>
                    <w:rPr>
                      <w:bCs/>
                      <w:color w:val="auto"/>
                      <w:szCs w:val="21"/>
                    </w:rPr>
                  </w:pPr>
                  <w:r>
                    <w:rPr>
                      <w:bCs/>
                      <w:color w:val="auto"/>
                      <w:szCs w:val="21"/>
                    </w:rPr>
                    <w:t>10</w:t>
                  </w:r>
                </w:p>
              </w:tc>
              <w:tc>
                <w:tcPr>
                  <w:tcW w:w="530" w:type="pct"/>
                  <w:tcMar>
                    <w:left w:w="11" w:type="dxa"/>
                    <w:right w:w="11" w:type="dxa"/>
                  </w:tcMar>
                  <w:vAlign w:val="center"/>
                </w:tcPr>
                <w:p>
                  <w:pPr>
                    <w:jc w:val="center"/>
                    <w:rPr>
                      <w:bCs/>
                      <w:color w:val="auto"/>
                      <w:szCs w:val="21"/>
                    </w:rPr>
                  </w:pPr>
                  <w:r>
                    <w:rPr>
                      <w:bCs/>
                      <w:color w:val="auto"/>
                      <w:szCs w:val="21"/>
                    </w:rPr>
                    <w:t>45.0</w:t>
                  </w:r>
                </w:p>
              </w:tc>
              <w:tc>
                <w:tcPr>
                  <w:tcW w:w="414" w:type="pct"/>
                  <w:tcMar>
                    <w:left w:w="11" w:type="dxa"/>
                    <w:right w:w="11" w:type="dxa"/>
                  </w:tcMar>
                  <w:vAlign w:val="center"/>
                </w:tcPr>
                <w:p>
                  <w:pPr>
                    <w:jc w:val="center"/>
                    <w:rPr>
                      <w:bCs/>
                      <w:color w:val="auto"/>
                      <w:szCs w:val="21"/>
                    </w:rPr>
                  </w:pPr>
                  <w:r>
                    <w:rPr>
                      <w:bCs/>
                      <w:color w:val="auto"/>
                      <w:szCs w:val="21"/>
                    </w:rPr>
                    <w:t>12</w:t>
                  </w:r>
                </w:p>
              </w:tc>
              <w:tc>
                <w:tcPr>
                  <w:tcW w:w="553" w:type="pct"/>
                  <w:tcMar>
                    <w:left w:w="11" w:type="dxa"/>
                    <w:right w:w="11" w:type="dxa"/>
                  </w:tcMar>
                  <w:vAlign w:val="center"/>
                </w:tcPr>
                <w:p>
                  <w:pPr>
                    <w:jc w:val="center"/>
                    <w:rPr>
                      <w:bCs/>
                      <w:color w:val="auto"/>
                      <w:szCs w:val="21"/>
                    </w:rPr>
                  </w:pPr>
                  <w:r>
                    <w:rPr>
                      <w:bCs/>
                      <w:color w:val="auto"/>
                      <w:szCs w:val="21"/>
                    </w:rPr>
                    <w:t>43.4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21" w:type="pct"/>
                  <w:tcMar>
                    <w:left w:w="11" w:type="dxa"/>
                    <w:right w:w="11" w:type="dxa"/>
                  </w:tcMar>
                  <w:vAlign w:val="center"/>
                </w:tcPr>
                <w:p>
                  <w:pPr>
                    <w:jc w:val="center"/>
                    <w:rPr>
                      <w:bCs/>
                      <w:color w:val="auto"/>
                      <w:kern w:val="0"/>
                      <w:szCs w:val="21"/>
                    </w:rPr>
                  </w:pPr>
                  <w:r>
                    <w:rPr>
                      <w:color w:val="auto"/>
                      <w:kern w:val="0"/>
                      <w:szCs w:val="21"/>
                    </w:rPr>
                    <w:t>装载机</w:t>
                  </w:r>
                </w:p>
              </w:tc>
              <w:tc>
                <w:tcPr>
                  <w:tcW w:w="429" w:type="pct"/>
                  <w:tcMar>
                    <w:left w:w="11" w:type="dxa"/>
                    <w:right w:w="11" w:type="dxa"/>
                  </w:tcMar>
                  <w:vAlign w:val="center"/>
                </w:tcPr>
                <w:p>
                  <w:pPr>
                    <w:jc w:val="center"/>
                    <w:rPr>
                      <w:bCs/>
                      <w:color w:val="auto"/>
                      <w:szCs w:val="21"/>
                    </w:rPr>
                  </w:pPr>
                  <w:r>
                    <w:rPr>
                      <w:bCs/>
                      <w:color w:val="auto"/>
                      <w:szCs w:val="21"/>
                    </w:rPr>
                    <w:t>75</w:t>
                  </w:r>
                </w:p>
              </w:tc>
              <w:tc>
                <w:tcPr>
                  <w:tcW w:w="468" w:type="pct"/>
                  <w:tcMar>
                    <w:left w:w="11" w:type="dxa"/>
                    <w:right w:w="11" w:type="dxa"/>
                  </w:tcMar>
                  <w:vAlign w:val="center"/>
                </w:tcPr>
                <w:p>
                  <w:pPr>
                    <w:jc w:val="center"/>
                    <w:rPr>
                      <w:bCs/>
                      <w:color w:val="auto"/>
                      <w:szCs w:val="21"/>
                    </w:rPr>
                  </w:pPr>
                  <w:r>
                    <w:rPr>
                      <w:bCs/>
                      <w:color w:val="auto"/>
                      <w:szCs w:val="21"/>
                    </w:rPr>
                    <w:t>20</w:t>
                  </w:r>
                </w:p>
              </w:tc>
              <w:tc>
                <w:tcPr>
                  <w:tcW w:w="524" w:type="pct"/>
                  <w:tcMar>
                    <w:left w:w="11" w:type="dxa"/>
                    <w:right w:w="11" w:type="dxa"/>
                  </w:tcMar>
                  <w:vAlign w:val="center"/>
                </w:tcPr>
                <w:p>
                  <w:pPr>
                    <w:jc w:val="center"/>
                    <w:rPr>
                      <w:bCs/>
                      <w:color w:val="auto"/>
                      <w:szCs w:val="21"/>
                    </w:rPr>
                  </w:pPr>
                  <w:r>
                    <w:rPr>
                      <w:bCs/>
                      <w:color w:val="auto"/>
                      <w:szCs w:val="21"/>
                    </w:rPr>
                    <w:t>49.0</w:t>
                  </w:r>
                </w:p>
              </w:tc>
              <w:tc>
                <w:tcPr>
                  <w:tcW w:w="414" w:type="pct"/>
                  <w:tcMar>
                    <w:left w:w="11" w:type="dxa"/>
                    <w:right w:w="11" w:type="dxa"/>
                  </w:tcMar>
                  <w:vAlign w:val="center"/>
                </w:tcPr>
                <w:p>
                  <w:pPr>
                    <w:jc w:val="center"/>
                    <w:rPr>
                      <w:bCs/>
                      <w:color w:val="auto"/>
                      <w:szCs w:val="21"/>
                    </w:rPr>
                  </w:pPr>
                  <w:r>
                    <w:rPr>
                      <w:bCs/>
                      <w:color w:val="auto"/>
                      <w:szCs w:val="21"/>
                    </w:rPr>
                    <w:t>20</w:t>
                  </w:r>
                </w:p>
              </w:tc>
              <w:tc>
                <w:tcPr>
                  <w:tcW w:w="530" w:type="pct"/>
                  <w:tcMar>
                    <w:left w:w="11" w:type="dxa"/>
                    <w:right w:w="11" w:type="dxa"/>
                  </w:tcMar>
                  <w:vAlign w:val="center"/>
                </w:tcPr>
                <w:p>
                  <w:pPr>
                    <w:jc w:val="center"/>
                    <w:rPr>
                      <w:bCs/>
                      <w:color w:val="auto"/>
                      <w:szCs w:val="21"/>
                    </w:rPr>
                  </w:pPr>
                  <w:r>
                    <w:rPr>
                      <w:bCs/>
                      <w:color w:val="auto"/>
                      <w:szCs w:val="21"/>
                    </w:rPr>
                    <w:t>49.0</w:t>
                  </w:r>
                </w:p>
              </w:tc>
              <w:tc>
                <w:tcPr>
                  <w:tcW w:w="414" w:type="pct"/>
                  <w:tcMar>
                    <w:left w:w="11" w:type="dxa"/>
                    <w:right w:w="11" w:type="dxa"/>
                  </w:tcMar>
                  <w:vAlign w:val="center"/>
                </w:tcPr>
                <w:p>
                  <w:pPr>
                    <w:jc w:val="center"/>
                    <w:rPr>
                      <w:bCs/>
                      <w:color w:val="auto"/>
                      <w:szCs w:val="21"/>
                    </w:rPr>
                  </w:pPr>
                  <w:r>
                    <w:rPr>
                      <w:bCs/>
                      <w:color w:val="auto"/>
                      <w:szCs w:val="21"/>
                    </w:rPr>
                    <w:t>40</w:t>
                  </w:r>
                </w:p>
              </w:tc>
              <w:tc>
                <w:tcPr>
                  <w:tcW w:w="530" w:type="pct"/>
                  <w:tcMar>
                    <w:left w:w="11" w:type="dxa"/>
                    <w:right w:w="11" w:type="dxa"/>
                  </w:tcMar>
                  <w:vAlign w:val="center"/>
                </w:tcPr>
                <w:p>
                  <w:pPr>
                    <w:jc w:val="center"/>
                    <w:rPr>
                      <w:bCs/>
                      <w:color w:val="auto"/>
                      <w:szCs w:val="21"/>
                    </w:rPr>
                  </w:pPr>
                  <w:r>
                    <w:rPr>
                      <w:bCs/>
                      <w:color w:val="auto"/>
                      <w:szCs w:val="21"/>
                    </w:rPr>
                    <w:t>43.0</w:t>
                  </w:r>
                </w:p>
              </w:tc>
              <w:tc>
                <w:tcPr>
                  <w:tcW w:w="414" w:type="pct"/>
                  <w:tcMar>
                    <w:left w:w="11" w:type="dxa"/>
                    <w:right w:w="11" w:type="dxa"/>
                  </w:tcMar>
                  <w:vAlign w:val="center"/>
                </w:tcPr>
                <w:p>
                  <w:pPr>
                    <w:jc w:val="center"/>
                    <w:rPr>
                      <w:bCs/>
                      <w:color w:val="auto"/>
                      <w:szCs w:val="21"/>
                    </w:rPr>
                  </w:pPr>
                  <w:r>
                    <w:rPr>
                      <w:bCs/>
                      <w:color w:val="auto"/>
                      <w:szCs w:val="21"/>
                    </w:rPr>
                    <w:t>40</w:t>
                  </w:r>
                </w:p>
              </w:tc>
              <w:tc>
                <w:tcPr>
                  <w:tcW w:w="553" w:type="pct"/>
                  <w:tcMar>
                    <w:left w:w="11" w:type="dxa"/>
                    <w:right w:w="11" w:type="dxa"/>
                  </w:tcMar>
                  <w:vAlign w:val="center"/>
                </w:tcPr>
                <w:p>
                  <w:pPr>
                    <w:jc w:val="center"/>
                    <w:rPr>
                      <w:bCs/>
                      <w:color w:val="auto"/>
                      <w:szCs w:val="21"/>
                    </w:rPr>
                  </w:pPr>
                  <w:r>
                    <w:rPr>
                      <w:bCs/>
                      <w:color w:val="auto"/>
                      <w:szCs w:val="21"/>
                    </w:rPr>
                    <w:t>43.0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1" w:type="pct"/>
                  <w:tcMar>
                    <w:left w:w="11" w:type="dxa"/>
                    <w:right w:w="11" w:type="dxa"/>
                  </w:tcMar>
                  <w:vAlign w:val="center"/>
                </w:tcPr>
                <w:p>
                  <w:pPr>
                    <w:widowControl/>
                    <w:jc w:val="center"/>
                    <w:textAlignment w:val="center"/>
                    <w:rPr>
                      <w:bCs/>
                      <w:color w:val="auto"/>
                      <w:szCs w:val="21"/>
                      <w:lang w:val="zh-CN" w:bidi="zh-CN"/>
                    </w:rPr>
                  </w:pPr>
                  <w:r>
                    <w:rPr>
                      <w:color w:val="auto"/>
                      <w:szCs w:val="21"/>
                    </w:rPr>
                    <w:t>混凝土罐车</w:t>
                  </w:r>
                </w:p>
              </w:tc>
              <w:tc>
                <w:tcPr>
                  <w:tcW w:w="429" w:type="pct"/>
                  <w:tcMar>
                    <w:left w:w="11" w:type="dxa"/>
                    <w:right w:w="11" w:type="dxa"/>
                  </w:tcMar>
                  <w:vAlign w:val="center"/>
                </w:tcPr>
                <w:p>
                  <w:pPr>
                    <w:jc w:val="center"/>
                    <w:rPr>
                      <w:bCs/>
                      <w:color w:val="auto"/>
                      <w:szCs w:val="21"/>
                      <w:lang w:val="zh-CN"/>
                    </w:rPr>
                  </w:pPr>
                  <w:r>
                    <w:rPr>
                      <w:bCs/>
                      <w:color w:val="auto"/>
                      <w:szCs w:val="21"/>
                    </w:rPr>
                    <w:t>65</w:t>
                  </w:r>
                </w:p>
              </w:tc>
              <w:tc>
                <w:tcPr>
                  <w:tcW w:w="468" w:type="pct"/>
                  <w:tcMar>
                    <w:left w:w="11" w:type="dxa"/>
                    <w:right w:w="11" w:type="dxa"/>
                  </w:tcMar>
                  <w:vAlign w:val="center"/>
                </w:tcPr>
                <w:p>
                  <w:pPr>
                    <w:jc w:val="center"/>
                    <w:rPr>
                      <w:bCs/>
                      <w:color w:val="auto"/>
                      <w:szCs w:val="21"/>
                    </w:rPr>
                  </w:pPr>
                  <w:r>
                    <w:rPr>
                      <w:bCs/>
                      <w:color w:val="auto"/>
                      <w:szCs w:val="21"/>
                    </w:rPr>
                    <w:t>15</w:t>
                  </w:r>
                </w:p>
              </w:tc>
              <w:tc>
                <w:tcPr>
                  <w:tcW w:w="524" w:type="pct"/>
                  <w:tcMar>
                    <w:left w:w="11" w:type="dxa"/>
                    <w:right w:w="11" w:type="dxa"/>
                  </w:tcMar>
                  <w:vAlign w:val="center"/>
                </w:tcPr>
                <w:p>
                  <w:pPr>
                    <w:jc w:val="center"/>
                    <w:rPr>
                      <w:bCs/>
                      <w:color w:val="auto"/>
                      <w:szCs w:val="21"/>
                    </w:rPr>
                  </w:pPr>
                  <w:r>
                    <w:rPr>
                      <w:bCs/>
                      <w:color w:val="auto"/>
                      <w:szCs w:val="21"/>
                    </w:rPr>
                    <w:t>41.5</w:t>
                  </w:r>
                </w:p>
              </w:tc>
              <w:tc>
                <w:tcPr>
                  <w:tcW w:w="414" w:type="pct"/>
                  <w:tcMar>
                    <w:left w:w="11" w:type="dxa"/>
                    <w:right w:w="11" w:type="dxa"/>
                  </w:tcMar>
                  <w:vAlign w:val="center"/>
                </w:tcPr>
                <w:p>
                  <w:pPr>
                    <w:jc w:val="center"/>
                    <w:rPr>
                      <w:bCs/>
                      <w:color w:val="auto"/>
                      <w:szCs w:val="21"/>
                    </w:rPr>
                  </w:pPr>
                  <w:r>
                    <w:rPr>
                      <w:bCs/>
                      <w:color w:val="auto"/>
                      <w:szCs w:val="21"/>
                    </w:rPr>
                    <w:t>50</w:t>
                  </w:r>
                </w:p>
              </w:tc>
              <w:tc>
                <w:tcPr>
                  <w:tcW w:w="530" w:type="pct"/>
                  <w:tcMar>
                    <w:left w:w="11" w:type="dxa"/>
                    <w:right w:w="11" w:type="dxa"/>
                  </w:tcMar>
                  <w:vAlign w:val="center"/>
                </w:tcPr>
                <w:p>
                  <w:pPr>
                    <w:jc w:val="center"/>
                    <w:rPr>
                      <w:bCs/>
                      <w:color w:val="auto"/>
                      <w:szCs w:val="21"/>
                    </w:rPr>
                  </w:pPr>
                  <w:r>
                    <w:rPr>
                      <w:bCs/>
                      <w:color w:val="auto"/>
                      <w:szCs w:val="21"/>
                    </w:rPr>
                    <w:t>31.0</w:t>
                  </w:r>
                </w:p>
              </w:tc>
              <w:tc>
                <w:tcPr>
                  <w:tcW w:w="414" w:type="pct"/>
                  <w:tcMar>
                    <w:left w:w="11" w:type="dxa"/>
                    <w:right w:w="11" w:type="dxa"/>
                  </w:tcMar>
                  <w:vAlign w:val="center"/>
                </w:tcPr>
                <w:p>
                  <w:pPr>
                    <w:jc w:val="center"/>
                    <w:rPr>
                      <w:bCs/>
                      <w:color w:val="auto"/>
                      <w:szCs w:val="21"/>
                    </w:rPr>
                  </w:pPr>
                  <w:r>
                    <w:rPr>
                      <w:bCs/>
                      <w:color w:val="auto"/>
                      <w:szCs w:val="21"/>
                    </w:rPr>
                    <w:t>12</w:t>
                  </w:r>
                </w:p>
              </w:tc>
              <w:tc>
                <w:tcPr>
                  <w:tcW w:w="530" w:type="pct"/>
                  <w:tcMar>
                    <w:left w:w="11" w:type="dxa"/>
                    <w:right w:w="11" w:type="dxa"/>
                  </w:tcMar>
                  <w:vAlign w:val="center"/>
                </w:tcPr>
                <w:p>
                  <w:pPr>
                    <w:jc w:val="center"/>
                    <w:rPr>
                      <w:bCs/>
                      <w:color w:val="auto"/>
                      <w:szCs w:val="21"/>
                    </w:rPr>
                  </w:pPr>
                  <w:r>
                    <w:rPr>
                      <w:bCs/>
                      <w:color w:val="auto"/>
                      <w:szCs w:val="21"/>
                    </w:rPr>
                    <w:t>43.4</w:t>
                  </w:r>
                </w:p>
              </w:tc>
              <w:tc>
                <w:tcPr>
                  <w:tcW w:w="414" w:type="pct"/>
                  <w:tcMar>
                    <w:left w:w="11" w:type="dxa"/>
                    <w:right w:w="11" w:type="dxa"/>
                  </w:tcMar>
                  <w:vAlign w:val="center"/>
                </w:tcPr>
                <w:p>
                  <w:pPr>
                    <w:jc w:val="center"/>
                    <w:rPr>
                      <w:bCs/>
                      <w:color w:val="auto"/>
                      <w:szCs w:val="21"/>
                    </w:rPr>
                  </w:pPr>
                  <w:r>
                    <w:rPr>
                      <w:bCs/>
                      <w:color w:val="auto"/>
                      <w:szCs w:val="21"/>
                    </w:rPr>
                    <w:t>10</w:t>
                  </w:r>
                </w:p>
              </w:tc>
              <w:tc>
                <w:tcPr>
                  <w:tcW w:w="553" w:type="pct"/>
                  <w:tcMar>
                    <w:left w:w="11" w:type="dxa"/>
                    <w:right w:w="11" w:type="dxa"/>
                  </w:tcMar>
                  <w:vAlign w:val="center"/>
                </w:tcPr>
                <w:p>
                  <w:pPr>
                    <w:jc w:val="center"/>
                    <w:rPr>
                      <w:bCs/>
                      <w:color w:val="auto"/>
                      <w:szCs w:val="21"/>
                    </w:rPr>
                  </w:pPr>
                  <w:r>
                    <w:rPr>
                      <w:bCs/>
                      <w:color w:val="auto"/>
                      <w:szCs w:val="21"/>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1" w:type="pct"/>
                  <w:tcMar>
                    <w:left w:w="11" w:type="dxa"/>
                    <w:right w:w="11" w:type="dxa"/>
                  </w:tcMar>
                  <w:vAlign w:val="center"/>
                </w:tcPr>
                <w:p>
                  <w:pPr>
                    <w:jc w:val="center"/>
                    <w:rPr>
                      <w:bCs/>
                      <w:color w:val="auto"/>
                      <w:szCs w:val="21"/>
                    </w:rPr>
                  </w:pPr>
                  <w:r>
                    <w:rPr>
                      <w:bCs/>
                      <w:color w:val="auto"/>
                      <w:kern w:val="0"/>
                      <w:szCs w:val="21"/>
                    </w:rPr>
                    <w:t>贡献值</w:t>
                  </w:r>
                </w:p>
              </w:tc>
              <w:tc>
                <w:tcPr>
                  <w:tcW w:w="429" w:type="pct"/>
                  <w:tcMar>
                    <w:left w:w="11" w:type="dxa"/>
                    <w:right w:w="11" w:type="dxa"/>
                  </w:tcMar>
                  <w:vAlign w:val="center"/>
                </w:tcPr>
                <w:p>
                  <w:pPr>
                    <w:jc w:val="center"/>
                    <w:rPr>
                      <w:bCs/>
                      <w:color w:val="auto"/>
                      <w:kern w:val="0"/>
                      <w:szCs w:val="21"/>
                    </w:rPr>
                  </w:pPr>
                  <w:r>
                    <w:rPr>
                      <w:bCs/>
                      <w:color w:val="auto"/>
                      <w:kern w:val="0"/>
                      <w:szCs w:val="21"/>
                    </w:rPr>
                    <w:t>/</w:t>
                  </w:r>
                </w:p>
              </w:tc>
              <w:tc>
                <w:tcPr>
                  <w:tcW w:w="992" w:type="pct"/>
                  <w:gridSpan w:val="2"/>
                  <w:tcMar>
                    <w:left w:w="11" w:type="dxa"/>
                    <w:right w:w="11" w:type="dxa"/>
                  </w:tcMar>
                  <w:vAlign w:val="center"/>
                </w:tcPr>
                <w:p>
                  <w:pPr>
                    <w:jc w:val="center"/>
                    <w:rPr>
                      <w:rFonts w:hint="eastAsia" w:eastAsia="宋体"/>
                      <w:bCs/>
                      <w:color w:val="auto"/>
                      <w:szCs w:val="21"/>
                      <w:lang w:val="en-US" w:eastAsia="zh-CN"/>
                    </w:rPr>
                  </w:pPr>
                  <w:r>
                    <w:rPr>
                      <w:bCs/>
                      <w:color w:val="auto"/>
                      <w:szCs w:val="21"/>
                    </w:rPr>
                    <w:t>50.</w:t>
                  </w:r>
                  <w:r>
                    <w:rPr>
                      <w:rFonts w:hint="eastAsia"/>
                      <w:bCs/>
                      <w:color w:val="auto"/>
                      <w:szCs w:val="21"/>
                      <w:lang w:val="en-US" w:eastAsia="zh-CN"/>
                    </w:rPr>
                    <w:t>8</w:t>
                  </w:r>
                </w:p>
              </w:tc>
              <w:tc>
                <w:tcPr>
                  <w:tcW w:w="944" w:type="pct"/>
                  <w:gridSpan w:val="2"/>
                  <w:tcMar>
                    <w:left w:w="11" w:type="dxa"/>
                    <w:right w:w="11" w:type="dxa"/>
                  </w:tcMar>
                  <w:vAlign w:val="center"/>
                </w:tcPr>
                <w:p>
                  <w:pPr>
                    <w:jc w:val="center"/>
                    <w:rPr>
                      <w:bCs/>
                      <w:color w:val="auto"/>
                      <w:szCs w:val="21"/>
                    </w:rPr>
                  </w:pPr>
                  <w:r>
                    <w:rPr>
                      <w:bCs/>
                      <w:color w:val="auto"/>
                      <w:szCs w:val="21"/>
                    </w:rPr>
                    <w:t>53.3</w:t>
                  </w:r>
                </w:p>
              </w:tc>
              <w:tc>
                <w:tcPr>
                  <w:tcW w:w="944" w:type="pct"/>
                  <w:gridSpan w:val="2"/>
                  <w:tcMar>
                    <w:left w:w="11" w:type="dxa"/>
                    <w:right w:w="11" w:type="dxa"/>
                  </w:tcMar>
                  <w:vAlign w:val="center"/>
                </w:tcPr>
                <w:p>
                  <w:pPr>
                    <w:jc w:val="center"/>
                    <w:rPr>
                      <w:bCs/>
                      <w:color w:val="auto"/>
                      <w:szCs w:val="21"/>
                    </w:rPr>
                  </w:pPr>
                  <w:r>
                    <w:rPr>
                      <w:bCs/>
                      <w:color w:val="auto"/>
                      <w:szCs w:val="21"/>
                    </w:rPr>
                    <w:t>56.4</w:t>
                  </w:r>
                </w:p>
              </w:tc>
              <w:tc>
                <w:tcPr>
                  <w:tcW w:w="967" w:type="pct"/>
                  <w:gridSpan w:val="2"/>
                  <w:tcMar>
                    <w:left w:w="11" w:type="dxa"/>
                    <w:right w:w="11" w:type="dxa"/>
                  </w:tcMar>
                  <w:vAlign w:val="center"/>
                </w:tcPr>
                <w:p>
                  <w:pPr>
                    <w:jc w:val="center"/>
                    <w:rPr>
                      <w:bCs/>
                      <w:color w:val="auto"/>
                      <w:szCs w:val="21"/>
                    </w:rPr>
                  </w:pPr>
                  <w:r>
                    <w:rPr>
                      <w:bCs/>
                      <w:color w:val="auto"/>
                      <w:szCs w:val="21"/>
                    </w:rPr>
                    <w:t>48.9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1" w:type="pct"/>
                  <w:tcMar>
                    <w:left w:w="11" w:type="dxa"/>
                    <w:right w:w="11" w:type="dxa"/>
                  </w:tcMar>
                  <w:vAlign w:val="center"/>
                </w:tcPr>
                <w:p>
                  <w:pPr>
                    <w:jc w:val="center"/>
                    <w:rPr>
                      <w:bCs/>
                      <w:color w:val="auto"/>
                      <w:kern w:val="0"/>
                      <w:szCs w:val="21"/>
                    </w:rPr>
                  </w:pPr>
                  <w:r>
                    <w:rPr>
                      <w:bCs/>
                      <w:color w:val="auto"/>
                      <w:kern w:val="0"/>
                      <w:szCs w:val="21"/>
                    </w:rPr>
                    <w:t>标准值</w:t>
                  </w:r>
                </w:p>
              </w:tc>
              <w:tc>
                <w:tcPr>
                  <w:tcW w:w="4278" w:type="pct"/>
                  <w:gridSpan w:val="9"/>
                  <w:tcMar>
                    <w:left w:w="11" w:type="dxa"/>
                    <w:right w:w="11" w:type="dxa"/>
                  </w:tcMar>
                  <w:vAlign w:val="center"/>
                </w:tcPr>
                <w:p>
                  <w:pPr>
                    <w:jc w:val="center"/>
                    <w:rPr>
                      <w:bCs/>
                      <w:color w:val="auto"/>
                      <w:szCs w:val="21"/>
                    </w:rPr>
                  </w:pPr>
                  <w:r>
                    <w:rPr>
                      <w:bCs/>
                      <w:color w:val="auto"/>
                      <w:szCs w:val="21"/>
                    </w:rPr>
                    <w:t>昼间≤60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1" w:type="pct"/>
                  <w:tcMar>
                    <w:left w:w="11" w:type="dxa"/>
                    <w:right w:w="11" w:type="dxa"/>
                  </w:tcMar>
                  <w:vAlign w:val="center"/>
                </w:tcPr>
                <w:p>
                  <w:pPr>
                    <w:jc w:val="center"/>
                    <w:rPr>
                      <w:bCs/>
                      <w:color w:val="auto"/>
                      <w:kern w:val="0"/>
                      <w:szCs w:val="21"/>
                    </w:rPr>
                  </w:pPr>
                  <w:r>
                    <w:rPr>
                      <w:bCs/>
                      <w:color w:val="auto"/>
                      <w:kern w:val="0"/>
                      <w:szCs w:val="21"/>
                    </w:rPr>
                    <w:t>评价结果</w:t>
                  </w:r>
                </w:p>
              </w:tc>
              <w:tc>
                <w:tcPr>
                  <w:tcW w:w="4278" w:type="pct"/>
                  <w:gridSpan w:val="9"/>
                  <w:tcMar>
                    <w:left w:w="11" w:type="dxa"/>
                    <w:right w:w="11" w:type="dxa"/>
                  </w:tcMar>
                  <w:vAlign w:val="center"/>
                </w:tcPr>
                <w:p>
                  <w:pPr>
                    <w:jc w:val="center"/>
                    <w:rPr>
                      <w:bCs/>
                      <w:color w:val="auto"/>
                      <w:szCs w:val="21"/>
                    </w:rPr>
                  </w:pPr>
                  <w:r>
                    <w:rPr>
                      <w:bCs/>
                      <w:color w:val="auto"/>
                      <w:szCs w:val="21"/>
                    </w:rPr>
                    <w:t>达标</w:t>
                  </w:r>
                </w:p>
              </w:tc>
            </w:tr>
          </w:tbl>
          <w:p>
            <w:pPr>
              <w:spacing w:line="360" w:lineRule="auto"/>
              <w:jc w:val="center"/>
              <w:rPr>
                <w:bCs/>
                <w:color w:val="auto"/>
                <w:sz w:val="24"/>
              </w:rPr>
            </w:pPr>
            <w:r>
              <w:rPr>
                <w:b/>
                <w:bCs/>
                <w:color w:val="auto"/>
                <w:szCs w:val="21"/>
              </w:rPr>
              <w:t>表4-1</w:t>
            </w:r>
            <w:r>
              <w:rPr>
                <w:rFonts w:hint="eastAsia"/>
                <w:b/>
                <w:bCs/>
                <w:color w:val="auto"/>
                <w:szCs w:val="21"/>
                <w:lang w:val="en-US" w:eastAsia="zh-CN"/>
              </w:rPr>
              <w:t xml:space="preserve">2  </w:t>
            </w:r>
            <w:r>
              <w:rPr>
                <w:b/>
                <w:bCs/>
                <w:color w:val="auto"/>
                <w:szCs w:val="21"/>
              </w:rPr>
              <w:t>声环境保护目标噪声预测结果与达标分析表  单位：dB（A）</w:t>
            </w:r>
          </w:p>
          <w:tbl>
            <w:tblPr>
              <w:tblStyle w:val="42"/>
              <w:tblW w:w="88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1"/>
              <w:gridCol w:w="1268"/>
              <w:gridCol w:w="592"/>
              <w:gridCol w:w="593"/>
              <w:gridCol w:w="592"/>
              <w:gridCol w:w="593"/>
              <w:gridCol w:w="592"/>
              <w:gridCol w:w="593"/>
              <w:gridCol w:w="592"/>
              <w:gridCol w:w="593"/>
              <w:gridCol w:w="592"/>
              <w:gridCol w:w="593"/>
              <w:gridCol w:w="592"/>
              <w:gridCol w:w="5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3" w:hRule="atLeast"/>
                <w:jc w:val="center"/>
              </w:trPr>
              <w:tc>
                <w:tcPr>
                  <w:tcW w:w="441" w:type="dxa"/>
                  <w:vMerge w:val="restart"/>
                  <w:vAlign w:val="center"/>
                </w:tcPr>
                <w:p>
                  <w:pPr>
                    <w:adjustRightInd w:val="0"/>
                    <w:snapToGrid w:val="0"/>
                    <w:jc w:val="center"/>
                    <w:rPr>
                      <w:b/>
                      <w:color w:val="auto"/>
                      <w:kern w:val="0"/>
                      <w:szCs w:val="21"/>
                    </w:rPr>
                  </w:pPr>
                  <w:r>
                    <w:rPr>
                      <w:b/>
                      <w:color w:val="auto"/>
                      <w:kern w:val="0"/>
                      <w:szCs w:val="21"/>
                    </w:rPr>
                    <w:t>序号</w:t>
                  </w:r>
                </w:p>
              </w:tc>
              <w:tc>
                <w:tcPr>
                  <w:tcW w:w="1268" w:type="dxa"/>
                  <w:vMerge w:val="restart"/>
                  <w:vAlign w:val="center"/>
                </w:tcPr>
                <w:p>
                  <w:pPr>
                    <w:adjustRightInd w:val="0"/>
                    <w:snapToGrid w:val="0"/>
                    <w:jc w:val="center"/>
                    <w:rPr>
                      <w:b/>
                      <w:color w:val="auto"/>
                      <w:kern w:val="0"/>
                      <w:szCs w:val="21"/>
                    </w:rPr>
                  </w:pPr>
                  <w:r>
                    <w:rPr>
                      <w:b/>
                      <w:color w:val="auto"/>
                      <w:kern w:val="0"/>
                      <w:szCs w:val="21"/>
                    </w:rPr>
                    <w:t>声环境保护目标名称</w:t>
                  </w:r>
                </w:p>
              </w:tc>
              <w:tc>
                <w:tcPr>
                  <w:tcW w:w="1185" w:type="dxa"/>
                  <w:gridSpan w:val="2"/>
                  <w:vAlign w:val="center"/>
                </w:tcPr>
                <w:p>
                  <w:pPr>
                    <w:adjustRightInd w:val="0"/>
                    <w:snapToGrid w:val="0"/>
                    <w:jc w:val="center"/>
                    <w:rPr>
                      <w:b/>
                      <w:color w:val="auto"/>
                      <w:kern w:val="0"/>
                      <w:szCs w:val="21"/>
                    </w:rPr>
                  </w:pPr>
                  <w:r>
                    <w:rPr>
                      <w:b/>
                      <w:color w:val="auto"/>
                      <w:kern w:val="0"/>
                      <w:szCs w:val="21"/>
                    </w:rPr>
                    <w:t>噪声背景值/dB（A）</w:t>
                  </w:r>
                </w:p>
              </w:tc>
              <w:tc>
                <w:tcPr>
                  <w:tcW w:w="1185" w:type="dxa"/>
                  <w:gridSpan w:val="2"/>
                  <w:vAlign w:val="center"/>
                </w:tcPr>
                <w:p>
                  <w:pPr>
                    <w:adjustRightInd w:val="0"/>
                    <w:snapToGrid w:val="0"/>
                    <w:jc w:val="center"/>
                    <w:rPr>
                      <w:b/>
                      <w:color w:val="auto"/>
                      <w:kern w:val="0"/>
                      <w:szCs w:val="21"/>
                    </w:rPr>
                  </w:pPr>
                  <w:r>
                    <w:rPr>
                      <w:b/>
                      <w:color w:val="auto"/>
                      <w:kern w:val="0"/>
                      <w:szCs w:val="21"/>
                    </w:rPr>
                    <w:t>噪声标准/dB（A）</w:t>
                  </w:r>
                </w:p>
              </w:tc>
              <w:tc>
                <w:tcPr>
                  <w:tcW w:w="1185" w:type="dxa"/>
                  <w:gridSpan w:val="2"/>
                  <w:vAlign w:val="center"/>
                </w:tcPr>
                <w:p>
                  <w:pPr>
                    <w:adjustRightInd w:val="0"/>
                    <w:snapToGrid w:val="0"/>
                    <w:jc w:val="center"/>
                    <w:rPr>
                      <w:b/>
                      <w:color w:val="auto"/>
                      <w:kern w:val="0"/>
                      <w:szCs w:val="21"/>
                    </w:rPr>
                  </w:pPr>
                  <w:r>
                    <w:rPr>
                      <w:b/>
                      <w:color w:val="auto"/>
                      <w:kern w:val="0"/>
                      <w:szCs w:val="21"/>
                    </w:rPr>
                    <w:t>噪声贡献值/dB（A）</w:t>
                  </w:r>
                </w:p>
              </w:tc>
              <w:tc>
                <w:tcPr>
                  <w:tcW w:w="1185" w:type="dxa"/>
                  <w:gridSpan w:val="2"/>
                  <w:vAlign w:val="center"/>
                </w:tcPr>
                <w:p>
                  <w:pPr>
                    <w:adjustRightInd w:val="0"/>
                    <w:snapToGrid w:val="0"/>
                    <w:jc w:val="center"/>
                    <w:rPr>
                      <w:b/>
                      <w:color w:val="auto"/>
                      <w:kern w:val="0"/>
                      <w:szCs w:val="21"/>
                    </w:rPr>
                  </w:pPr>
                  <w:r>
                    <w:rPr>
                      <w:b/>
                      <w:color w:val="auto"/>
                      <w:kern w:val="0"/>
                      <w:szCs w:val="21"/>
                    </w:rPr>
                    <w:t>噪声预测值/dB（A）</w:t>
                  </w:r>
                </w:p>
              </w:tc>
              <w:tc>
                <w:tcPr>
                  <w:tcW w:w="1185" w:type="dxa"/>
                  <w:gridSpan w:val="2"/>
                  <w:vAlign w:val="center"/>
                </w:tcPr>
                <w:p>
                  <w:pPr>
                    <w:adjustRightInd w:val="0"/>
                    <w:snapToGrid w:val="0"/>
                    <w:jc w:val="center"/>
                    <w:rPr>
                      <w:b/>
                      <w:color w:val="auto"/>
                      <w:kern w:val="0"/>
                      <w:szCs w:val="21"/>
                    </w:rPr>
                  </w:pPr>
                  <w:r>
                    <w:rPr>
                      <w:b/>
                      <w:color w:val="auto"/>
                      <w:kern w:val="0"/>
                      <w:szCs w:val="21"/>
                    </w:rPr>
                    <w:t>较现状增量/dB（A）</w:t>
                  </w:r>
                </w:p>
              </w:tc>
              <w:tc>
                <w:tcPr>
                  <w:tcW w:w="1185" w:type="dxa"/>
                  <w:gridSpan w:val="2"/>
                  <w:vAlign w:val="center"/>
                </w:tcPr>
                <w:p>
                  <w:pPr>
                    <w:adjustRightInd w:val="0"/>
                    <w:snapToGrid w:val="0"/>
                    <w:jc w:val="center"/>
                    <w:rPr>
                      <w:b/>
                      <w:color w:val="auto"/>
                      <w:kern w:val="0"/>
                      <w:szCs w:val="21"/>
                    </w:rPr>
                  </w:pPr>
                  <w:r>
                    <w:rPr>
                      <w:b/>
                      <w:color w:val="auto"/>
                      <w:kern w:val="0"/>
                      <w:szCs w:val="21"/>
                    </w:rPr>
                    <w:t>超标和达标情况/dB（A）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441" w:type="dxa"/>
                  <w:vMerge w:val="continue"/>
                  <w:vAlign w:val="center"/>
                </w:tcPr>
                <w:p>
                  <w:pPr>
                    <w:adjustRightInd w:val="0"/>
                    <w:snapToGrid w:val="0"/>
                    <w:jc w:val="center"/>
                    <w:rPr>
                      <w:b/>
                      <w:color w:val="auto"/>
                      <w:kern w:val="0"/>
                      <w:szCs w:val="21"/>
                    </w:rPr>
                  </w:pPr>
                </w:p>
              </w:tc>
              <w:tc>
                <w:tcPr>
                  <w:tcW w:w="1268" w:type="dxa"/>
                  <w:vMerge w:val="continue"/>
                  <w:vAlign w:val="center"/>
                </w:tcPr>
                <w:p>
                  <w:pPr>
                    <w:adjustRightInd w:val="0"/>
                    <w:snapToGrid w:val="0"/>
                    <w:jc w:val="center"/>
                    <w:rPr>
                      <w:b/>
                      <w:color w:val="auto"/>
                      <w:kern w:val="0"/>
                      <w:szCs w:val="21"/>
                    </w:rPr>
                  </w:pPr>
                </w:p>
              </w:tc>
              <w:tc>
                <w:tcPr>
                  <w:tcW w:w="592" w:type="dxa"/>
                  <w:vAlign w:val="center"/>
                </w:tcPr>
                <w:p>
                  <w:pPr>
                    <w:adjustRightInd w:val="0"/>
                    <w:snapToGrid w:val="0"/>
                    <w:jc w:val="center"/>
                    <w:rPr>
                      <w:b/>
                      <w:color w:val="auto"/>
                      <w:kern w:val="0"/>
                      <w:szCs w:val="21"/>
                    </w:rPr>
                  </w:pPr>
                  <w:r>
                    <w:rPr>
                      <w:b/>
                      <w:color w:val="auto"/>
                      <w:kern w:val="0"/>
                      <w:szCs w:val="21"/>
                    </w:rPr>
                    <w:t>昼间</w:t>
                  </w:r>
                </w:p>
              </w:tc>
              <w:tc>
                <w:tcPr>
                  <w:tcW w:w="593" w:type="dxa"/>
                  <w:vAlign w:val="center"/>
                </w:tcPr>
                <w:p>
                  <w:pPr>
                    <w:adjustRightInd w:val="0"/>
                    <w:snapToGrid w:val="0"/>
                    <w:jc w:val="center"/>
                    <w:rPr>
                      <w:b/>
                      <w:color w:val="auto"/>
                      <w:kern w:val="0"/>
                      <w:szCs w:val="21"/>
                    </w:rPr>
                  </w:pPr>
                  <w:r>
                    <w:rPr>
                      <w:b/>
                      <w:color w:val="auto"/>
                      <w:kern w:val="0"/>
                      <w:szCs w:val="21"/>
                    </w:rPr>
                    <w:t>夜间</w:t>
                  </w:r>
                </w:p>
              </w:tc>
              <w:tc>
                <w:tcPr>
                  <w:tcW w:w="592" w:type="dxa"/>
                  <w:vAlign w:val="center"/>
                </w:tcPr>
                <w:p>
                  <w:pPr>
                    <w:adjustRightInd w:val="0"/>
                    <w:snapToGrid w:val="0"/>
                    <w:jc w:val="center"/>
                    <w:rPr>
                      <w:b/>
                      <w:color w:val="auto"/>
                      <w:kern w:val="0"/>
                      <w:szCs w:val="21"/>
                    </w:rPr>
                  </w:pPr>
                  <w:r>
                    <w:rPr>
                      <w:b/>
                      <w:color w:val="auto"/>
                      <w:kern w:val="0"/>
                      <w:szCs w:val="21"/>
                    </w:rPr>
                    <w:t>昼间</w:t>
                  </w:r>
                </w:p>
              </w:tc>
              <w:tc>
                <w:tcPr>
                  <w:tcW w:w="593" w:type="dxa"/>
                  <w:vAlign w:val="center"/>
                </w:tcPr>
                <w:p>
                  <w:pPr>
                    <w:adjustRightInd w:val="0"/>
                    <w:snapToGrid w:val="0"/>
                    <w:jc w:val="center"/>
                    <w:rPr>
                      <w:b/>
                      <w:color w:val="auto"/>
                      <w:kern w:val="0"/>
                      <w:szCs w:val="21"/>
                    </w:rPr>
                  </w:pPr>
                  <w:r>
                    <w:rPr>
                      <w:b/>
                      <w:color w:val="auto"/>
                      <w:kern w:val="0"/>
                      <w:szCs w:val="21"/>
                    </w:rPr>
                    <w:t>夜间</w:t>
                  </w:r>
                </w:p>
              </w:tc>
              <w:tc>
                <w:tcPr>
                  <w:tcW w:w="592" w:type="dxa"/>
                  <w:vAlign w:val="center"/>
                </w:tcPr>
                <w:p>
                  <w:pPr>
                    <w:adjustRightInd w:val="0"/>
                    <w:snapToGrid w:val="0"/>
                    <w:jc w:val="center"/>
                    <w:rPr>
                      <w:b/>
                      <w:color w:val="auto"/>
                      <w:kern w:val="0"/>
                      <w:szCs w:val="21"/>
                    </w:rPr>
                  </w:pPr>
                  <w:r>
                    <w:rPr>
                      <w:b/>
                      <w:color w:val="auto"/>
                      <w:kern w:val="0"/>
                      <w:szCs w:val="21"/>
                    </w:rPr>
                    <w:t>昼间</w:t>
                  </w:r>
                </w:p>
              </w:tc>
              <w:tc>
                <w:tcPr>
                  <w:tcW w:w="593" w:type="dxa"/>
                  <w:vAlign w:val="center"/>
                </w:tcPr>
                <w:p>
                  <w:pPr>
                    <w:adjustRightInd w:val="0"/>
                    <w:snapToGrid w:val="0"/>
                    <w:jc w:val="center"/>
                    <w:rPr>
                      <w:b/>
                      <w:color w:val="auto"/>
                      <w:kern w:val="0"/>
                      <w:szCs w:val="21"/>
                    </w:rPr>
                  </w:pPr>
                  <w:r>
                    <w:rPr>
                      <w:b/>
                      <w:color w:val="auto"/>
                      <w:kern w:val="0"/>
                      <w:szCs w:val="21"/>
                    </w:rPr>
                    <w:t>夜间</w:t>
                  </w:r>
                </w:p>
              </w:tc>
              <w:tc>
                <w:tcPr>
                  <w:tcW w:w="592" w:type="dxa"/>
                  <w:vAlign w:val="center"/>
                </w:tcPr>
                <w:p>
                  <w:pPr>
                    <w:adjustRightInd w:val="0"/>
                    <w:snapToGrid w:val="0"/>
                    <w:jc w:val="center"/>
                    <w:rPr>
                      <w:b/>
                      <w:color w:val="auto"/>
                      <w:kern w:val="0"/>
                      <w:szCs w:val="21"/>
                    </w:rPr>
                  </w:pPr>
                  <w:r>
                    <w:rPr>
                      <w:b/>
                      <w:color w:val="auto"/>
                      <w:kern w:val="0"/>
                      <w:szCs w:val="21"/>
                    </w:rPr>
                    <w:t>昼间</w:t>
                  </w:r>
                </w:p>
              </w:tc>
              <w:tc>
                <w:tcPr>
                  <w:tcW w:w="593" w:type="dxa"/>
                  <w:vAlign w:val="center"/>
                </w:tcPr>
                <w:p>
                  <w:pPr>
                    <w:adjustRightInd w:val="0"/>
                    <w:snapToGrid w:val="0"/>
                    <w:jc w:val="center"/>
                    <w:rPr>
                      <w:b/>
                      <w:color w:val="auto"/>
                      <w:kern w:val="0"/>
                      <w:szCs w:val="21"/>
                    </w:rPr>
                  </w:pPr>
                  <w:r>
                    <w:rPr>
                      <w:b/>
                      <w:color w:val="auto"/>
                      <w:kern w:val="0"/>
                      <w:szCs w:val="21"/>
                    </w:rPr>
                    <w:t>夜间</w:t>
                  </w:r>
                </w:p>
              </w:tc>
              <w:tc>
                <w:tcPr>
                  <w:tcW w:w="592" w:type="dxa"/>
                  <w:vAlign w:val="center"/>
                </w:tcPr>
                <w:p>
                  <w:pPr>
                    <w:adjustRightInd w:val="0"/>
                    <w:snapToGrid w:val="0"/>
                    <w:jc w:val="center"/>
                    <w:rPr>
                      <w:b/>
                      <w:color w:val="auto"/>
                      <w:kern w:val="0"/>
                      <w:szCs w:val="21"/>
                    </w:rPr>
                  </w:pPr>
                  <w:r>
                    <w:rPr>
                      <w:b/>
                      <w:color w:val="auto"/>
                      <w:kern w:val="0"/>
                      <w:szCs w:val="21"/>
                    </w:rPr>
                    <w:t>昼间</w:t>
                  </w:r>
                </w:p>
              </w:tc>
              <w:tc>
                <w:tcPr>
                  <w:tcW w:w="593" w:type="dxa"/>
                  <w:vAlign w:val="center"/>
                </w:tcPr>
                <w:p>
                  <w:pPr>
                    <w:adjustRightInd w:val="0"/>
                    <w:snapToGrid w:val="0"/>
                    <w:jc w:val="center"/>
                    <w:rPr>
                      <w:b/>
                      <w:color w:val="auto"/>
                      <w:kern w:val="0"/>
                      <w:szCs w:val="21"/>
                    </w:rPr>
                  </w:pPr>
                  <w:r>
                    <w:rPr>
                      <w:b/>
                      <w:color w:val="auto"/>
                      <w:kern w:val="0"/>
                      <w:szCs w:val="21"/>
                    </w:rPr>
                    <w:t>夜间</w:t>
                  </w:r>
                </w:p>
              </w:tc>
              <w:tc>
                <w:tcPr>
                  <w:tcW w:w="592" w:type="dxa"/>
                  <w:vAlign w:val="center"/>
                </w:tcPr>
                <w:p>
                  <w:pPr>
                    <w:adjustRightInd w:val="0"/>
                    <w:snapToGrid w:val="0"/>
                    <w:jc w:val="center"/>
                    <w:rPr>
                      <w:b/>
                      <w:color w:val="auto"/>
                      <w:kern w:val="0"/>
                      <w:szCs w:val="21"/>
                    </w:rPr>
                  </w:pPr>
                  <w:r>
                    <w:rPr>
                      <w:b/>
                      <w:color w:val="auto"/>
                      <w:kern w:val="0"/>
                      <w:szCs w:val="21"/>
                    </w:rPr>
                    <w:t>昼间</w:t>
                  </w:r>
                </w:p>
              </w:tc>
              <w:tc>
                <w:tcPr>
                  <w:tcW w:w="593" w:type="dxa"/>
                  <w:vAlign w:val="center"/>
                </w:tcPr>
                <w:p>
                  <w:pPr>
                    <w:adjustRightInd w:val="0"/>
                    <w:snapToGrid w:val="0"/>
                    <w:jc w:val="center"/>
                    <w:rPr>
                      <w:b/>
                      <w:color w:val="auto"/>
                      <w:kern w:val="0"/>
                      <w:szCs w:val="21"/>
                    </w:rPr>
                  </w:pPr>
                  <w:r>
                    <w:rPr>
                      <w:b/>
                      <w:color w:val="auto"/>
                      <w:kern w:val="0"/>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3" w:hRule="atLeast"/>
                <w:jc w:val="center"/>
              </w:trPr>
              <w:tc>
                <w:tcPr>
                  <w:tcW w:w="441" w:type="dxa"/>
                  <w:vAlign w:val="center"/>
                </w:tcPr>
                <w:p>
                  <w:pPr>
                    <w:adjustRightInd w:val="0"/>
                    <w:snapToGrid w:val="0"/>
                    <w:jc w:val="center"/>
                    <w:rPr>
                      <w:bCs/>
                      <w:color w:val="auto"/>
                      <w:kern w:val="0"/>
                      <w:szCs w:val="21"/>
                    </w:rPr>
                  </w:pPr>
                  <w:r>
                    <w:rPr>
                      <w:bCs/>
                      <w:color w:val="auto"/>
                      <w:kern w:val="0"/>
                      <w:szCs w:val="21"/>
                    </w:rPr>
                    <w:t>1</w:t>
                  </w:r>
                </w:p>
              </w:tc>
              <w:tc>
                <w:tcPr>
                  <w:tcW w:w="1268" w:type="dxa"/>
                  <w:vAlign w:val="center"/>
                </w:tcPr>
                <w:p>
                  <w:pPr>
                    <w:adjustRightInd w:val="0"/>
                    <w:snapToGrid w:val="0"/>
                    <w:jc w:val="center"/>
                    <w:rPr>
                      <w:bCs/>
                      <w:color w:val="auto"/>
                      <w:kern w:val="0"/>
                      <w:szCs w:val="21"/>
                    </w:rPr>
                  </w:pPr>
                  <w:r>
                    <w:rPr>
                      <w:bCs/>
                      <w:color w:val="auto"/>
                      <w:kern w:val="0"/>
                      <w:szCs w:val="21"/>
                    </w:rPr>
                    <w:t>项目东南侧25m外1.5m高居民区</w:t>
                  </w:r>
                </w:p>
              </w:tc>
              <w:tc>
                <w:tcPr>
                  <w:tcW w:w="592" w:type="dxa"/>
                  <w:vAlign w:val="center"/>
                </w:tcPr>
                <w:p>
                  <w:pPr>
                    <w:adjustRightInd w:val="0"/>
                    <w:snapToGrid w:val="0"/>
                    <w:jc w:val="center"/>
                    <w:rPr>
                      <w:bCs/>
                      <w:color w:val="auto"/>
                      <w:kern w:val="0"/>
                      <w:szCs w:val="21"/>
                    </w:rPr>
                  </w:pPr>
                  <w:r>
                    <w:rPr>
                      <w:bCs/>
                      <w:color w:val="auto"/>
                      <w:kern w:val="0"/>
                      <w:szCs w:val="21"/>
                    </w:rPr>
                    <w:t>53</w:t>
                  </w:r>
                </w:p>
              </w:tc>
              <w:tc>
                <w:tcPr>
                  <w:tcW w:w="593" w:type="dxa"/>
                  <w:vAlign w:val="center"/>
                </w:tcPr>
                <w:p>
                  <w:pPr>
                    <w:adjustRightInd w:val="0"/>
                    <w:snapToGrid w:val="0"/>
                    <w:jc w:val="center"/>
                    <w:rPr>
                      <w:bCs/>
                      <w:color w:val="auto"/>
                      <w:kern w:val="0"/>
                      <w:szCs w:val="21"/>
                    </w:rPr>
                  </w:pPr>
                  <w:r>
                    <w:rPr>
                      <w:bCs/>
                      <w:color w:val="auto"/>
                      <w:kern w:val="0"/>
                      <w:szCs w:val="21"/>
                    </w:rPr>
                    <w:t>/</w:t>
                  </w:r>
                </w:p>
              </w:tc>
              <w:tc>
                <w:tcPr>
                  <w:tcW w:w="592" w:type="dxa"/>
                  <w:vAlign w:val="center"/>
                </w:tcPr>
                <w:p>
                  <w:pPr>
                    <w:adjustRightInd w:val="0"/>
                    <w:snapToGrid w:val="0"/>
                    <w:jc w:val="center"/>
                    <w:rPr>
                      <w:bCs/>
                      <w:color w:val="auto"/>
                      <w:kern w:val="0"/>
                      <w:szCs w:val="21"/>
                    </w:rPr>
                  </w:pPr>
                  <w:r>
                    <w:rPr>
                      <w:bCs/>
                      <w:color w:val="auto"/>
                      <w:kern w:val="0"/>
                      <w:szCs w:val="21"/>
                    </w:rPr>
                    <w:t>60</w:t>
                  </w:r>
                </w:p>
              </w:tc>
              <w:tc>
                <w:tcPr>
                  <w:tcW w:w="593" w:type="dxa"/>
                  <w:vAlign w:val="center"/>
                </w:tcPr>
                <w:p>
                  <w:pPr>
                    <w:adjustRightInd w:val="0"/>
                    <w:snapToGrid w:val="0"/>
                    <w:jc w:val="center"/>
                    <w:rPr>
                      <w:bCs/>
                      <w:color w:val="auto"/>
                      <w:kern w:val="0"/>
                      <w:szCs w:val="21"/>
                    </w:rPr>
                  </w:pPr>
                  <w:r>
                    <w:rPr>
                      <w:bCs/>
                      <w:color w:val="auto"/>
                      <w:kern w:val="0"/>
                      <w:szCs w:val="21"/>
                    </w:rPr>
                    <w:t>/</w:t>
                  </w:r>
                </w:p>
              </w:tc>
              <w:tc>
                <w:tcPr>
                  <w:tcW w:w="592" w:type="dxa"/>
                  <w:vAlign w:val="center"/>
                </w:tcPr>
                <w:p>
                  <w:pPr>
                    <w:adjustRightInd w:val="0"/>
                    <w:snapToGrid w:val="0"/>
                    <w:jc w:val="center"/>
                    <w:rPr>
                      <w:bCs/>
                      <w:color w:val="auto"/>
                      <w:kern w:val="0"/>
                      <w:szCs w:val="21"/>
                    </w:rPr>
                  </w:pPr>
                  <w:r>
                    <w:rPr>
                      <w:bCs/>
                      <w:color w:val="auto"/>
                      <w:kern w:val="0"/>
                      <w:szCs w:val="21"/>
                    </w:rPr>
                    <w:t>53.2</w:t>
                  </w:r>
                </w:p>
              </w:tc>
              <w:tc>
                <w:tcPr>
                  <w:tcW w:w="593" w:type="dxa"/>
                  <w:vAlign w:val="center"/>
                </w:tcPr>
                <w:p>
                  <w:pPr>
                    <w:adjustRightInd w:val="0"/>
                    <w:snapToGrid w:val="0"/>
                    <w:jc w:val="center"/>
                    <w:rPr>
                      <w:bCs/>
                      <w:color w:val="auto"/>
                      <w:kern w:val="0"/>
                      <w:szCs w:val="21"/>
                    </w:rPr>
                  </w:pPr>
                  <w:r>
                    <w:rPr>
                      <w:bCs/>
                      <w:color w:val="auto"/>
                      <w:kern w:val="0"/>
                      <w:szCs w:val="21"/>
                    </w:rPr>
                    <w:t>/</w:t>
                  </w:r>
                </w:p>
              </w:tc>
              <w:tc>
                <w:tcPr>
                  <w:tcW w:w="592" w:type="dxa"/>
                  <w:vAlign w:val="center"/>
                </w:tcPr>
                <w:p>
                  <w:pPr>
                    <w:adjustRightInd w:val="0"/>
                    <w:snapToGrid w:val="0"/>
                    <w:jc w:val="center"/>
                    <w:rPr>
                      <w:bCs/>
                      <w:color w:val="auto"/>
                      <w:kern w:val="0"/>
                      <w:szCs w:val="21"/>
                    </w:rPr>
                  </w:pPr>
                  <w:r>
                    <w:rPr>
                      <w:bCs/>
                      <w:color w:val="auto"/>
                      <w:kern w:val="0"/>
                      <w:szCs w:val="21"/>
                    </w:rPr>
                    <w:t>56.0</w:t>
                  </w:r>
                </w:p>
              </w:tc>
              <w:tc>
                <w:tcPr>
                  <w:tcW w:w="593" w:type="dxa"/>
                  <w:vAlign w:val="center"/>
                </w:tcPr>
                <w:p>
                  <w:pPr>
                    <w:adjustRightInd w:val="0"/>
                    <w:snapToGrid w:val="0"/>
                    <w:jc w:val="center"/>
                    <w:rPr>
                      <w:bCs/>
                      <w:color w:val="auto"/>
                      <w:kern w:val="0"/>
                      <w:szCs w:val="21"/>
                    </w:rPr>
                  </w:pPr>
                  <w:r>
                    <w:rPr>
                      <w:bCs/>
                      <w:color w:val="auto"/>
                      <w:kern w:val="0"/>
                      <w:szCs w:val="21"/>
                    </w:rPr>
                    <w:t>/</w:t>
                  </w:r>
                </w:p>
              </w:tc>
              <w:tc>
                <w:tcPr>
                  <w:tcW w:w="592" w:type="dxa"/>
                  <w:vAlign w:val="center"/>
                </w:tcPr>
                <w:p>
                  <w:pPr>
                    <w:adjustRightInd w:val="0"/>
                    <w:snapToGrid w:val="0"/>
                    <w:jc w:val="center"/>
                    <w:rPr>
                      <w:bCs/>
                      <w:color w:val="auto"/>
                      <w:kern w:val="0"/>
                      <w:szCs w:val="21"/>
                    </w:rPr>
                  </w:pPr>
                  <w:r>
                    <w:rPr>
                      <w:bCs/>
                      <w:color w:val="auto"/>
                      <w:kern w:val="0"/>
                      <w:szCs w:val="21"/>
                    </w:rPr>
                    <w:t>3.0</w:t>
                  </w:r>
                </w:p>
              </w:tc>
              <w:tc>
                <w:tcPr>
                  <w:tcW w:w="593" w:type="dxa"/>
                  <w:vAlign w:val="center"/>
                </w:tcPr>
                <w:p>
                  <w:pPr>
                    <w:adjustRightInd w:val="0"/>
                    <w:snapToGrid w:val="0"/>
                    <w:jc w:val="center"/>
                    <w:rPr>
                      <w:bCs/>
                      <w:color w:val="auto"/>
                      <w:kern w:val="0"/>
                      <w:szCs w:val="21"/>
                    </w:rPr>
                  </w:pPr>
                  <w:r>
                    <w:rPr>
                      <w:bCs/>
                      <w:color w:val="auto"/>
                      <w:kern w:val="0"/>
                      <w:szCs w:val="21"/>
                    </w:rPr>
                    <w:t>/</w:t>
                  </w:r>
                </w:p>
              </w:tc>
              <w:tc>
                <w:tcPr>
                  <w:tcW w:w="592" w:type="dxa"/>
                  <w:vAlign w:val="center"/>
                </w:tcPr>
                <w:p>
                  <w:pPr>
                    <w:adjustRightInd w:val="0"/>
                    <w:snapToGrid w:val="0"/>
                    <w:jc w:val="center"/>
                    <w:rPr>
                      <w:bCs/>
                      <w:color w:val="auto"/>
                      <w:kern w:val="0"/>
                      <w:szCs w:val="21"/>
                    </w:rPr>
                  </w:pPr>
                  <w:r>
                    <w:rPr>
                      <w:bCs/>
                      <w:color w:val="auto"/>
                      <w:kern w:val="0"/>
                      <w:szCs w:val="21"/>
                    </w:rPr>
                    <w:t>达标</w:t>
                  </w:r>
                </w:p>
              </w:tc>
              <w:tc>
                <w:tcPr>
                  <w:tcW w:w="593" w:type="dxa"/>
                  <w:vAlign w:val="center"/>
                </w:tcPr>
                <w:p>
                  <w:pPr>
                    <w:adjustRightInd w:val="0"/>
                    <w:snapToGrid w:val="0"/>
                    <w:jc w:val="center"/>
                    <w:rPr>
                      <w:bCs/>
                      <w:color w:val="auto"/>
                      <w:kern w:val="0"/>
                      <w:szCs w:val="21"/>
                    </w:rPr>
                  </w:pPr>
                  <w:r>
                    <w:rPr>
                      <w:bCs/>
                      <w:color w:val="auto"/>
                      <w:kern w:val="0"/>
                      <w:szCs w:val="21"/>
                    </w:rPr>
                    <w:t>/</w:t>
                  </w:r>
                </w:p>
              </w:tc>
            </w:tr>
          </w:tbl>
          <w:p>
            <w:pPr>
              <w:spacing w:line="360" w:lineRule="auto"/>
              <w:ind w:firstLine="480" w:firstLineChars="200"/>
              <w:rPr>
                <w:bCs/>
                <w:color w:val="auto"/>
                <w:sz w:val="24"/>
              </w:rPr>
            </w:pPr>
            <w:r>
              <w:rPr>
                <w:bCs/>
                <w:color w:val="auto"/>
                <w:sz w:val="24"/>
              </w:rPr>
              <w:t>项目夜间不生产，由上表可以看出，项目生产设备在经基础减震等措施后，再经距离衰减、建筑物阻隔等措施处理后，厂界噪声均能满足《工业企业厂界环境噪声排放标准》（GB12348-2008）中的2类标准要求，声环境保护目标处能满足《声环境质量标准》（GB3096-2008）中2类标准要求。</w:t>
            </w:r>
          </w:p>
          <w:p>
            <w:pPr>
              <w:spacing w:line="360" w:lineRule="auto"/>
              <w:ind w:firstLine="482" w:firstLineChars="200"/>
              <w:rPr>
                <w:b/>
                <w:bCs/>
                <w:color w:val="auto"/>
                <w:sz w:val="24"/>
              </w:rPr>
            </w:pPr>
            <w:r>
              <w:rPr>
                <w:b/>
                <w:bCs/>
                <w:color w:val="auto"/>
                <w:sz w:val="24"/>
              </w:rPr>
              <w:t>噪声影响减缓措施：</w:t>
            </w:r>
          </w:p>
          <w:p>
            <w:pPr>
              <w:spacing w:line="360" w:lineRule="auto"/>
              <w:ind w:firstLine="482" w:firstLineChars="200"/>
              <w:rPr>
                <w:b/>
                <w:color w:val="auto"/>
                <w:sz w:val="24"/>
              </w:rPr>
            </w:pPr>
            <w:r>
              <w:rPr>
                <w:b/>
                <w:color w:val="auto"/>
                <w:sz w:val="24"/>
              </w:rPr>
              <w:t>1）厂区内噪声治理措施</w:t>
            </w:r>
          </w:p>
          <w:p>
            <w:pPr>
              <w:spacing w:line="360" w:lineRule="auto"/>
              <w:ind w:firstLine="480" w:firstLineChars="200"/>
              <w:rPr>
                <w:bCs/>
                <w:color w:val="auto"/>
                <w:sz w:val="24"/>
              </w:rPr>
            </w:pPr>
            <w:r>
              <w:rPr>
                <w:bCs/>
                <w:color w:val="auto"/>
                <w:sz w:val="24"/>
              </w:rPr>
              <w:t>①选用低噪声设备和通过厂房隔声，较高噪声设备安装在有减震垫的减振设施上，同类型设备之间保持一定的间距；</w:t>
            </w:r>
          </w:p>
          <w:p>
            <w:pPr>
              <w:spacing w:line="360" w:lineRule="auto"/>
              <w:ind w:firstLine="480" w:firstLineChars="200"/>
              <w:rPr>
                <w:bCs/>
                <w:color w:val="auto"/>
                <w:sz w:val="24"/>
              </w:rPr>
            </w:pPr>
            <w:r>
              <w:rPr>
                <w:bCs/>
                <w:color w:val="auto"/>
                <w:sz w:val="24"/>
              </w:rPr>
              <w:t>②项目主要噪声源均设置在拌合楼内，对设备尽可能封闭，充分利用建筑进行隔声；对生产区合理布局，将高噪声设备设置在厂区中央；</w:t>
            </w:r>
          </w:p>
          <w:p>
            <w:pPr>
              <w:spacing w:line="360" w:lineRule="auto"/>
              <w:ind w:firstLine="480" w:firstLineChars="200"/>
              <w:rPr>
                <w:bCs/>
                <w:color w:val="auto"/>
                <w:sz w:val="24"/>
              </w:rPr>
            </w:pPr>
            <w:r>
              <w:rPr>
                <w:bCs/>
                <w:color w:val="auto"/>
                <w:sz w:val="24"/>
              </w:rPr>
              <w:t>③产品运输均在白天进行，夜间禁止生产作业和物料运输；</w:t>
            </w:r>
          </w:p>
          <w:p>
            <w:pPr>
              <w:spacing w:line="360" w:lineRule="auto"/>
              <w:ind w:firstLine="480" w:firstLineChars="200"/>
              <w:rPr>
                <w:bCs/>
                <w:color w:val="auto"/>
                <w:sz w:val="24"/>
              </w:rPr>
            </w:pPr>
            <w:r>
              <w:rPr>
                <w:bCs/>
                <w:color w:val="auto"/>
                <w:sz w:val="24"/>
              </w:rPr>
              <w:t>④加强设备的巡检和维护，定期保养，保证设备处于良好的运转状态，杜绝因设备的非正常运转产生的高噪声现象；</w:t>
            </w:r>
          </w:p>
          <w:p>
            <w:pPr>
              <w:spacing w:line="360" w:lineRule="auto"/>
              <w:ind w:firstLine="480" w:firstLineChars="200"/>
              <w:rPr>
                <w:bCs/>
                <w:color w:val="auto"/>
                <w:sz w:val="24"/>
              </w:rPr>
            </w:pPr>
            <w:r>
              <w:rPr>
                <w:bCs/>
                <w:color w:val="auto"/>
                <w:sz w:val="24"/>
              </w:rPr>
              <w:t>⑤通过路面平整，减少路面坡度来降低运输车辆噪声；</w:t>
            </w:r>
          </w:p>
          <w:p>
            <w:pPr>
              <w:spacing w:line="360" w:lineRule="auto"/>
              <w:ind w:firstLine="480" w:firstLineChars="200"/>
              <w:rPr>
                <w:bCs/>
                <w:color w:val="auto"/>
                <w:sz w:val="24"/>
              </w:rPr>
            </w:pPr>
            <w:r>
              <w:rPr>
                <w:bCs/>
                <w:color w:val="auto"/>
                <w:sz w:val="24"/>
              </w:rPr>
              <w:t>⑥采取严格操作规程，合理设置装卸货区域，同时要求进车场区车辆限速，禁止鸣笛以降低装卸货噪声及机动车的交通噪声的影响；</w:t>
            </w:r>
          </w:p>
          <w:p>
            <w:pPr>
              <w:spacing w:line="360" w:lineRule="auto"/>
              <w:ind w:firstLine="480" w:firstLineChars="200"/>
              <w:rPr>
                <w:bCs/>
                <w:color w:val="auto"/>
                <w:sz w:val="24"/>
              </w:rPr>
            </w:pPr>
            <w:r>
              <w:rPr>
                <w:bCs/>
                <w:color w:val="auto"/>
                <w:sz w:val="24"/>
              </w:rPr>
              <w:t>⑦对于流动车辆要求驾驶员加强环保意识，尽可能减少鸣号次数，特别是行驶经过居住点等敏感地区时，必须降速行驶，限制鸣笛；</w:t>
            </w:r>
          </w:p>
          <w:p>
            <w:pPr>
              <w:spacing w:line="360" w:lineRule="auto"/>
              <w:ind w:firstLine="480" w:firstLineChars="200"/>
              <w:rPr>
                <w:bCs/>
                <w:color w:val="auto"/>
                <w:sz w:val="24"/>
              </w:rPr>
            </w:pPr>
            <w:r>
              <w:rPr>
                <w:bCs/>
                <w:color w:val="auto"/>
                <w:sz w:val="24"/>
              </w:rPr>
              <w:t>⑧产品运输在白天进行，晚上不运输，运输车辆不超载、不超速、文明驾驶，控制车速，避免非正常噪声的产生。</w:t>
            </w:r>
          </w:p>
          <w:p>
            <w:pPr>
              <w:spacing w:line="360" w:lineRule="auto"/>
              <w:ind w:firstLine="482" w:firstLineChars="200"/>
              <w:rPr>
                <w:b/>
                <w:color w:val="auto"/>
                <w:sz w:val="24"/>
              </w:rPr>
            </w:pPr>
            <w:r>
              <w:rPr>
                <w:b/>
                <w:color w:val="auto"/>
                <w:sz w:val="24"/>
              </w:rPr>
              <w:t>2）厂区外交通噪声治理措施</w:t>
            </w:r>
          </w:p>
          <w:p>
            <w:pPr>
              <w:spacing w:line="360" w:lineRule="auto"/>
              <w:ind w:firstLine="480" w:firstLineChars="200"/>
              <w:rPr>
                <w:bCs/>
                <w:color w:val="auto"/>
                <w:sz w:val="24"/>
              </w:rPr>
            </w:pPr>
            <w:r>
              <w:rPr>
                <w:bCs/>
                <w:color w:val="auto"/>
                <w:sz w:val="24"/>
              </w:rPr>
              <w:t>本项目主要利用厂区南侧乐青路进行运输，乐青路两侧有少数居民，本次环评针对车辆运输提出以下建议：</w:t>
            </w:r>
          </w:p>
          <w:p>
            <w:pPr>
              <w:spacing w:line="360" w:lineRule="auto"/>
              <w:ind w:firstLine="480" w:firstLineChars="200"/>
              <w:rPr>
                <w:bCs/>
                <w:color w:val="auto"/>
                <w:sz w:val="24"/>
              </w:rPr>
            </w:pPr>
            <w:r>
              <w:rPr>
                <w:bCs/>
                <w:color w:val="auto"/>
                <w:sz w:val="24"/>
              </w:rPr>
              <w:t>①厂区外原辅料运输过程中，禁止鸣笛、控制车辆速度等；同时运输时选用较短流程为宜；选用运输路线时考虑道路的敏感点，选用较少敏感点的运输路线最佳。</w:t>
            </w:r>
          </w:p>
          <w:p>
            <w:pPr>
              <w:spacing w:line="360" w:lineRule="auto"/>
              <w:ind w:firstLine="480" w:firstLineChars="200"/>
              <w:rPr>
                <w:bCs/>
                <w:color w:val="auto"/>
                <w:sz w:val="24"/>
              </w:rPr>
            </w:pPr>
            <w:r>
              <w:rPr>
                <w:bCs/>
                <w:color w:val="auto"/>
                <w:sz w:val="24"/>
              </w:rPr>
              <w:t>②严格控制运输时间，</w:t>
            </w:r>
            <w:r>
              <w:rPr>
                <w:b/>
                <w:color w:val="auto"/>
                <w:sz w:val="24"/>
              </w:rPr>
              <w:t>禁止午休、夜间（22：00-6:00）运输</w:t>
            </w:r>
            <w:r>
              <w:rPr>
                <w:bCs/>
                <w:color w:val="auto"/>
                <w:sz w:val="24"/>
              </w:rPr>
              <w:t>，合理调度车辆进出及行车路线，</w:t>
            </w:r>
            <w:r>
              <w:rPr>
                <w:b/>
                <w:color w:val="auto"/>
                <w:sz w:val="24"/>
              </w:rPr>
              <w:t>严格落实中、高考禁噪规定，</w:t>
            </w:r>
            <w:r>
              <w:rPr>
                <w:bCs/>
                <w:color w:val="auto"/>
                <w:sz w:val="24"/>
              </w:rPr>
              <w:t>车辆经居民区等环境敏感目标区域设置为禁鸣区，减少车辆交通噪声。</w:t>
            </w:r>
          </w:p>
          <w:p>
            <w:pPr>
              <w:spacing w:line="360" w:lineRule="auto"/>
              <w:ind w:firstLine="480" w:firstLineChars="200"/>
              <w:rPr>
                <w:bCs/>
                <w:color w:val="auto"/>
                <w:sz w:val="24"/>
              </w:rPr>
            </w:pPr>
            <w:r>
              <w:rPr>
                <w:bCs/>
                <w:color w:val="auto"/>
                <w:sz w:val="24"/>
              </w:rPr>
              <w:t>③对运输车辆定期进行检修，使运输车辆保持良好的工作状态和正常运转，避免因运行状况不佳而诱发更高噪声，从源头上减少噪声的影响。</w:t>
            </w:r>
          </w:p>
          <w:p>
            <w:pPr>
              <w:spacing w:line="360" w:lineRule="auto"/>
              <w:ind w:firstLine="480" w:firstLineChars="200"/>
              <w:rPr>
                <w:bCs/>
                <w:color w:val="auto"/>
                <w:sz w:val="24"/>
              </w:rPr>
            </w:pPr>
            <w:r>
              <w:rPr>
                <w:bCs/>
                <w:color w:val="auto"/>
                <w:sz w:val="24"/>
              </w:rPr>
              <w:t>④加强与运输沿线居民的沟通，防止因居民纠纷导致生产不正常。</w:t>
            </w:r>
          </w:p>
          <w:p>
            <w:pPr>
              <w:spacing w:line="360" w:lineRule="auto"/>
              <w:ind w:firstLine="482" w:firstLineChars="200"/>
              <w:rPr>
                <w:b/>
                <w:bCs/>
                <w:color w:val="auto"/>
                <w:sz w:val="24"/>
              </w:rPr>
            </w:pPr>
            <w:r>
              <w:rPr>
                <w:b/>
                <w:bCs/>
                <w:color w:val="auto"/>
                <w:sz w:val="24"/>
              </w:rPr>
              <w:t>监测要求：</w:t>
            </w:r>
          </w:p>
          <w:p>
            <w:pPr>
              <w:pStyle w:val="54"/>
              <w:spacing w:line="360" w:lineRule="auto"/>
              <w:ind w:firstLine="440" w:firstLineChars="200"/>
              <w:jc w:val="left"/>
              <w:rPr>
                <w:rFonts w:ascii="Times New Roman" w:hAnsi="Times New Roman"/>
                <w:color w:val="auto"/>
              </w:rPr>
            </w:pPr>
            <w:r>
              <w:rPr>
                <w:rFonts w:ascii="Times New Roman" w:hAnsi="Times New Roman" w:eastAsia="宋体"/>
                <w:bCs/>
                <w:color w:val="auto"/>
                <w:spacing w:val="-10"/>
              </w:rPr>
              <w:t>本项目为</w:t>
            </w:r>
            <w:r>
              <w:rPr>
                <w:rFonts w:ascii="Times New Roman" w:hAnsi="Times New Roman" w:eastAsia="宋体"/>
                <w:color w:val="auto"/>
              </w:rPr>
              <w:t>C3029其他水泥类似制品制造，根据《固定污染源排污许可分类管理名录》（2019版），本项目为登记管理。根据《排污单位自行监测技术指南 总则》（HJ819-2017）5.4.2要求，本项目噪声监测计划如下。</w:t>
            </w:r>
          </w:p>
          <w:p>
            <w:pPr>
              <w:spacing w:line="360" w:lineRule="auto"/>
              <w:jc w:val="center"/>
              <w:rPr>
                <w:b/>
                <w:color w:val="auto"/>
                <w:szCs w:val="21"/>
              </w:rPr>
            </w:pPr>
            <w:r>
              <w:rPr>
                <w:b/>
                <w:color w:val="auto"/>
                <w:szCs w:val="21"/>
              </w:rPr>
              <w:t>表4-1</w:t>
            </w:r>
            <w:r>
              <w:rPr>
                <w:rFonts w:hint="eastAsia"/>
                <w:b/>
                <w:color w:val="auto"/>
                <w:szCs w:val="21"/>
                <w:lang w:val="en-US" w:eastAsia="zh-CN"/>
              </w:rPr>
              <w:t>3</w:t>
            </w:r>
            <w:r>
              <w:rPr>
                <w:b/>
                <w:color w:val="auto"/>
                <w:szCs w:val="21"/>
              </w:rPr>
              <w:t xml:space="preserve">  项目噪声监测计划表</w:t>
            </w:r>
          </w:p>
          <w:tbl>
            <w:tblPr>
              <w:tblStyle w:val="4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3"/>
              <w:gridCol w:w="1127"/>
              <w:gridCol w:w="2390"/>
              <w:gridCol w:w="1857"/>
              <w:gridCol w:w="1102"/>
              <w:gridCol w:w="12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30" w:type="pct"/>
                  <w:noWrap/>
                  <w:vAlign w:val="center"/>
                </w:tcPr>
                <w:p>
                  <w:pPr>
                    <w:jc w:val="center"/>
                    <w:rPr>
                      <w:b/>
                      <w:color w:val="auto"/>
                      <w:szCs w:val="21"/>
                    </w:rPr>
                  </w:pPr>
                  <w:r>
                    <w:rPr>
                      <w:b/>
                      <w:color w:val="auto"/>
                      <w:szCs w:val="21"/>
                    </w:rPr>
                    <w:t>监测时段</w:t>
                  </w:r>
                </w:p>
              </w:tc>
              <w:tc>
                <w:tcPr>
                  <w:tcW w:w="638" w:type="pct"/>
                  <w:noWrap/>
                  <w:vAlign w:val="center"/>
                </w:tcPr>
                <w:p>
                  <w:pPr>
                    <w:jc w:val="center"/>
                    <w:rPr>
                      <w:b/>
                      <w:color w:val="auto"/>
                      <w:szCs w:val="21"/>
                    </w:rPr>
                  </w:pPr>
                  <w:r>
                    <w:rPr>
                      <w:b/>
                      <w:color w:val="auto"/>
                      <w:szCs w:val="21"/>
                    </w:rPr>
                    <w:t>监测内容</w:t>
                  </w:r>
                </w:p>
              </w:tc>
              <w:tc>
                <w:tcPr>
                  <w:tcW w:w="1352" w:type="pct"/>
                  <w:noWrap/>
                  <w:vAlign w:val="center"/>
                </w:tcPr>
                <w:p>
                  <w:pPr>
                    <w:jc w:val="center"/>
                    <w:rPr>
                      <w:b/>
                      <w:color w:val="auto"/>
                      <w:szCs w:val="21"/>
                    </w:rPr>
                  </w:pPr>
                  <w:r>
                    <w:rPr>
                      <w:b/>
                      <w:color w:val="auto"/>
                      <w:szCs w:val="21"/>
                    </w:rPr>
                    <w:t>监测点位</w:t>
                  </w:r>
                </w:p>
              </w:tc>
              <w:tc>
                <w:tcPr>
                  <w:tcW w:w="1051" w:type="pct"/>
                  <w:noWrap/>
                  <w:vAlign w:val="center"/>
                </w:tcPr>
                <w:p>
                  <w:pPr>
                    <w:jc w:val="center"/>
                    <w:rPr>
                      <w:b/>
                      <w:color w:val="auto"/>
                      <w:szCs w:val="21"/>
                    </w:rPr>
                  </w:pPr>
                  <w:r>
                    <w:rPr>
                      <w:b/>
                      <w:color w:val="auto"/>
                      <w:szCs w:val="21"/>
                    </w:rPr>
                    <w:t>监测项目</w:t>
                  </w:r>
                </w:p>
              </w:tc>
              <w:tc>
                <w:tcPr>
                  <w:tcW w:w="624" w:type="pct"/>
                  <w:noWrap/>
                  <w:vAlign w:val="center"/>
                </w:tcPr>
                <w:p>
                  <w:pPr>
                    <w:jc w:val="center"/>
                    <w:rPr>
                      <w:b/>
                      <w:color w:val="auto"/>
                      <w:szCs w:val="21"/>
                    </w:rPr>
                  </w:pPr>
                  <w:r>
                    <w:rPr>
                      <w:b/>
                      <w:color w:val="auto"/>
                      <w:szCs w:val="21"/>
                    </w:rPr>
                    <w:t>监测频率</w:t>
                  </w:r>
                </w:p>
              </w:tc>
              <w:tc>
                <w:tcPr>
                  <w:tcW w:w="702" w:type="pct"/>
                  <w:noWrap/>
                  <w:vAlign w:val="center"/>
                </w:tcPr>
                <w:p>
                  <w:pPr>
                    <w:jc w:val="center"/>
                    <w:rPr>
                      <w:b/>
                      <w:color w:val="auto"/>
                      <w:szCs w:val="21"/>
                    </w:rPr>
                  </w:pPr>
                  <w:r>
                    <w:rPr>
                      <w:b/>
                      <w:color w:val="auto"/>
                      <w:szCs w:val="21"/>
                    </w:rPr>
                    <w:t>监测方法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630" w:type="pct"/>
                  <w:noWrap/>
                  <w:vAlign w:val="center"/>
                </w:tcPr>
                <w:p>
                  <w:pPr>
                    <w:jc w:val="center"/>
                    <w:rPr>
                      <w:color w:val="auto"/>
                      <w:szCs w:val="21"/>
                    </w:rPr>
                  </w:pPr>
                  <w:r>
                    <w:rPr>
                      <w:color w:val="auto"/>
                      <w:szCs w:val="21"/>
                    </w:rPr>
                    <w:t>运营期</w:t>
                  </w:r>
                </w:p>
              </w:tc>
              <w:tc>
                <w:tcPr>
                  <w:tcW w:w="638" w:type="pct"/>
                  <w:noWrap/>
                  <w:vAlign w:val="center"/>
                </w:tcPr>
                <w:p>
                  <w:pPr>
                    <w:jc w:val="center"/>
                    <w:rPr>
                      <w:color w:val="auto"/>
                      <w:szCs w:val="21"/>
                    </w:rPr>
                  </w:pPr>
                  <w:r>
                    <w:rPr>
                      <w:color w:val="auto"/>
                      <w:szCs w:val="21"/>
                    </w:rPr>
                    <w:t>噪声</w:t>
                  </w:r>
                </w:p>
              </w:tc>
              <w:tc>
                <w:tcPr>
                  <w:tcW w:w="1352" w:type="pct"/>
                  <w:noWrap/>
                  <w:vAlign w:val="center"/>
                </w:tcPr>
                <w:p>
                  <w:pPr>
                    <w:jc w:val="center"/>
                    <w:rPr>
                      <w:color w:val="auto"/>
                      <w:szCs w:val="21"/>
                    </w:rPr>
                  </w:pPr>
                  <w:r>
                    <w:rPr>
                      <w:color w:val="auto"/>
                      <w:szCs w:val="21"/>
                    </w:rPr>
                    <w:t>项目厂界四周及东南侧最近居民处</w:t>
                  </w:r>
                </w:p>
              </w:tc>
              <w:tc>
                <w:tcPr>
                  <w:tcW w:w="1051" w:type="pct"/>
                  <w:noWrap/>
                  <w:vAlign w:val="center"/>
                </w:tcPr>
                <w:p>
                  <w:pPr>
                    <w:autoSpaceDE w:val="0"/>
                    <w:autoSpaceDN w:val="0"/>
                    <w:adjustRightInd w:val="0"/>
                    <w:jc w:val="center"/>
                    <w:rPr>
                      <w:color w:val="auto"/>
                      <w:szCs w:val="21"/>
                    </w:rPr>
                  </w:pPr>
                  <w:r>
                    <w:rPr>
                      <w:color w:val="auto"/>
                      <w:szCs w:val="21"/>
                    </w:rPr>
                    <w:t>昼间连续等效A声级</w:t>
                  </w:r>
                </w:p>
              </w:tc>
              <w:tc>
                <w:tcPr>
                  <w:tcW w:w="624" w:type="pct"/>
                  <w:noWrap/>
                  <w:vAlign w:val="center"/>
                </w:tcPr>
                <w:p>
                  <w:pPr>
                    <w:autoSpaceDE w:val="0"/>
                    <w:autoSpaceDN w:val="0"/>
                    <w:adjustRightInd w:val="0"/>
                    <w:jc w:val="center"/>
                    <w:rPr>
                      <w:color w:val="auto"/>
                      <w:szCs w:val="21"/>
                    </w:rPr>
                  </w:pPr>
                  <w:r>
                    <w:rPr>
                      <w:color w:val="auto"/>
                      <w:szCs w:val="21"/>
                    </w:rPr>
                    <w:t>1次/年</w:t>
                  </w:r>
                </w:p>
              </w:tc>
              <w:tc>
                <w:tcPr>
                  <w:tcW w:w="702" w:type="pct"/>
                  <w:noWrap/>
                  <w:vAlign w:val="center"/>
                </w:tcPr>
                <w:p>
                  <w:pPr>
                    <w:autoSpaceDE w:val="0"/>
                    <w:autoSpaceDN w:val="0"/>
                    <w:adjustRightInd w:val="0"/>
                    <w:jc w:val="center"/>
                    <w:rPr>
                      <w:color w:val="auto"/>
                      <w:szCs w:val="21"/>
                    </w:rPr>
                  </w:pPr>
                  <w:r>
                    <w:rPr>
                      <w:color w:val="auto"/>
                      <w:szCs w:val="21"/>
                    </w:rPr>
                    <w:t>按相关规范进行</w:t>
                  </w:r>
                </w:p>
              </w:tc>
            </w:tr>
          </w:tbl>
          <w:p>
            <w:pPr>
              <w:adjustRightInd w:val="0"/>
              <w:snapToGrid w:val="0"/>
              <w:spacing w:line="360" w:lineRule="auto"/>
              <w:ind w:firstLine="482" w:firstLineChars="200"/>
              <w:rPr>
                <w:b/>
                <w:color w:val="auto"/>
                <w:sz w:val="24"/>
              </w:rPr>
            </w:pPr>
            <w:r>
              <w:rPr>
                <w:b/>
                <w:color w:val="auto"/>
                <w:sz w:val="24"/>
              </w:rPr>
              <w:t>4、固废</w:t>
            </w:r>
          </w:p>
          <w:p>
            <w:pPr>
              <w:adjustRightInd w:val="0"/>
              <w:snapToGrid w:val="0"/>
              <w:spacing w:line="360" w:lineRule="auto"/>
              <w:ind w:firstLine="480" w:firstLineChars="200"/>
              <w:rPr>
                <w:color w:val="auto"/>
                <w:sz w:val="24"/>
              </w:rPr>
            </w:pPr>
            <w:r>
              <w:rPr>
                <w:color w:val="auto"/>
                <w:sz w:val="24"/>
              </w:rPr>
              <w:t>根据项目实际情况分析，本项目运营过程中产生的固体废物主要包括一般固体废物，项目</w:t>
            </w:r>
            <w:r>
              <w:rPr>
                <w:rFonts w:hint="eastAsia"/>
                <w:color w:val="auto"/>
                <w:sz w:val="24"/>
              </w:rPr>
              <w:t>厂</w:t>
            </w:r>
            <w:r>
              <w:rPr>
                <w:color w:val="auto"/>
                <w:sz w:val="24"/>
              </w:rPr>
              <w:t>区内不设置机修间进行设备维修，不涉及危险废物产生。</w:t>
            </w:r>
          </w:p>
          <w:p>
            <w:pPr>
              <w:adjustRightInd w:val="0"/>
              <w:snapToGrid w:val="0"/>
              <w:spacing w:line="360" w:lineRule="auto"/>
              <w:ind w:firstLine="480" w:firstLineChars="200"/>
              <w:rPr>
                <w:color w:val="auto"/>
                <w:sz w:val="24"/>
              </w:rPr>
            </w:pPr>
            <w:r>
              <w:rPr>
                <w:color w:val="auto"/>
                <w:sz w:val="24"/>
              </w:rPr>
              <w:t>一般固体废物主要指生产过程中产生的职工生活垃圾、化粪池污泥、沉淀池污泥</w:t>
            </w:r>
            <w:r>
              <w:rPr>
                <w:rFonts w:hint="eastAsia"/>
                <w:color w:val="auto"/>
                <w:sz w:val="24"/>
              </w:rPr>
              <w:t>、</w:t>
            </w:r>
            <w:r>
              <w:rPr>
                <w:color w:val="auto"/>
                <w:sz w:val="24"/>
              </w:rPr>
              <w:t>袋式除尘器下灰。</w:t>
            </w:r>
          </w:p>
          <w:p>
            <w:pPr>
              <w:adjustRightInd w:val="0"/>
              <w:snapToGrid w:val="0"/>
              <w:spacing w:line="360" w:lineRule="auto"/>
              <w:ind w:firstLine="480" w:firstLineChars="200"/>
              <w:rPr>
                <w:color w:val="auto"/>
                <w:sz w:val="24"/>
              </w:rPr>
            </w:pPr>
            <w:r>
              <w:rPr>
                <w:color w:val="auto"/>
                <w:sz w:val="24"/>
              </w:rPr>
              <w:t>①生活垃圾</w:t>
            </w:r>
          </w:p>
          <w:p>
            <w:pPr>
              <w:adjustRightInd w:val="0"/>
              <w:snapToGrid w:val="0"/>
              <w:spacing w:line="360" w:lineRule="auto"/>
              <w:ind w:firstLine="480" w:firstLineChars="200"/>
              <w:rPr>
                <w:rFonts w:eastAsiaTheme="minorEastAsia"/>
                <w:color w:val="auto"/>
                <w:sz w:val="24"/>
              </w:rPr>
            </w:pPr>
            <w:r>
              <w:rPr>
                <w:color w:val="auto"/>
                <w:sz w:val="24"/>
              </w:rPr>
              <w:t>项目营运期劳动定员15人，生活垃圾的产生量按照每人1.5kg/d计，则估算出本项目产生的生活垃圾约为22.5kg/d（6.75t/a），</w:t>
            </w:r>
            <w:r>
              <w:rPr>
                <w:color w:val="auto"/>
                <w:sz w:val="24"/>
                <w:szCs w:val="20"/>
              </w:rPr>
              <w:t>生活垃圾收集后由环卫部门统一清运处理。</w:t>
            </w:r>
          </w:p>
          <w:p>
            <w:pPr>
              <w:pStyle w:val="2"/>
              <w:adjustRightInd w:val="0"/>
              <w:snapToGrid w:val="0"/>
              <w:spacing w:line="360" w:lineRule="auto"/>
              <w:ind w:left="0" w:firstLine="480" w:firstLineChars="200"/>
              <w:rPr>
                <w:color w:val="auto"/>
                <w:sz w:val="24"/>
              </w:rPr>
            </w:pPr>
            <w:r>
              <w:rPr>
                <w:color w:val="auto"/>
                <w:sz w:val="24"/>
              </w:rPr>
              <w:t>②化粪池污泥</w:t>
            </w:r>
          </w:p>
          <w:p>
            <w:pPr>
              <w:adjustRightInd w:val="0"/>
              <w:snapToGrid w:val="0"/>
              <w:spacing w:line="360" w:lineRule="auto"/>
              <w:ind w:firstLine="480" w:firstLineChars="200"/>
              <w:rPr>
                <w:color w:val="auto"/>
                <w:sz w:val="24"/>
              </w:rPr>
            </w:pPr>
            <w:r>
              <w:rPr>
                <w:color w:val="auto"/>
                <w:sz w:val="24"/>
              </w:rPr>
              <w:t>本项目污泥产生量按污水产生量的0.03%计，项目生活污水产生量为180m</w:t>
            </w:r>
            <w:r>
              <w:rPr>
                <w:color w:val="auto"/>
                <w:sz w:val="24"/>
                <w:vertAlign w:val="superscript"/>
              </w:rPr>
              <w:t>3</w:t>
            </w:r>
            <w:r>
              <w:rPr>
                <w:color w:val="auto"/>
                <w:sz w:val="24"/>
              </w:rPr>
              <w:t>/a，污泥产生量约为0.054t/a。项目产生的化粪池污泥可通过定期清掏用于周边农田施肥不外排。</w:t>
            </w:r>
          </w:p>
          <w:p>
            <w:pPr>
              <w:adjustRightInd w:val="0"/>
              <w:snapToGrid w:val="0"/>
              <w:spacing w:line="360" w:lineRule="auto"/>
              <w:ind w:firstLine="480" w:firstLineChars="200"/>
              <w:rPr>
                <w:color w:val="auto"/>
                <w:sz w:val="24"/>
              </w:rPr>
            </w:pPr>
            <w:r>
              <w:rPr>
                <w:color w:val="auto"/>
                <w:sz w:val="24"/>
              </w:rPr>
              <w:t>③</w:t>
            </w:r>
            <w:r>
              <w:rPr>
                <w:color w:val="auto"/>
                <w:sz w:val="24"/>
                <w:szCs w:val="20"/>
              </w:rPr>
              <w:t>沉淀池污泥</w:t>
            </w:r>
          </w:p>
          <w:p>
            <w:pPr>
              <w:adjustRightInd w:val="0"/>
              <w:snapToGrid w:val="0"/>
              <w:spacing w:line="360" w:lineRule="auto"/>
              <w:ind w:firstLine="480" w:firstLineChars="200"/>
              <w:rPr>
                <w:rFonts w:eastAsiaTheme="minorEastAsia"/>
                <w:color w:val="auto"/>
                <w:sz w:val="24"/>
                <w:szCs w:val="20"/>
              </w:rPr>
            </w:pPr>
            <w:r>
              <w:rPr>
                <w:color w:val="auto"/>
                <w:sz w:val="24"/>
                <w:szCs w:val="20"/>
              </w:rPr>
              <w:t>本项目生产废水经沉淀池沉淀，沉淀产生的污泥产生量按污水处理量的3%计，本项目冲洗废水量为1m</w:t>
            </w:r>
            <w:r>
              <w:rPr>
                <w:color w:val="auto"/>
                <w:sz w:val="24"/>
                <w:szCs w:val="20"/>
                <w:vertAlign w:val="superscript"/>
              </w:rPr>
              <w:t>3</w:t>
            </w:r>
            <w:r>
              <w:rPr>
                <w:color w:val="auto"/>
                <w:sz w:val="24"/>
                <w:szCs w:val="20"/>
              </w:rPr>
              <w:t>/d，300m</w:t>
            </w:r>
            <w:r>
              <w:rPr>
                <w:color w:val="auto"/>
                <w:sz w:val="24"/>
                <w:szCs w:val="20"/>
                <w:vertAlign w:val="superscript"/>
              </w:rPr>
              <w:t>3</w:t>
            </w:r>
            <w:r>
              <w:rPr>
                <w:color w:val="auto"/>
                <w:sz w:val="24"/>
                <w:szCs w:val="20"/>
              </w:rPr>
              <w:t>/a，则沉淀池污泥的产生量为9t/a，定期清掏回用于产品生产。</w:t>
            </w:r>
          </w:p>
          <w:p>
            <w:pPr>
              <w:adjustRightInd w:val="0"/>
              <w:snapToGrid w:val="0"/>
              <w:spacing w:line="360" w:lineRule="auto"/>
              <w:ind w:firstLine="480" w:firstLineChars="200"/>
              <w:rPr>
                <w:color w:val="auto"/>
                <w:sz w:val="24"/>
              </w:rPr>
            </w:pPr>
            <w:r>
              <w:rPr>
                <w:color w:val="auto"/>
                <w:sz w:val="24"/>
              </w:rPr>
              <w:fldChar w:fldCharType="begin"/>
            </w:r>
            <w:r>
              <w:rPr>
                <w:color w:val="auto"/>
                <w:sz w:val="24"/>
              </w:rPr>
              <w:instrText xml:space="preserve"> = 4 \* GB3 </w:instrText>
            </w:r>
            <w:r>
              <w:rPr>
                <w:color w:val="auto"/>
                <w:sz w:val="24"/>
              </w:rPr>
              <w:fldChar w:fldCharType="separate"/>
            </w:r>
            <w:r>
              <w:rPr>
                <w:color w:val="auto"/>
                <w:sz w:val="24"/>
              </w:rPr>
              <w:t>④</w:t>
            </w:r>
            <w:r>
              <w:rPr>
                <w:color w:val="auto"/>
                <w:sz w:val="24"/>
              </w:rPr>
              <w:fldChar w:fldCharType="end"/>
            </w:r>
            <w:r>
              <w:rPr>
                <w:color w:val="auto"/>
                <w:sz w:val="24"/>
              </w:rPr>
              <w:t>袋式除尘器下灰</w:t>
            </w:r>
          </w:p>
          <w:p>
            <w:pPr>
              <w:pStyle w:val="15"/>
              <w:adjustRightInd w:val="0"/>
              <w:spacing w:before="0" w:after="0" w:line="360" w:lineRule="auto"/>
              <w:ind w:right="0" w:firstLine="480" w:firstLineChars="200"/>
              <w:rPr>
                <w:color w:val="auto"/>
              </w:rPr>
            </w:pPr>
            <w:r>
              <w:rPr>
                <w:color w:val="auto"/>
                <w:sz w:val="24"/>
                <w:szCs w:val="24"/>
              </w:rPr>
              <w:t>本项目在水泥筒仓设有仓顶布袋除尘器，根据计算年收集粉尘约</w:t>
            </w:r>
            <w:r>
              <w:rPr>
                <w:rFonts w:hint="eastAsia"/>
                <w:color w:val="auto"/>
                <w:sz w:val="24"/>
                <w:szCs w:val="24"/>
                <w:lang w:eastAsia="zh-CN"/>
              </w:rPr>
              <w:t>0.61t</w:t>
            </w:r>
            <w:r>
              <w:rPr>
                <w:color w:val="auto"/>
                <w:sz w:val="24"/>
                <w:szCs w:val="24"/>
              </w:rPr>
              <w:t>，全部回用于生产。</w:t>
            </w:r>
          </w:p>
          <w:p>
            <w:pPr>
              <w:adjustRightInd w:val="0"/>
              <w:snapToGrid w:val="0"/>
              <w:spacing w:line="360" w:lineRule="auto"/>
              <w:ind w:firstLine="480" w:firstLineChars="200"/>
              <w:rPr>
                <w:color w:val="auto"/>
                <w:sz w:val="24"/>
              </w:rPr>
            </w:pPr>
            <w:r>
              <w:rPr>
                <w:color w:val="auto"/>
                <w:sz w:val="24"/>
              </w:rPr>
              <w:t>拟建项目运营期固废产生情况见下表：</w:t>
            </w:r>
          </w:p>
          <w:p>
            <w:pPr>
              <w:widowControl/>
              <w:adjustRightInd w:val="0"/>
              <w:snapToGrid w:val="0"/>
              <w:spacing w:line="360" w:lineRule="auto"/>
              <w:jc w:val="center"/>
              <w:rPr>
                <w:b/>
                <w:color w:val="auto"/>
                <w:kern w:val="0"/>
                <w:szCs w:val="21"/>
              </w:rPr>
            </w:pPr>
            <w:r>
              <w:rPr>
                <w:b/>
                <w:color w:val="auto"/>
                <w:kern w:val="0"/>
                <w:szCs w:val="21"/>
              </w:rPr>
              <w:t>表4-1</w:t>
            </w:r>
            <w:r>
              <w:rPr>
                <w:rFonts w:hint="eastAsia"/>
                <w:b/>
                <w:color w:val="auto"/>
                <w:kern w:val="0"/>
                <w:szCs w:val="21"/>
                <w:lang w:val="en-US" w:eastAsia="zh-CN"/>
              </w:rPr>
              <w:t>4</w:t>
            </w:r>
            <w:r>
              <w:rPr>
                <w:b/>
                <w:color w:val="auto"/>
                <w:kern w:val="0"/>
                <w:szCs w:val="21"/>
              </w:rPr>
              <w:t xml:space="preserve">  固废产生情况表</w:t>
            </w:r>
          </w:p>
          <w:tbl>
            <w:tblPr>
              <w:tblStyle w:val="41"/>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352"/>
              <w:gridCol w:w="664"/>
              <w:gridCol w:w="766"/>
              <w:gridCol w:w="1087"/>
              <w:gridCol w:w="796"/>
              <w:gridCol w:w="432"/>
              <w:gridCol w:w="642"/>
              <w:gridCol w:w="787"/>
              <w:gridCol w:w="766"/>
              <w:gridCol w:w="927"/>
              <w:gridCol w:w="948"/>
              <w:gridCol w:w="6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200" w:type="pct"/>
                  <w:vAlign w:val="center"/>
                </w:tcPr>
                <w:p>
                  <w:pPr>
                    <w:widowControl/>
                    <w:spacing w:line="240" w:lineRule="exact"/>
                    <w:ind w:left="-96" w:leftChars="-40" w:right="-106" w:rightChars="-44"/>
                    <w:jc w:val="center"/>
                    <w:rPr>
                      <w:b/>
                      <w:bCs/>
                      <w:snapToGrid w:val="0"/>
                      <w:color w:val="auto"/>
                      <w:kern w:val="0"/>
                      <w:szCs w:val="21"/>
                    </w:rPr>
                  </w:pPr>
                  <w:r>
                    <w:rPr>
                      <w:b/>
                      <w:bCs/>
                      <w:snapToGrid w:val="0"/>
                      <w:color w:val="auto"/>
                      <w:kern w:val="0"/>
                      <w:szCs w:val="21"/>
                    </w:rPr>
                    <w:t>序号</w:t>
                  </w:r>
                </w:p>
              </w:tc>
              <w:tc>
                <w:tcPr>
                  <w:tcW w:w="377" w:type="pct"/>
                  <w:vAlign w:val="center"/>
                </w:tcPr>
                <w:p>
                  <w:pPr>
                    <w:widowControl/>
                    <w:spacing w:line="240" w:lineRule="exact"/>
                    <w:ind w:left="-142" w:leftChars="-59" w:right="-103" w:rightChars="-43"/>
                    <w:jc w:val="center"/>
                    <w:rPr>
                      <w:b/>
                      <w:bCs/>
                      <w:snapToGrid w:val="0"/>
                      <w:color w:val="auto"/>
                      <w:kern w:val="0"/>
                      <w:szCs w:val="21"/>
                    </w:rPr>
                  </w:pPr>
                  <w:r>
                    <w:rPr>
                      <w:b/>
                      <w:bCs/>
                      <w:snapToGrid w:val="0"/>
                      <w:color w:val="auto"/>
                      <w:kern w:val="0"/>
                      <w:szCs w:val="21"/>
                    </w:rPr>
                    <w:t>产生环节</w:t>
                  </w:r>
                </w:p>
              </w:tc>
              <w:tc>
                <w:tcPr>
                  <w:tcW w:w="433" w:type="pct"/>
                  <w:vAlign w:val="center"/>
                </w:tcPr>
                <w:p>
                  <w:pPr>
                    <w:widowControl/>
                    <w:spacing w:line="240" w:lineRule="exact"/>
                    <w:jc w:val="center"/>
                    <w:rPr>
                      <w:b/>
                      <w:bCs/>
                      <w:snapToGrid w:val="0"/>
                      <w:color w:val="auto"/>
                      <w:kern w:val="0"/>
                      <w:szCs w:val="21"/>
                    </w:rPr>
                  </w:pPr>
                  <w:r>
                    <w:rPr>
                      <w:b/>
                      <w:bCs/>
                      <w:snapToGrid w:val="0"/>
                      <w:color w:val="auto"/>
                      <w:kern w:val="0"/>
                      <w:szCs w:val="21"/>
                    </w:rPr>
                    <w:t>名称</w:t>
                  </w:r>
                </w:p>
              </w:tc>
              <w:tc>
                <w:tcPr>
                  <w:tcW w:w="615" w:type="pct"/>
                  <w:vAlign w:val="center"/>
                </w:tcPr>
                <w:p>
                  <w:pPr>
                    <w:widowControl/>
                    <w:spacing w:line="240" w:lineRule="exact"/>
                    <w:jc w:val="center"/>
                    <w:rPr>
                      <w:b/>
                      <w:bCs/>
                      <w:snapToGrid w:val="0"/>
                      <w:color w:val="auto"/>
                      <w:kern w:val="0"/>
                      <w:szCs w:val="21"/>
                    </w:rPr>
                  </w:pPr>
                  <w:r>
                    <w:rPr>
                      <w:b/>
                      <w:bCs/>
                      <w:snapToGrid w:val="0"/>
                      <w:color w:val="auto"/>
                      <w:kern w:val="0"/>
                      <w:szCs w:val="21"/>
                    </w:rPr>
                    <w:t>属性</w:t>
                  </w:r>
                </w:p>
              </w:tc>
              <w:tc>
                <w:tcPr>
                  <w:tcW w:w="450" w:type="pct"/>
                  <w:vAlign w:val="center"/>
                </w:tcPr>
                <w:p>
                  <w:pPr>
                    <w:widowControl/>
                    <w:spacing w:line="240" w:lineRule="exact"/>
                    <w:jc w:val="center"/>
                    <w:rPr>
                      <w:b/>
                      <w:bCs/>
                      <w:snapToGrid w:val="0"/>
                      <w:color w:val="auto"/>
                      <w:kern w:val="0"/>
                      <w:szCs w:val="21"/>
                    </w:rPr>
                  </w:pPr>
                  <w:r>
                    <w:rPr>
                      <w:b/>
                      <w:bCs/>
                      <w:snapToGrid w:val="0"/>
                      <w:color w:val="auto"/>
                      <w:kern w:val="0"/>
                      <w:szCs w:val="21"/>
                    </w:rPr>
                    <w:t>主要有毒有害物质名称</w:t>
                  </w:r>
                </w:p>
              </w:tc>
              <w:tc>
                <w:tcPr>
                  <w:tcW w:w="245" w:type="pct"/>
                  <w:vAlign w:val="center"/>
                </w:tcPr>
                <w:p>
                  <w:pPr>
                    <w:widowControl/>
                    <w:spacing w:line="240" w:lineRule="exact"/>
                    <w:jc w:val="center"/>
                    <w:rPr>
                      <w:b/>
                      <w:bCs/>
                      <w:snapToGrid w:val="0"/>
                      <w:color w:val="auto"/>
                      <w:kern w:val="0"/>
                      <w:szCs w:val="21"/>
                    </w:rPr>
                  </w:pPr>
                  <w:r>
                    <w:rPr>
                      <w:b/>
                      <w:bCs/>
                      <w:snapToGrid w:val="0"/>
                      <w:color w:val="auto"/>
                      <w:kern w:val="0"/>
                      <w:szCs w:val="21"/>
                    </w:rPr>
                    <w:t>物理性状</w:t>
                  </w:r>
                </w:p>
              </w:tc>
              <w:tc>
                <w:tcPr>
                  <w:tcW w:w="364" w:type="pct"/>
                  <w:vAlign w:val="center"/>
                </w:tcPr>
                <w:p>
                  <w:pPr>
                    <w:widowControl/>
                    <w:spacing w:line="240" w:lineRule="exact"/>
                    <w:jc w:val="center"/>
                    <w:rPr>
                      <w:b/>
                      <w:bCs/>
                      <w:snapToGrid w:val="0"/>
                      <w:color w:val="auto"/>
                      <w:kern w:val="0"/>
                      <w:szCs w:val="21"/>
                    </w:rPr>
                  </w:pPr>
                  <w:r>
                    <w:rPr>
                      <w:b/>
                      <w:bCs/>
                      <w:snapToGrid w:val="0"/>
                      <w:color w:val="auto"/>
                      <w:kern w:val="0"/>
                      <w:szCs w:val="21"/>
                    </w:rPr>
                    <w:t>环境风险特性</w:t>
                  </w:r>
                </w:p>
              </w:tc>
              <w:tc>
                <w:tcPr>
                  <w:tcW w:w="445" w:type="pct"/>
                  <w:vAlign w:val="center"/>
                </w:tcPr>
                <w:p>
                  <w:pPr>
                    <w:widowControl/>
                    <w:spacing w:line="240" w:lineRule="exact"/>
                    <w:jc w:val="center"/>
                    <w:rPr>
                      <w:b/>
                      <w:bCs/>
                      <w:snapToGrid w:val="0"/>
                      <w:color w:val="auto"/>
                      <w:kern w:val="0"/>
                      <w:szCs w:val="21"/>
                    </w:rPr>
                  </w:pPr>
                  <w:r>
                    <w:rPr>
                      <w:b/>
                      <w:bCs/>
                      <w:snapToGrid w:val="0"/>
                      <w:color w:val="auto"/>
                      <w:kern w:val="0"/>
                      <w:szCs w:val="21"/>
                    </w:rPr>
                    <w:t>年度产生量</w:t>
                  </w:r>
                </w:p>
              </w:tc>
              <w:tc>
                <w:tcPr>
                  <w:tcW w:w="433" w:type="pct"/>
                  <w:vAlign w:val="center"/>
                </w:tcPr>
                <w:p>
                  <w:pPr>
                    <w:widowControl/>
                    <w:spacing w:line="240" w:lineRule="exact"/>
                    <w:jc w:val="center"/>
                    <w:rPr>
                      <w:b/>
                      <w:bCs/>
                      <w:snapToGrid w:val="0"/>
                      <w:color w:val="auto"/>
                      <w:kern w:val="0"/>
                      <w:szCs w:val="21"/>
                    </w:rPr>
                  </w:pPr>
                  <w:r>
                    <w:rPr>
                      <w:b/>
                      <w:bCs/>
                      <w:snapToGrid w:val="0"/>
                      <w:color w:val="auto"/>
                      <w:kern w:val="0"/>
                      <w:szCs w:val="21"/>
                    </w:rPr>
                    <w:t>贮存</w:t>
                  </w:r>
                </w:p>
                <w:p>
                  <w:pPr>
                    <w:widowControl/>
                    <w:spacing w:line="240" w:lineRule="exact"/>
                    <w:jc w:val="center"/>
                    <w:rPr>
                      <w:b/>
                      <w:bCs/>
                      <w:snapToGrid w:val="0"/>
                      <w:color w:val="auto"/>
                      <w:kern w:val="0"/>
                      <w:szCs w:val="21"/>
                    </w:rPr>
                  </w:pPr>
                  <w:r>
                    <w:rPr>
                      <w:b/>
                      <w:bCs/>
                      <w:snapToGrid w:val="0"/>
                      <w:color w:val="auto"/>
                      <w:kern w:val="0"/>
                      <w:szCs w:val="21"/>
                    </w:rPr>
                    <w:t>方式</w:t>
                  </w:r>
                </w:p>
              </w:tc>
              <w:tc>
                <w:tcPr>
                  <w:tcW w:w="524" w:type="pct"/>
                  <w:vAlign w:val="center"/>
                </w:tcPr>
                <w:p>
                  <w:pPr>
                    <w:widowControl/>
                    <w:spacing w:line="240" w:lineRule="exact"/>
                    <w:jc w:val="center"/>
                    <w:rPr>
                      <w:b/>
                      <w:bCs/>
                      <w:snapToGrid w:val="0"/>
                      <w:color w:val="auto"/>
                      <w:kern w:val="0"/>
                      <w:szCs w:val="21"/>
                    </w:rPr>
                  </w:pPr>
                  <w:r>
                    <w:rPr>
                      <w:b/>
                      <w:bCs/>
                      <w:snapToGrid w:val="0"/>
                      <w:color w:val="auto"/>
                      <w:kern w:val="0"/>
                      <w:szCs w:val="21"/>
                    </w:rPr>
                    <w:t>利用处置方式和去向</w:t>
                  </w:r>
                </w:p>
              </w:tc>
              <w:tc>
                <w:tcPr>
                  <w:tcW w:w="536" w:type="pct"/>
                  <w:vAlign w:val="center"/>
                </w:tcPr>
                <w:p>
                  <w:pPr>
                    <w:widowControl/>
                    <w:spacing w:line="240" w:lineRule="exact"/>
                    <w:jc w:val="center"/>
                    <w:rPr>
                      <w:b/>
                      <w:bCs/>
                      <w:snapToGrid w:val="0"/>
                      <w:color w:val="auto"/>
                      <w:kern w:val="0"/>
                      <w:szCs w:val="21"/>
                    </w:rPr>
                  </w:pPr>
                  <w:r>
                    <w:rPr>
                      <w:b/>
                      <w:bCs/>
                      <w:snapToGrid w:val="0"/>
                      <w:color w:val="auto"/>
                      <w:kern w:val="0"/>
                      <w:szCs w:val="21"/>
                    </w:rPr>
                    <w:t>利用或处置量</w:t>
                  </w:r>
                </w:p>
              </w:tc>
              <w:tc>
                <w:tcPr>
                  <w:tcW w:w="372" w:type="pct"/>
                  <w:vAlign w:val="center"/>
                </w:tcPr>
                <w:p>
                  <w:pPr>
                    <w:widowControl/>
                    <w:spacing w:line="240" w:lineRule="exact"/>
                    <w:jc w:val="center"/>
                    <w:rPr>
                      <w:b/>
                      <w:bCs/>
                      <w:snapToGrid w:val="0"/>
                      <w:color w:val="auto"/>
                      <w:kern w:val="0"/>
                      <w:szCs w:val="21"/>
                    </w:rPr>
                  </w:pPr>
                  <w:r>
                    <w:rPr>
                      <w:b/>
                      <w:bCs/>
                      <w:snapToGrid w:val="0"/>
                      <w:color w:val="auto"/>
                      <w:kern w:val="0"/>
                      <w:szCs w:val="21"/>
                    </w:rPr>
                    <w:t>环境管理要求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200" w:type="pct"/>
                  <w:vAlign w:val="center"/>
                </w:tcPr>
                <w:p>
                  <w:pPr>
                    <w:widowControl/>
                    <w:spacing w:line="240" w:lineRule="exact"/>
                    <w:jc w:val="center"/>
                    <w:rPr>
                      <w:snapToGrid w:val="0"/>
                      <w:color w:val="auto"/>
                      <w:kern w:val="0"/>
                      <w:szCs w:val="21"/>
                    </w:rPr>
                  </w:pPr>
                  <w:r>
                    <w:rPr>
                      <w:snapToGrid w:val="0"/>
                      <w:color w:val="auto"/>
                      <w:kern w:val="0"/>
                      <w:szCs w:val="21"/>
                    </w:rPr>
                    <w:t>1</w:t>
                  </w:r>
                </w:p>
              </w:tc>
              <w:tc>
                <w:tcPr>
                  <w:tcW w:w="377" w:type="pct"/>
                  <w:vAlign w:val="center"/>
                </w:tcPr>
                <w:p>
                  <w:pPr>
                    <w:widowControl/>
                    <w:spacing w:line="240" w:lineRule="exact"/>
                    <w:ind w:left="-142" w:leftChars="-59" w:right="-103" w:rightChars="-43"/>
                    <w:jc w:val="center"/>
                    <w:rPr>
                      <w:snapToGrid w:val="0"/>
                      <w:color w:val="auto"/>
                      <w:kern w:val="0"/>
                      <w:szCs w:val="21"/>
                    </w:rPr>
                  </w:pPr>
                  <w:r>
                    <w:rPr>
                      <w:color w:val="auto"/>
                    </w:rPr>
                    <w:t>沉淀池污泥</w:t>
                  </w:r>
                </w:p>
              </w:tc>
              <w:tc>
                <w:tcPr>
                  <w:tcW w:w="433" w:type="pct"/>
                  <w:vAlign w:val="center"/>
                </w:tcPr>
                <w:p>
                  <w:pPr>
                    <w:widowControl/>
                    <w:spacing w:line="240" w:lineRule="exact"/>
                    <w:jc w:val="center"/>
                    <w:rPr>
                      <w:snapToGrid w:val="0"/>
                      <w:color w:val="auto"/>
                      <w:kern w:val="0"/>
                      <w:szCs w:val="21"/>
                    </w:rPr>
                  </w:pPr>
                  <w:r>
                    <w:rPr>
                      <w:snapToGrid w:val="0"/>
                      <w:color w:val="auto"/>
                      <w:kern w:val="0"/>
                      <w:szCs w:val="21"/>
                    </w:rPr>
                    <w:t>污泥</w:t>
                  </w:r>
                </w:p>
              </w:tc>
              <w:tc>
                <w:tcPr>
                  <w:tcW w:w="615" w:type="pct"/>
                  <w:vAlign w:val="center"/>
                </w:tcPr>
                <w:p>
                  <w:pPr>
                    <w:widowControl/>
                    <w:spacing w:line="240" w:lineRule="exact"/>
                    <w:jc w:val="center"/>
                    <w:rPr>
                      <w:snapToGrid w:val="0"/>
                      <w:color w:val="auto"/>
                      <w:kern w:val="0"/>
                      <w:szCs w:val="21"/>
                    </w:rPr>
                  </w:pPr>
                  <w:r>
                    <w:rPr>
                      <w:color w:val="auto"/>
                      <w:kern w:val="0"/>
                      <w:szCs w:val="21"/>
                    </w:rPr>
                    <w:t>900-999-61</w:t>
                  </w:r>
                </w:p>
              </w:tc>
              <w:tc>
                <w:tcPr>
                  <w:tcW w:w="450" w:type="pct"/>
                  <w:vAlign w:val="center"/>
                </w:tcPr>
                <w:p>
                  <w:pPr>
                    <w:widowControl/>
                    <w:spacing w:line="240" w:lineRule="exact"/>
                    <w:jc w:val="center"/>
                    <w:rPr>
                      <w:snapToGrid w:val="0"/>
                      <w:color w:val="auto"/>
                      <w:kern w:val="0"/>
                      <w:szCs w:val="21"/>
                    </w:rPr>
                  </w:pPr>
                  <w:r>
                    <w:rPr>
                      <w:snapToGrid w:val="0"/>
                      <w:color w:val="auto"/>
                      <w:kern w:val="0"/>
                      <w:szCs w:val="21"/>
                    </w:rPr>
                    <w:t>/</w:t>
                  </w:r>
                </w:p>
              </w:tc>
              <w:tc>
                <w:tcPr>
                  <w:tcW w:w="245" w:type="pct"/>
                  <w:vAlign w:val="center"/>
                </w:tcPr>
                <w:p>
                  <w:pPr>
                    <w:widowControl/>
                    <w:spacing w:line="240" w:lineRule="exact"/>
                    <w:jc w:val="center"/>
                    <w:rPr>
                      <w:snapToGrid w:val="0"/>
                      <w:color w:val="auto"/>
                      <w:kern w:val="0"/>
                      <w:szCs w:val="21"/>
                    </w:rPr>
                  </w:pPr>
                  <w:r>
                    <w:rPr>
                      <w:snapToGrid w:val="0"/>
                      <w:color w:val="auto"/>
                      <w:kern w:val="0"/>
                      <w:szCs w:val="21"/>
                    </w:rPr>
                    <w:t>固体</w:t>
                  </w:r>
                </w:p>
              </w:tc>
              <w:tc>
                <w:tcPr>
                  <w:tcW w:w="364" w:type="pct"/>
                  <w:vAlign w:val="center"/>
                </w:tcPr>
                <w:p>
                  <w:pPr>
                    <w:widowControl/>
                    <w:spacing w:line="240" w:lineRule="exact"/>
                    <w:jc w:val="center"/>
                    <w:rPr>
                      <w:snapToGrid w:val="0"/>
                      <w:color w:val="auto"/>
                      <w:kern w:val="0"/>
                      <w:szCs w:val="21"/>
                    </w:rPr>
                  </w:pPr>
                  <w:r>
                    <w:rPr>
                      <w:snapToGrid w:val="0"/>
                      <w:color w:val="auto"/>
                      <w:kern w:val="0"/>
                      <w:szCs w:val="21"/>
                    </w:rPr>
                    <w:t>/</w:t>
                  </w:r>
                </w:p>
              </w:tc>
              <w:tc>
                <w:tcPr>
                  <w:tcW w:w="445" w:type="pct"/>
                  <w:vAlign w:val="center"/>
                </w:tcPr>
                <w:p>
                  <w:pPr>
                    <w:widowControl/>
                    <w:spacing w:line="240" w:lineRule="exact"/>
                    <w:jc w:val="center"/>
                    <w:rPr>
                      <w:snapToGrid w:val="0"/>
                      <w:color w:val="auto"/>
                      <w:kern w:val="0"/>
                      <w:szCs w:val="21"/>
                    </w:rPr>
                  </w:pPr>
                  <w:r>
                    <w:rPr>
                      <w:snapToGrid w:val="0"/>
                      <w:color w:val="auto"/>
                      <w:kern w:val="0"/>
                      <w:szCs w:val="21"/>
                    </w:rPr>
                    <w:t>9t/a</w:t>
                  </w:r>
                </w:p>
              </w:tc>
              <w:tc>
                <w:tcPr>
                  <w:tcW w:w="433" w:type="pct"/>
                  <w:vAlign w:val="center"/>
                </w:tcPr>
                <w:p>
                  <w:pPr>
                    <w:spacing w:before="100" w:beforeAutospacing="1" w:after="100" w:afterAutospacing="1" w:line="240" w:lineRule="exact"/>
                    <w:jc w:val="center"/>
                    <w:rPr>
                      <w:snapToGrid w:val="0"/>
                      <w:color w:val="auto"/>
                      <w:kern w:val="0"/>
                      <w:szCs w:val="21"/>
                    </w:rPr>
                  </w:pPr>
                  <w:r>
                    <w:rPr>
                      <w:snapToGrid w:val="0"/>
                      <w:color w:val="auto"/>
                      <w:kern w:val="0"/>
                      <w:szCs w:val="21"/>
                    </w:rPr>
                    <w:t>/</w:t>
                  </w:r>
                </w:p>
              </w:tc>
              <w:tc>
                <w:tcPr>
                  <w:tcW w:w="524" w:type="pct"/>
                  <w:vAlign w:val="center"/>
                </w:tcPr>
                <w:p>
                  <w:pPr>
                    <w:widowControl/>
                    <w:spacing w:before="100" w:beforeAutospacing="1" w:after="100" w:afterAutospacing="1" w:line="240" w:lineRule="exact"/>
                    <w:jc w:val="center"/>
                    <w:rPr>
                      <w:snapToGrid w:val="0"/>
                      <w:color w:val="auto"/>
                      <w:kern w:val="0"/>
                      <w:szCs w:val="21"/>
                    </w:rPr>
                  </w:pPr>
                  <w:r>
                    <w:rPr>
                      <w:color w:val="auto"/>
                    </w:rPr>
                    <w:t>定期清掏回用于生产</w:t>
                  </w:r>
                </w:p>
              </w:tc>
              <w:tc>
                <w:tcPr>
                  <w:tcW w:w="536" w:type="pct"/>
                  <w:vAlign w:val="center"/>
                </w:tcPr>
                <w:p>
                  <w:pPr>
                    <w:widowControl/>
                    <w:spacing w:line="240" w:lineRule="exact"/>
                    <w:jc w:val="center"/>
                    <w:rPr>
                      <w:snapToGrid w:val="0"/>
                      <w:color w:val="auto"/>
                      <w:kern w:val="0"/>
                      <w:szCs w:val="21"/>
                    </w:rPr>
                  </w:pPr>
                  <w:r>
                    <w:rPr>
                      <w:snapToGrid w:val="0"/>
                      <w:color w:val="auto"/>
                      <w:kern w:val="0"/>
                      <w:szCs w:val="21"/>
                    </w:rPr>
                    <w:t>9t/a</w:t>
                  </w:r>
                </w:p>
              </w:tc>
              <w:tc>
                <w:tcPr>
                  <w:tcW w:w="372" w:type="pct"/>
                  <w:vMerge w:val="restart"/>
                  <w:vAlign w:val="center"/>
                </w:tcPr>
                <w:p>
                  <w:pPr>
                    <w:widowControl/>
                    <w:spacing w:before="100" w:beforeAutospacing="1" w:after="100" w:afterAutospacing="1" w:line="240" w:lineRule="exact"/>
                    <w:jc w:val="center"/>
                    <w:rPr>
                      <w:snapToGrid w:val="0"/>
                      <w:color w:val="auto"/>
                      <w:kern w:val="0"/>
                      <w:szCs w:val="21"/>
                    </w:rPr>
                  </w:pPr>
                  <w:r>
                    <w:rPr>
                      <w:snapToGrid w:val="0"/>
                      <w:color w:val="auto"/>
                      <w:kern w:val="0"/>
                      <w:szCs w:val="21"/>
                    </w:rPr>
                    <w:t>妥善处置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200" w:type="pct"/>
                  <w:vAlign w:val="center"/>
                </w:tcPr>
                <w:p>
                  <w:pPr>
                    <w:widowControl/>
                    <w:spacing w:line="240" w:lineRule="exact"/>
                    <w:jc w:val="center"/>
                    <w:rPr>
                      <w:snapToGrid w:val="0"/>
                      <w:color w:val="auto"/>
                      <w:kern w:val="0"/>
                      <w:szCs w:val="21"/>
                    </w:rPr>
                  </w:pPr>
                  <w:r>
                    <w:rPr>
                      <w:snapToGrid w:val="0"/>
                      <w:color w:val="auto"/>
                      <w:kern w:val="0"/>
                      <w:szCs w:val="21"/>
                    </w:rPr>
                    <w:t>2</w:t>
                  </w:r>
                </w:p>
              </w:tc>
              <w:tc>
                <w:tcPr>
                  <w:tcW w:w="377" w:type="pct"/>
                  <w:vAlign w:val="center"/>
                </w:tcPr>
                <w:p>
                  <w:pPr>
                    <w:widowControl/>
                    <w:spacing w:line="240" w:lineRule="exact"/>
                    <w:ind w:left="-142" w:leftChars="-59" w:right="-103" w:rightChars="-43"/>
                    <w:jc w:val="center"/>
                    <w:rPr>
                      <w:color w:val="auto"/>
                    </w:rPr>
                  </w:pPr>
                  <w:r>
                    <w:rPr>
                      <w:color w:val="auto"/>
                    </w:rPr>
                    <w:t>袋式除尘器下灰</w:t>
                  </w:r>
                </w:p>
              </w:tc>
              <w:tc>
                <w:tcPr>
                  <w:tcW w:w="433" w:type="pct"/>
                  <w:vAlign w:val="center"/>
                </w:tcPr>
                <w:p>
                  <w:pPr>
                    <w:widowControl/>
                    <w:spacing w:line="240" w:lineRule="exact"/>
                    <w:jc w:val="center"/>
                    <w:rPr>
                      <w:snapToGrid w:val="0"/>
                      <w:color w:val="auto"/>
                      <w:kern w:val="0"/>
                      <w:szCs w:val="21"/>
                    </w:rPr>
                  </w:pPr>
                  <w:r>
                    <w:rPr>
                      <w:snapToGrid w:val="0"/>
                      <w:color w:val="auto"/>
                      <w:kern w:val="0"/>
                      <w:szCs w:val="21"/>
                    </w:rPr>
                    <w:t>收集粉尘</w:t>
                  </w:r>
                </w:p>
              </w:tc>
              <w:tc>
                <w:tcPr>
                  <w:tcW w:w="615" w:type="pct"/>
                  <w:vAlign w:val="center"/>
                </w:tcPr>
                <w:p>
                  <w:pPr>
                    <w:widowControl/>
                    <w:spacing w:line="240" w:lineRule="exact"/>
                    <w:jc w:val="center"/>
                    <w:rPr>
                      <w:snapToGrid w:val="0"/>
                      <w:color w:val="auto"/>
                      <w:kern w:val="0"/>
                      <w:szCs w:val="21"/>
                    </w:rPr>
                  </w:pPr>
                  <w:r>
                    <w:rPr>
                      <w:color w:val="auto"/>
                      <w:szCs w:val="21"/>
                    </w:rPr>
                    <w:t>900-999-66</w:t>
                  </w:r>
                </w:p>
              </w:tc>
              <w:tc>
                <w:tcPr>
                  <w:tcW w:w="450" w:type="pct"/>
                  <w:vAlign w:val="center"/>
                </w:tcPr>
                <w:p>
                  <w:pPr>
                    <w:widowControl/>
                    <w:spacing w:line="240" w:lineRule="exact"/>
                    <w:jc w:val="center"/>
                    <w:rPr>
                      <w:snapToGrid w:val="0"/>
                      <w:color w:val="auto"/>
                      <w:kern w:val="0"/>
                      <w:szCs w:val="21"/>
                    </w:rPr>
                  </w:pPr>
                  <w:r>
                    <w:rPr>
                      <w:snapToGrid w:val="0"/>
                      <w:color w:val="auto"/>
                      <w:kern w:val="0"/>
                      <w:szCs w:val="21"/>
                    </w:rPr>
                    <w:t>/</w:t>
                  </w:r>
                </w:p>
              </w:tc>
              <w:tc>
                <w:tcPr>
                  <w:tcW w:w="245" w:type="pct"/>
                  <w:vAlign w:val="center"/>
                </w:tcPr>
                <w:p>
                  <w:pPr>
                    <w:widowControl/>
                    <w:spacing w:line="240" w:lineRule="exact"/>
                    <w:jc w:val="center"/>
                    <w:rPr>
                      <w:snapToGrid w:val="0"/>
                      <w:color w:val="auto"/>
                      <w:kern w:val="0"/>
                      <w:szCs w:val="21"/>
                    </w:rPr>
                  </w:pPr>
                  <w:r>
                    <w:rPr>
                      <w:snapToGrid w:val="0"/>
                      <w:color w:val="auto"/>
                      <w:kern w:val="0"/>
                      <w:szCs w:val="21"/>
                    </w:rPr>
                    <w:t>固体</w:t>
                  </w:r>
                </w:p>
              </w:tc>
              <w:tc>
                <w:tcPr>
                  <w:tcW w:w="364" w:type="pct"/>
                  <w:vAlign w:val="center"/>
                </w:tcPr>
                <w:p>
                  <w:pPr>
                    <w:widowControl/>
                    <w:spacing w:line="240" w:lineRule="exact"/>
                    <w:jc w:val="center"/>
                    <w:rPr>
                      <w:snapToGrid w:val="0"/>
                      <w:color w:val="auto"/>
                      <w:kern w:val="0"/>
                      <w:szCs w:val="21"/>
                    </w:rPr>
                  </w:pPr>
                  <w:r>
                    <w:rPr>
                      <w:snapToGrid w:val="0"/>
                      <w:color w:val="auto"/>
                      <w:kern w:val="0"/>
                      <w:szCs w:val="21"/>
                    </w:rPr>
                    <w:t>/</w:t>
                  </w:r>
                </w:p>
              </w:tc>
              <w:tc>
                <w:tcPr>
                  <w:tcW w:w="445" w:type="pct"/>
                  <w:vAlign w:val="center"/>
                </w:tcPr>
                <w:p>
                  <w:pPr>
                    <w:widowControl/>
                    <w:spacing w:line="240" w:lineRule="exact"/>
                    <w:jc w:val="center"/>
                    <w:rPr>
                      <w:snapToGrid w:val="0"/>
                      <w:color w:val="auto"/>
                      <w:kern w:val="0"/>
                      <w:szCs w:val="21"/>
                    </w:rPr>
                  </w:pPr>
                  <w:r>
                    <w:rPr>
                      <w:rFonts w:hint="eastAsia"/>
                      <w:color w:val="auto"/>
                      <w:lang w:eastAsia="zh-CN"/>
                    </w:rPr>
                    <w:t>0.61t</w:t>
                  </w:r>
                  <w:r>
                    <w:rPr>
                      <w:snapToGrid w:val="0"/>
                      <w:color w:val="auto"/>
                      <w:kern w:val="0"/>
                      <w:szCs w:val="21"/>
                    </w:rPr>
                    <w:t>/a</w:t>
                  </w:r>
                </w:p>
              </w:tc>
              <w:tc>
                <w:tcPr>
                  <w:tcW w:w="433" w:type="pct"/>
                  <w:vAlign w:val="center"/>
                </w:tcPr>
                <w:p>
                  <w:pPr>
                    <w:spacing w:before="100" w:beforeAutospacing="1" w:after="100" w:afterAutospacing="1" w:line="240" w:lineRule="exact"/>
                    <w:jc w:val="center"/>
                    <w:rPr>
                      <w:snapToGrid w:val="0"/>
                      <w:color w:val="auto"/>
                      <w:kern w:val="0"/>
                      <w:szCs w:val="21"/>
                    </w:rPr>
                  </w:pPr>
                  <w:r>
                    <w:rPr>
                      <w:snapToGrid w:val="0"/>
                      <w:color w:val="auto"/>
                      <w:kern w:val="0"/>
                      <w:szCs w:val="21"/>
                    </w:rPr>
                    <w:t>/</w:t>
                  </w:r>
                </w:p>
              </w:tc>
              <w:tc>
                <w:tcPr>
                  <w:tcW w:w="524" w:type="pct"/>
                  <w:vAlign w:val="center"/>
                </w:tcPr>
                <w:p>
                  <w:pPr>
                    <w:widowControl/>
                    <w:spacing w:before="100" w:beforeAutospacing="1" w:after="100" w:afterAutospacing="1" w:line="240" w:lineRule="exact"/>
                    <w:jc w:val="center"/>
                    <w:rPr>
                      <w:snapToGrid w:val="0"/>
                      <w:color w:val="auto"/>
                      <w:kern w:val="0"/>
                      <w:szCs w:val="21"/>
                    </w:rPr>
                  </w:pPr>
                  <w:r>
                    <w:rPr>
                      <w:color w:val="auto"/>
                    </w:rPr>
                    <w:t>回用于生产</w:t>
                  </w:r>
                </w:p>
              </w:tc>
              <w:tc>
                <w:tcPr>
                  <w:tcW w:w="536" w:type="pct"/>
                  <w:vAlign w:val="center"/>
                </w:tcPr>
                <w:p>
                  <w:pPr>
                    <w:widowControl/>
                    <w:spacing w:line="240" w:lineRule="exact"/>
                    <w:jc w:val="center"/>
                    <w:rPr>
                      <w:snapToGrid w:val="0"/>
                      <w:color w:val="auto"/>
                      <w:kern w:val="0"/>
                      <w:szCs w:val="21"/>
                    </w:rPr>
                  </w:pPr>
                  <w:r>
                    <w:rPr>
                      <w:rFonts w:hint="eastAsia"/>
                      <w:color w:val="auto"/>
                      <w:lang w:eastAsia="zh-CN"/>
                    </w:rPr>
                    <w:t>0.61t</w:t>
                  </w:r>
                  <w:r>
                    <w:rPr>
                      <w:snapToGrid w:val="0"/>
                      <w:color w:val="auto"/>
                      <w:kern w:val="0"/>
                      <w:szCs w:val="21"/>
                    </w:rPr>
                    <w:t>/a</w:t>
                  </w:r>
                </w:p>
              </w:tc>
              <w:tc>
                <w:tcPr>
                  <w:tcW w:w="372" w:type="pct"/>
                  <w:vMerge w:val="continue"/>
                  <w:vAlign w:val="center"/>
                </w:tcPr>
                <w:p>
                  <w:pPr>
                    <w:widowControl/>
                    <w:spacing w:before="100" w:beforeAutospacing="1" w:after="100" w:afterAutospacing="1" w:line="240" w:lineRule="exact"/>
                    <w:jc w:val="center"/>
                    <w:rPr>
                      <w:snapToGrid w:val="0"/>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41" w:hRule="atLeast"/>
                <w:jc w:val="center"/>
              </w:trPr>
              <w:tc>
                <w:tcPr>
                  <w:tcW w:w="200" w:type="pct"/>
                  <w:vAlign w:val="center"/>
                </w:tcPr>
                <w:p>
                  <w:pPr>
                    <w:widowControl/>
                    <w:spacing w:before="100" w:beforeAutospacing="1" w:after="100" w:afterAutospacing="1" w:line="240" w:lineRule="exact"/>
                    <w:jc w:val="center"/>
                    <w:rPr>
                      <w:snapToGrid w:val="0"/>
                      <w:color w:val="auto"/>
                      <w:kern w:val="0"/>
                      <w:szCs w:val="21"/>
                    </w:rPr>
                  </w:pPr>
                  <w:r>
                    <w:rPr>
                      <w:snapToGrid w:val="0"/>
                      <w:color w:val="auto"/>
                      <w:kern w:val="0"/>
                      <w:szCs w:val="21"/>
                    </w:rPr>
                    <w:t>3</w:t>
                  </w:r>
                </w:p>
              </w:tc>
              <w:tc>
                <w:tcPr>
                  <w:tcW w:w="377" w:type="pct"/>
                  <w:vAlign w:val="center"/>
                </w:tcPr>
                <w:p>
                  <w:pPr>
                    <w:widowControl/>
                    <w:spacing w:before="100" w:beforeAutospacing="1" w:after="100" w:afterAutospacing="1" w:line="240" w:lineRule="exact"/>
                    <w:jc w:val="center"/>
                    <w:rPr>
                      <w:snapToGrid w:val="0"/>
                      <w:color w:val="auto"/>
                      <w:kern w:val="0"/>
                      <w:szCs w:val="21"/>
                    </w:rPr>
                  </w:pPr>
                  <w:r>
                    <w:rPr>
                      <w:snapToGrid w:val="0"/>
                      <w:color w:val="auto"/>
                      <w:kern w:val="0"/>
                      <w:szCs w:val="21"/>
                    </w:rPr>
                    <w:t>办公</w:t>
                  </w:r>
                </w:p>
              </w:tc>
              <w:tc>
                <w:tcPr>
                  <w:tcW w:w="433" w:type="pct"/>
                  <w:vAlign w:val="center"/>
                </w:tcPr>
                <w:p>
                  <w:pPr>
                    <w:widowControl/>
                    <w:spacing w:before="100" w:beforeAutospacing="1" w:after="100" w:afterAutospacing="1" w:line="240" w:lineRule="exact"/>
                    <w:jc w:val="center"/>
                    <w:rPr>
                      <w:snapToGrid w:val="0"/>
                      <w:color w:val="auto"/>
                      <w:kern w:val="0"/>
                      <w:szCs w:val="21"/>
                    </w:rPr>
                  </w:pPr>
                  <w:r>
                    <w:rPr>
                      <w:snapToGrid w:val="0"/>
                      <w:color w:val="auto"/>
                      <w:kern w:val="0"/>
                      <w:szCs w:val="21"/>
                    </w:rPr>
                    <w:t>生活垃圾</w:t>
                  </w:r>
                </w:p>
              </w:tc>
              <w:tc>
                <w:tcPr>
                  <w:tcW w:w="615" w:type="pct"/>
                  <w:vAlign w:val="center"/>
                </w:tcPr>
                <w:p>
                  <w:pPr>
                    <w:widowControl/>
                    <w:spacing w:before="100" w:beforeAutospacing="1" w:after="100" w:afterAutospacing="1" w:line="240" w:lineRule="exact"/>
                    <w:jc w:val="center"/>
                    <w:rPr>
                      <w:snapToGrid w:val="0"/>
                      <w:color w:val="auto"/>
                      <w:kern w:val="0"/>
                      <w:szCs w:val="21"/>
                    </w:rPr>
                  </w:pPr>
                  <w:r>
                    <w:rPr>
                      <w:color w:val="auto"/>
                      <w:szCs w:val="21"/>
                    </w:rPr>
                    <w:t>900-999-99</w:t>
                  </w:r>
                </w:p>
              </w:tc>
              <w:tc>
                <w:tcPr>
                  <w:tcW w:w="450" w:type="pct"/>
                  <w:vAlign w:val="center"/>
                </w:tcPr>
                <w:p>
                  <w:pPr>
                    <w:widowControl/>
                    <w:spacing w:before="100" w:beforeAutospacing="1" w:after="100" w:afterAutospacing="1" w:line="240" w:lineRule="exact"/>
                    <w:jc w:val="center"/>
                    <w:rPr>
                      <w:snapToGrid w:val="0"/>
                      <w:color w:val="auto"/>
                      <w:kern w:val="0"/>
                      <w:szCs w:val="21"/>
                    </w:rPr>
                  </w:pPr>
                  <w:r>
                    <w:rPr>
                      <w:snapToGrid w:val="0"/>
                      <w:color w:val="auto"/>
                      <w:kern w:val="0"/>
                      <w:szCs w:val="21"/>
                    </w:rPr>
                    <w:t>/</w:t>
                  </w:r>
                </w:p>
              </w:tc>
              <w:tc>
                <w:tcPr>
                  <w:tcW w:w="245" w:type="pct"/>
                  <w:vAlign w:val="center"/>
                </w:tcPr>
                <w:p>
                  <w:pPr>
                    <w:widowControl/>
                    <w:spacing w:before="100" w:beforeAutospacing="1" w:after="100" w:afterAutospacing="1" w:line="240" w:lineRule="exact"/>
                    <w:jc w:val="center"/>
                    <w:rPr>
                      <w:snapToGrid w:val="0"/>
                      <w:color w:val="auto"/>
                      <w:kern w:val="0"/>
                      <w:szCs w:val="21"/>
                    </w:rPr>
                  </w:pPr>
                  <w:r>
                    <w:rPr>
                      <w:snapToGrid w:val="0"/>
                      <w:color w:val="auto"/>
                      <w:kern w:val="0"/>
                      <w:szCs w:val="21"/>
                    </w:rPr>
                    <w:t>固废</w:t>
                  </w:r>
                </w:p>
              </w:tc>
              <w:tc>
                <w:tcPr>
                  <w:tcW w:w="364" w:type="pct"/>
                  <w:vAlign w:val="center"/>
                </w:tcPr>
                <w:p>
                  <w:pPr>
                    <w:widowControl/>
                    <w:spacing w:before="100" w:beforeAutospacing="1" w:after="100" w:afterAutospacing="1" w:line="240" w:lineRule="exact"/>
                    <w:jc w:val="center"/>
                    <w:rPr>
                      <w:snapToGrid w:val="0"/>
                      <w:color w:val="auto"/>
                      <w:kern w:val="0"/>
                      <w:szCs w:val="21"/>
                    </w:rPr>
                  </w:pPr>
                  <w:r>
                    <w:rPr>
                      <w:snapToGrid w:val="0"/>
                      <w:color w:val="auto"/>
                      <w:kern w:val="0"/>
                      <w:szCs w:val="21"/>
                    </w:rPr>
                    <w:t>/</w:t>
                  </w:r>
                </w:p>
              </w:tc>
              <w:tc>
                <w:tcPr>
                  <w:tcW w:w="445" w:type="pct"/>
                  <w:vAlign w:val="center"/>
                </w:tcPr>
                <w:p>
                  <w:pPr>
                    <w:widowControl/>
                    <w:spacing w:before="100" w:beforeAutospacing="1" w:after="100" w:afterAutospacing="1" w:line="240" w:lineRule="exact"/>
                    <w:jc w:val="center"/>
                    <w:rPr>
                      <w:snapToGrid w:val="0"/>
                      <w:color w:val="auto"/>
                      <w:kern w:val="0"/>
                      <w:szCs w:val="21"/>
                    </w:rPr>
                  </w:pPr>
                  <w:r>
                    <w:rPr>
                      <w:snapToGrid w:val="0"/>
                      <w:color w:val="auto"/>
                      <w:kern w:val="0"/>
                      <w:szCs w:val="21"/>
                    </w:rPr>
                    <w:t>6.75t/a</w:t>
                  </w:r>
                </w:p>
              </w:tc>
              <w:tc>
                <w:tcPr>
                  <w:tcW w:w="433" w:type="pct"/>
                  <w:vAlign w:val="center"/>
                </w:tcPr>
                <w:p>
                  <w:pPr>
                    <w:widowControl/>
                    <w:spacing w:before="100" w:beforeAutospacing="1" w:after="100" w:afterAutospacing="1" w:line="240" w:lineRule="exact"/>
                    <w:jc w:val="center"/>
                    <w:rPr>
                      <w:snapToGrid w:val="0"/>
                      <w:color w:val="auto"/>
                      <w:kern w:val="0"/>
                      <w:szCs w:val="21"/>
                    </w:rPr>
                  </w:pPr>
                  <w:r>
                    <w:rPr>
                      <w:snapToGrid w:val="0"/>
                      <w:color w:val="auto"/>
                      <w:kern w:val="0"/>
                      <w:szCs w:val="21"/>
                    </w:rPr>
                    <w:t>/</w:t>
                  </w:r>
                </w:p>
              </w:tc>
              <w:tc>
                <w:tcPr>
                  <w:tcW w:w="524" w:type="pct"/>
                  <w:vAlign w:val="center"/>
                </w:tcPr>
                <w:p>
                  <w:pPr>
                    <w:widowControl/>
                    <w:spacing w:before="100" w:beforeAutospacing="1" w:after="100" w:afterAutospacing="1" w:line="240" w:lineRule="exact"/>
                    <w:jc w:val="center"/>
                    <w:rPr>
                      <w:snapToGrid w:val="0"/>
                      <w:color w:val="auto"/>
                      <w:kern w:val="0"/>
                      <w:szCs w:val="21"/>
                    </w:rPr>
                  </w:pPr>
                  <w:r>
                    <w:rPr>
                      <w:snapToGrid w:val="0"/>
                      <w:color w:val="auto"/>
                      <w:kern w:val="0"/>
                      <w:szCs w:val="21"/>
                    </w:rPr>
                    <w:t>收集后交由当地环卫部门处置</w:t>
                  </w:r>
                </w:p>
              </w:tc>
              <w:tc>
                <w:tcPr>
                  <w:tcW w:w="536" w:type="pct"/>
                  <w:vAlign w:val="center"/>
                </w:tcPr>
                <w:p>
                  <w:pPr>
                    <w:widowControl/>
                    <w:spacing w:before="100" w:beforeAutospacing="1" w:after="100" w:afterAutospacing="1" w:line="240" w:lineRule="exact"/>
                    <w:jc w:val="center"/>
                    <w:rPr>
                      <w:snapToGrid w:val="0"/>
                      <w:color w:val="auto"/>
                      <w:kern w:val="0"/>
                      <w:szCs w:val="21"/>
                    </w:rPr>
                  </w:pPr>
                  <w:r>
                    <w:rPr>
                      <w:snapToGrid w:val="0"/>
                      <w:color w:val="auto"/>
                      <w:kern w:val="0"/>
                      <w:szCs w:val="21"/>
                    </w:rPr>
                    <w:t>6.75t/a</w:t>
                  </w:r>
                </w:p>
              </w:tc>
              <w:tc>
                <w:tcPr>
                  <w:tcW w:w="372" w:type="pct"/>
                  <w:vMerge w:val="continue"/>
                  <w:vAlign w:val="center"/>
                </w:tcPr>
                <w:p>
                  <w:pPr>
                    <w:widowControl/>
                    <w:spacing w:before="100" w:beforeAutospacing="1" w:after="100" w:afterAutospacing="1" w:line="240" w:lineRule="exact"/>
                    <w:jc w:val="center"/>
                    <w:rPr>
                      <w:snapToGrid w:val="0"/>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200" w:type="pct"/>
                  <w:vAlign w:val="center"/>
                </w:tcPr>
                <w:p>
                  <w:pPr>
                    <w:widowControl/>
                    <w:spacing w:before="100" w:beforeAutospacing="1" w:after="100" w:afterAutospacing="1" w:line="240" w:lineRule="exact"/>
                    <w:jc w:val="center"/>
                    <w:rPr>
                      <w:snapToGrid w:val="0"/>
                      <w:color w:val="auto"/>
                      <w:kern w:val="0"/>
                      <w:szCs w:val="21"/>
                    </w:rPr>
                  </w:pPr>
                  <w:r>
                    <w:rPr>
                      <w:snapToGrid w:val="0"/>
                      <w:color w:val="auto"/>
                      <w:kern w:val="0"/>
                      <w:szCs w:val="21"/>
                    </w:rPr>
                    <w:t>4</w:t>
                  </w:r>
                </w:p>
              </w:tc>
              <w:tc>
                <w:tcPr>
                  <w:tcW w:w="377" w:type="pct"/>
                  <w:vAlign w:val="center"/>
                </w:tcPr>
                <w:p>
                  <w:pPr>
                    <w:widowControl/>
                    <w:spacing w:before="100" w:beforeAutospacing="1" w:after="100" w:afterAutospacing="1" w:line="240" w:lineRule="exact"/>
                    <w:jc w:val="center"/>
                    <w:rPr>
                      <w:snapToGrid w:val="0"/>
                      <w:color w:val="auto"/>
                      <w:kern w:val="0"/>
                      <w:szCs w:val="21"/>
                    </w:rPr>
                  </w:pPr>
                  <w:r>
                    <w:rPr>
                      <w:snapToGrid w:val="0"/>
                      <w:color w:val="auto"/>
                      <w:kern w:val="0"/>
                      <w:szCs w:val="21"/>
                    </w:rPr>
                    <w:t>生活</w:t>
                  </w:r>
                </w:p>
              </w:tc>
              <w:tc>
                <w:tcPr>
                  <w:tcW w:w="433" w:type="pct"/>
                  <w:vAlign w:val="center"/>
                </w:tcPr>
                <w:p>
                  <w:pPr>
                    <w:widowControl/>
                    <w:spacing w:before="100" w:beforeAutospacing="1" w:after="100" w:afterAutospacing="1" w:line="240" w:lineRule="exact"/>
                    <w:jc w:val="center"/>
                    <w:rPr>
                      <w:snapToGrid w:val="0"/>
                      <w:color w:val="auto"/>
                      <w:kern w:val="0"/>
                      <w:szCs w:val="21"/>
                    </w:rPr>
                  </w:pPr>
                  <w:r>
                    <w:rPr>
                      <w:color w:val="auto"/>
                    </w:rPr>
                    <w:t>化粪池污泥</w:t>
                  </w:r>
                </w:p>
              </w:tc>
              <w:tc>
                <w:tcPr>
                  <w:tcW w:w="615" w:type="pct"/>
                  <w:vAlign w:val="center"/>
                </w:tcPr>
                <w:p>
                  <w:pPr>
                    <w:widowControl/>
                    <w:spacing w:before="100" w:beforeAutospacing="1" w:after="100" w:afterAutospacing="1" w:line="240" w:lineRule="exact"/>
                    <w:jc w:val="center"/>
                    <w:rPr>
                      <w:snapToGrid w:val="0"/>
                      <w:color w:val="auto"/>
                      <w:kern w:val="0"/>
                      <w:szCs w:val="21"/>
                    </w:rPr>
                  </w:pPr>
                  <w:r>
                    <w:rPr>
                      <w:color w:val="auto"/>
                      <w:szCs w:val="21"/>
                    </w:rPr>
                    <w:t>900-999-99</w:t>
                  </w:r>
                </w:p>
              </w:tc>
              <w:tc>
                <w:tcPr>
                  <w:tcW w:w="450" w:type="pct"/>
                  <w:vAlign w:val="center"/>
                </w:tcPr>
                <w:p>
                  <w:pPr>
                    <w:widowControl/>
                    <w:spacing w:before="100" w:beforeAutospacing="1" w:after="100" w:afterAutospacing="1" w:line="240" w:lineRule="exact"/>
                    <w:jc w:val="center"/>
                    <w:rPr>
                      <w:snapToGrid w:val="0"/>
                      <w:color w:val="auto"/>
                      <w:kern w:val="0"/>
                      <w:szCs w:val="21"/>
                    </w:rPr>
                  </w:pPr>
                  <w:r>
                    <w:rPr>
                      <w:snapToGrid w:val="0"/>
                      <w:color w:val="auto"/>
                      <w:kern w:val="0"/>
                      <w:szCs w:val="21"/>
                    </w:rPr>
                    <w:t>/</w:t>
                  </w:r>
                </w:p>
              </w:tc>
              <w:tc>
                <w:tcPr>
                  <w:tcW w:w="245" w:type="pct"/>
                  <w:vAlign w:val="center"/>
                </w:tcPr>
                <w:p>
                  <w:pPr>
                    <w:widowControl/>
                    <w:spacing w:before="100" w:beforeAutospacing="1" w:after="100" w:afterAutospacing="1" w:line="240" w:lineRule="exact"/>
                    <w:jc w:val="center"/>
                    <w:rPr>
                      <w:snapToGrid w:val="0"/>
                      <w:color w:val="auto"/>
                      <w:kern w:val="0"/>
                      <w:szCs w:val="21"/>
                    </w:rPr>
                  </w:pPr>
                  <w:r>
                    <w:rPr>
                      <w:snapToGrid w:val="0"/>
                      <w:color w:val="auto"/>
                      <w:kern w:val="0"/>
                      <w:szCs w:val="21"/>
                    </w:rPr>
                    <w:t>半固态</w:t>
                  </w:r>
                </w:p>
              </w:tc>
              <w:tc>
                <w:tcPr>
                  <w:tcW w:w="364" w:type="pct"/>
                  <w:vAlign w:val="center"/>
                </w:tcPr>
                <w:p>
                  <w:pPr>
                    <w:widowControl/>
                    <w:spacing w:before="100" w:beforeAutospacing="1" w:after="100" w:afterAutospacing="1" w:line="240" w:lineRule="exact"/>
                    <w:jc w:val="center"/>
                    <w:rPr>
                      <w:snapToGrid w:val="0"/>
                      <w:color w:val="auto"/>
                      <w:kern w:val="0"/>
                      <w:szCs w:val="21"/>
                    </w:rPr>
                  </w:pPr>
                  <w:r>
                    <w:rPr>
                      <w:snapToGrid w:val="0"/>
                      <w:color w:val="auto"/>
                      <w:kern w:val="0"/>
                      <w:szCs w:val="21"/>
                    </w:rPr>
                    <w:t>/</w:t>
                  </w:r>
                </w:p>
              </w:tc>
              <w:tc>
                <w:tcPr>
                  <w:tcW w:w="445" w:type="pct"/>
                  <w:vAlign w:val="center"/>
                </w:tcPr>
                <w:p>
                  <w:pPr>
                    <w:widowControl/>
                    <w:spacing w:before="100" w:beforeAutospacing="1" w:after="100" w:afterAutospacing="1" w:line="240" w:lineRule="exact"/>
                    <w:jc w:val="center"/>
                    <w:rPr>
                      <w:snapToGrid w:val="0"/>
                      <w:color w:val="auto"/>
                      <w:kern w:val="0"/>
                      <w:szCs w:val="21"/>
                    </w:rPr>
                  </w:pPr>
                  <w:r>
                    <w:rPr>
                      <w:snapToGrid w:val="0"/>
                      <w:color w:val="auto"/>
                      <w:kern w:val="0"/>
                      <w:szCs w:val="21"/>
                    </w:rPr>
                    <w:t>0.054t/a</w:t>
                  </w:r>
                </w:p>
              </w:tc>
              <w:tc>
                <w:tcPr>
                  <w:tcW w:w="433" w:type="pct"/>
                  <w:vAlign w:val="center"/>
                </w:tcPr>
                <w:p>
                  <w:pPr>
                    <w:widowControl/>
                    <w:spacing w:before="100" w:beforeAutospacing="1" w:after="100" w:afterAutospacing="1" w:line="240" w:lineRule="exact"/>
                    <w:jc w:val="center"/>
                    <w:rPr>
                      <w:snapToGrid w:val="0"/>
                      <w:color w:val="auto"/>
                      <w:kern w:val="0"/>
                      <w:szCs w:val="21"/>
                    </w:rPr>
                  </w:pPr>
                  <w:r>
                    <w:rPr>
                      <w:snapToGrid w:val="0"/>
                      <w:color w:val="auto"/>
                      <w:kern w:val="0"/>
                      <w:szCs w:val="21"/>
                    </w:rPr>
                    <w:t>/</w:t>
                  </w:r>
                </w:p>
              </w:tc>
              <w:tc>
                <w:tcPr>
                  <w:tcW w:w="524" w:type="pct"/>
                  <w:vAlign w:val="center"/>
                </w:tcPr>
                <w:p>
                  <w:pPr>
                    <w:widowControl/>
                    <w:spacing w:before="100" w:beforeAutospacing="1" w:after="100" w:afterAutospacing="1" w:line="240" w:lineRule="exact"/>
                    <w:jc w:val="center"/>
                    <w:rPr>
                      <w:snapToGrid w:val="0"/>
                      <w:color w:val="auto"/>
                      <w:kern w:val="0"/>
                      <w:szCs w:val="21"/>
                    </w:rPr>
                  </w:pPr>
                  <w:r>
                    <w:rPr>
                      <w:color w:val="auto"/>
                    </w:rPr>
                    <w:t>定期清掏用于周边农田施肥</w:t>
                  </w:r>
                </w:p>
              </w:tc>
              <w:tc>
                <w:tcPr>
                  <w:tcW w:w="536" w:type="pct"/>
                  <w:vAlign w:val="center"/>
                </w:tcPr>
                <w:p>
                  <w:pPr>
                    <w:widowControl/>
                    <w:spacing w:before="100" w:beforeAutospacing="1" w:after="100" w:afterAutospacing="1" w:line="240" w:lineRule="exact"/>
                    <w:jc w:val="center"/>
                    <w:rPr>
                      <w:snapToGrid w:val="0"/>
                      <w:color w:val="auto"/>
                      <w:kern w:val="0"/>
                      <w:szCs w:val="21"/>
                    </w:rPr>
                  </w:pPr>
                  <w:r>
                    <w:rPr>
                      <w:rFonts w:hint="eastAsia"/>
                      <w:snapToGrid w:val="0"/>
                      <w:color w:val="auto"/>
                      <w:kern w:val="0"/>
                      <w:szCs w:val="21"/>
                      <w:lang w:val="en-US" w:eastAsia="zh-CN"/>
                    </w:rPr>
                    <w:t>0.054</w:t>
                  </w:r>
                  <w:r>
                    <w:rPr>
                      <w:snapToGrid w:val="0"/>
                      <w:color w:val="auto"/>
                      <w:kern w:val="0"/>
                      <w:szCs w:val="21"/>
                    </w:rPr>
                    <w:t>t/a</w:t>
                  </w:r>
                </w:p>
              </w:tc>
              <w:tc>
                <w:tcPr>
                  <w:tcW w:w="372" w:type="pct"/>
                  <w:vMerge w:val="continue"/>
                  <w:vAlign w:val="center"/>
                </w:tcPr>
                <w:p>
                  <w:pPr>
                    <w:widowControl/>
                    <w:spacing w:before="100" w:beforeAutospacing="1" w:after="100" w:afterAutospacing="1" w:line="240" w:lineRule="exact"/>
                    <w:jc w:val="center"/>
                    <w:rPr>
                      <w:snapToGrid w:val="0"/>
                      <w:color w:val="auto"/>
                      <w:kern w:val="0"/>
                      <w:szCs w:val="21"/>
                    </w:rPr>
                  </w:pPr>
                </w:p>
              </w:tc>
            </w:tr>
          </w:tbl>
          <w:p>
            <w:pPr>
              <w:adjustRightInd w:val="0"/>
              <w:snapToGrid w:val="0"/>
              <w:spacing w:line="360" w:lineRule="auto"/>
              <w:ind w:firstLine="482" w:firstLineChars="200"/>
              <w:rPr>
                <w:b/>
                <w:color w:val="auto"/>
                <w:sz w:val="24"/>
              </w:rPr>
            </w:pPr>
            <w:r>
              <w:rPr>
                <w:b/>
                <w:color w:val="auto"/>
                <w:sz w:val="24"/>
              </w:rPr>
              <w:t>环境管理要求：</w:t>
            </w:r>
          </w:p>
          <w:p>
            <w:pPr>
              <w:adjustRightInd w:val="0"/>
              <w:snapToGrid w:val="0"/>
              <w:spacing w:line="360" w:lineRule="auto"/>
              <w:ind w:firstLine="480" w:firstLineChars="200"/>
              <w:rPr>
                <w:bCs/>
                <w:color w:val="auto"/>
                <w:sz w:val="24"/>
              </w:rPr>
            </w:pPr>
            <w:r>
              <w:rPr>
                <w:bCs/>
                <w:color w:val="auto"/>
                <w:sz w:val="24"/>
              </w:rPr>
              <w:t>建设单位应该及时收集</w:t>
            </w:r>
            <w:r>
              <w:rPr>
                <w:rFonts w:hint="eastAsia"/>
                <w:bCs/>
                <w:color w:val="auto"/>
                <w:sz w:val="24"/>
                <w:lang w:eastAsia="zh-CN"/>
              </w:rPr>
              <w:t>本项目</w:t>
            </w:r>
            <w:r>
              <w:rPr>
                <w:bCs/>
                <w:color w:val="auto"/>
                <w:sz w:val="24"/>
              </w:rPr>
              <w:t>产生的固体废弃物，并分类暂存利用；应建立固废的暂时贮存设施、设备，不得露天存放一般固废。</w:t>
            </w:r>
          </w:p>
          <w:p>
            <w:pPr>
              <w:adjustRightInd w:val="0"/>
              <w:snapToGrid w:val="0"/>
              <w:spacing w:line="360" w:lineRule="auto"/>
              <w:ind w:firstLine="482" w:firstLineChars="200"/>
              <w:rPr>
                <w:b/>
                <w:bCs/>
                <w:color w:val="auto"/>
                <w:sz w:val="24"/>
              </w:rPr>
            </w:pPr>
            <w:r>
              <w:rPr>
                <w:b/>
                <w:bCs/>
                <w:color w:val="auto"/>
                <w:sz w:val="24"/>
              </w:rPr>
              <w:t>5、地下水</w:t>
            </w:r>
          </w:p>
          <w:p>
            <w:pPr>
              <w:adjustRightInd w:val="0"/>
              <w:snapToGrid w:val="0"/>
              <w:spacing w:line="360" w:lineRule="auto"/>
              <w:ind w:firstLine="480" w:firstLineChars="200"/>
              <w:rPr>
                <w:color w:val="auto"/>
                <w:sz w:val="24"/>
              </w:rPr>
            </w:pPr>
            <w:r>
              <w:rPr>
                <w:color w:val="auto"/>
                <w:sz w:val="24"/>
              </w:rPr>
              <w:t>本项目无废水外排。</w:t>
            </w:r>
          </w:p>
          <w:p>
            <w:pPr>
              <w:pStyle w:val="40"/>
              <w:widowControl/>
              <w:adjustRightInd w:val="0"/>
              <w:snapToGrid w:val="0"/>
              <w:spacing w:after="0" w:line="360" w:lineRule="auto"/>
              <w:ind w:left="0" w:leftChars="0" w:firstLine="480"/>
              <w:rPr>
                <w:bCs/>
                <w:color w:val="auto"/>
                <w:kern w:val="2"/>
                <w:sz w:val="24"/>
              </w:rPr>
            </w:pPr>
            <w:r>
              <w:rPr>
                <w:bCs/>
                <w:color w:val="auto"/>
                <w:sz w:val="24"/>
              </w:rPr>
              <w:t>根据《环境影响评价技术导则 地下水环境》（HJ610-2016），本项目属于</w:t>
            </w:r>
            <w:r>
              <w:rPr>
                <w:color w:val="auto"/>
                <w:sz w:val="24"/>
              </w:rPr>
              <w:t>非金属矿物制品业中60“砼结构构件制造、商品混凝土加工</w:t>
            </w:r>
            <w:r>
              <w:rPr>
                <w:bCs/>
                <w:color w:val="auto"/>
                <w:sz w:val="24"/>
              </w:rPr>
              <w:t>”，属于Ⅳ类报告表项目，</w:t>
            </w:r>
            <w:r>
              <w:rPr>
                <w:b/>
                <w:color w:val="auto"/>
                <w:sz w:val="24"/>
              </w:rPr>
              <w:t>Ⅳ类可不开展地下水影响评价</w:t>
            </w:r>
            <w:r>
              <w:rPr>
                <w:bCs/>
                <w:color w:val="auto"/>
                <w:sz w:val="24"/>
              </w:rPr>
              <w:t>。</w:t>
            </w:r>
          </w:p>
          <w:p>
            <w:pPr>
              <w:pStyle w:val="40"/>
              <w:widowControl/>
              <w:adjustRightInd w:val="0"/>
              <w:snapToGrid w:val="0"/>
              <w:spacing w:after="0" w:line="360" w:lineRule="auto"/>
              <w:ind w:left="0" w:leftChars="0" w:firstLine="480"/>
              <w:rPr>
                <w:bCs/>
                <w:color w:val="auto"/>
                <w:kern w:val="2"/>
                <w:sz w:val="24"/>
              </w:rPr>
            </w:pPr>
            <w:r>
              <w:rPr>
                <w:bCs/>
                <w:color w:val="auto"/>
                <w:kern w:val="2"/>
                <w:sz w:val="24"/>
              </w:rPr>
              <w:t>本项目</w:t>
            </w:r>
            <w:r>
              <w:rPr>
                <w:bCs/>
                <w:color w:val="auto"/>
                <w:sz w:val="24"/>
              </w:rPr>
              <w:t>环评提出以下</w:t>
            </w:r>
            <w:r>
              <w:rPr>
                <w:bCs/>
                <w:color w:val="auto"/>
                <w:kern w:val="2"/>
                <w:sz w:val="24"/>
              </w:rPr>
              <w:t>地下水污染防治措施和对策：</w:t>
            </w:r>
          </w:p>
          <w:p>
            <w:pPr>
              <w:pStyle w:val="40"/>
              <w:widowControl/>
              <w:adjustRightInd w:val="0"/>
              <w:snapToGrid w:val="0"/>
              <w:spacing w:after="0" w:line="360" w:lineRule="auto"/>
              <w:ind w:left="0" w:leftChars="0" w:firstLine="480"/>
              <w:rPr>
                <w:bCs/>
                <w:color w:val="auto"/>
                <w:kern w:val="2"/>
                <w:sz w:val="24"/>
              </w:rPr>
            </w:pPr>
            <w:r>
              <w:rPr>
                <w:bCs/>
                <w:color w:val="auto"/>
                <w:kern w:val="2"/>
                <w:sz w:val="24"/>
              </w:rPr>
              <w:t>应坚持“源头控制、分区防治、污染监控、应急响应”的原则。项目需进一步强化项目防渗措施，以防止项目区域地下水因项目生产运营而受到污染，本项目应采取的地下水防治措施如下所述。</w:t>
            </w:r>
          </w:p>
          <w:p>
            <w:pPr>
              <w:pStyle w:val="40"/>
              <w:widowControl/>
              <w:adjustRightInd w:val="0"/>
              <w:snapToGrid w:val="0"/>
              <w:spacing w:after="0" w:line="360" w:lineRule="auto"/>
              <w:ind w:left="0" w:leftChars="0" w:firstLine="480"/>
              <w:rPr>
                <w:bCs/>
                <w:color w:val="auto"/>
                <w:kern w:val="2"/>
                <w:sz w:val="24"/>
              </w:rPr>
            </w:pPr>
            <w:r>
              <w:rPr>
                <w:bCs/>
                <w:color w:val="auto"/>
                <w:kern w:val="2"/>
                <w:sz w:val="24"/>
              </w:rPr>
              <w:t>本项目将全厂按物料或者污染物泄漏的途径和生产功能单元所处的位置划分为一般防渗区以及简单防渗区二类地下水污染防治区域：</w:t>
            </w:r>
          </w:p>
          <w:p>
            <w:pPr>
              <w:pStyle w:val="40"/>
              <w:widowControl/>
              <w:adjustRightInd w:val="0"/>
              <w:snapToGrid w:val="0"/>
              <w:spacing w:after="0" w:line="360" w:lineRule="auto"/>
              <w:ind w:left="0" w:leftChars="0" w:firstLine="482"/>
              <w:rPr>
                <w:bCs/>
                <w:color w:val="auto"/>
                <w:kern w:val="2"/>
                <w:sz w:val="24"/>
              </w:rPr>
            </w:pPr>
            <w:r>
              <w:rPr>
                <w:b/>
                <w:color w:val="auto"/>
                <w:kern w:val="2"/>
                <w:sz w:val="24"/>
              </w:rPr>
              <w:t>一般防渗区为：</w:t>
            </w:r>
            <w:r>
              <w:rPr>
                <w:bCs/>
                <w:color w:val="auto"/>
                <w:kern w:val="2"/>
                <w:sz w:val="24"/>
              </w:rPr>
              <w:t>沉淀池、</w:t>
            </w:r>
            <w:r>
              <w:rPr>
                <w:rFonts w:hint="eastAsia"/>
                <w:bCs/>
                <w:color w:val="auto"/>
                <w:kern w:val="2"/>
                <w:sz w:val="24"/>
                <w:lang w:eastAsia="zh-CN"/>
              </w:rPr>
              <w:t>洗车池</w:t>
            </w:r>
          </w:p>
          <w:p>
            <w:pPr>
              <w:pStyle w:val="40"/>
              <w:widowControl/>
              <w:adjustRightInd w:val="0"/>
              <w:snapToGrid w:val="0"/>
              <w:spacing w:after="0" w:line="360" w:lineRule="auto"/>
              <w:ind w:left="0" w:leftChars="0" w:firstLine="482"/>
              <w:rPr>
                <w:bCs/>
                <w:color w:val="auto"/>
                <w:kern w:val="2"/>
                <w:sz w:val="24"/>
              </w:rPr>
            </w:pPr>
            <w:r>
              <w:rPr>
                <w:b/>
                <w:color w:val="auto"/>
                <w:kern w:val="2"/>
                <w:sz w:val="24"/>
              </w:rPr>
              <w:t>简单防渗区为：</w:t>
            </w:r>
            <w:r>
              <w:rPr>
                <w:bCs/>
                <w:color w:val="auto"/>
                <w:kern w:val="2"/>
                <w:sz w:val="24"/>
              </w:rPr>
              <w:t>除以上区域</w:t>
            </w:r>
          </w:p>
          <w:p>
            <w:pPr>
              <w:pStyle w:val="40"/>
              <w:widowControl/>
              <w:adjustRightInd w:val="0"/>
              <w:snapToGrid w:val="0"/>
              <w:spacing w:after="0" w:line="360" w:lineRule="auto"/>
              <w:ind w:left="0" w:leftChars="0" w:firstLine="480"/>
              <w:rPr>
                <w:bCs/>
                <w:color w:val="auto"/>
                <w:kern w:val="2"/>
                <w:sz w:val="24"/>
              </w:rPr>
            </w:pPr>
            <w:r>
              <w:rPr>
                <w:bCs/>
                <w:color w:val="auto"/>
                <w:kern w:val="2"/>
                <w:sz w:val="24"/>
              </w:rPr>
              <w:t>（1）对一般防渗区防渗措施</w:t>
            </w:r>
          </w:p>
          <w:p>
            <w:pPr>
              <w:adjustRightInd w:val="0"/>
              <w:snapToGrid w:val="0"/>
              <w:spacing w:line="360" w:lineRule="auto"/>
              <w:ind w:firstLine="512" w:firstLineChars="200"/>
              <w:rPr>
                <w:bCs/>
                <w:color w:val="auto"/>
                <w:spacing w:val="8"/>
                <w:sz w:val="24"/>
              </w:rPr>
            </w:pPr>
            <w:r>
              <w:rPr>
                <w:bCs/>
                <w:color w:val="auto"/>
                <w:spacing w:val="8"/>
                <w:sz w:val="24"/>
              </w:rPr>
              <w:t>项目一般防渗区为</w:t>
            </w:r>
            <w:r>
              <w:rPr>
                <w:bCs/>
                <w:color w:val="auto"/>
                <w:sz w:val="24"/>
              </w:rPr>
              <w:t>沉淀池、</w:t>
            </w:r>
            <w:r>
              <w:rPr>
                <w:rFonts w:hint="eastAsia"/>
                <w:bCs/>
                <w:color w:val="auto"/>
                <w:sz w:val="24"/>
                <w:lang w:eastAsia="zh-CN"/>
              </w:rPr>
              <w:t>洗车池</w:t>
            </w:r>
            <w:r>
              <w:rPr>
                <w:bCs/>
                <w:color w:val="auto"/>
                <w:sz w:val="24"/>
              </w:rPr>
              <w:t>、化粪池</w:t>
            </w:r>
            <w:r>
              <w:rPr>
                <w:bCs/>
                <w:color w:val="auto"/>
                <w:spacing w:val="8"/>
                <w:sz w:val="24"/>
              </w:rPr>
              <w:t>。防渗技术要求为等效粘土防渗层Mb≥1.5m，K≤10</w:t>
            </w:r>
            <w:r>
              <w:rPr>
                <w:bCs/>
                <w:color w:val="auto"/>
                <w:spacing w:val="8"/>
                <w:sz w:val="24"/>
                <w:vertAlign w:val="superscript"/>
              </w:rPr>
              <w:t>-7</w:t>
            </w:r>
            <w:r>
              <w:rPr>
                <w:bCs/>
                <w:color w:val="auto"/>
                <w:spacing w:val="8"/>
                <w:sz w:val="24"/>
              </w:rPr>
              <w:t>cm/s。建议采取C30防渗混凝土硬化地面、利用粘土碾实回填等措施。</w:t>
            </w:r>
          </w:p>
          <w:p>
            <w:pPr>
              <w:pStyle w:val="40"/>
              <w:widowControl/>
              <w:adjustRightInd w:val="0"/>
              <w:snapToGrid w:val="0"/>
              <w:spacing w:after="0" w:line="360" w:lineRule="auto"/>
              <w:ind w:left="0" w:leftChars="0" w:firstLine="480"/>
              <w:rPr>
                <w:bCs/>
                <w:color w:val="auto"/>
                <w:kern w:val="2"/>
                <w:sz w:val="24"/>
              </w:rPr>
            </w:pPr>
            <w:r>
              <w:rPr>
                <w:bCs/>
                <w:color w:val="auto"/>
                <w:kern w:val="2"/>
                <w:sz w:val="24"/>
              </w:rPr>
              <w:t>（2）对简单污染区防渗措施</w:t>
            </w:r>
          </w:p>
          <w:p>
            <w:pPr>
              <w:adjustRightInd w:val="0"/>
              <w:snapToGrid w:val="0"/>
              <w:spacing w:line="360" w:lineRule="auto"/>
              <w:ind w:firstLine="512" w:firstLineChars="200"/>
              <w:rPr>
                <w:bCs/>
                <w:color w:val="auto"/>
                <w:spacing w:val="8"/>
                <w:sz w:val="24"/>
              </w:rPr>
            </w:pPr>
            <w:r>
              <w:rPr>
                <w:bCs/>
                <w:color w:val="auto"/>
                <w:spacing w:val="8"/>
                <w:sz w:val="24"/>
              </w:rPr>
              <w:t>项目简单防渗区为厂区办公区、道路，防渗技术要求为一般地面硬化。</w:t>
            </w:r>
          </w:p>
          <w:p>
            <w:pPr>
              <w:adjustRightInd w:val="0"/>
              <w:snapToGrid w:val="0"/>
              <w:spacing w:line="360" w:lineRule="auto"/>
              <w:ind w:firstLine="480" w:firstLineChars="200"/>
              <w:rPr>
                <w:bCs/>
                <w:color w:val="auto"/>
                <w:sz w:val="24"/>
              </w:rPr>
            </w:pPr>
            <w:r>
              <w:rPr>
                <w:bCs/>
                <w:color w:val="auto"/>
                <w:sz w:val="24"/>
              </w:rPr>
              <w:t>（3）其他管理要求</w:t>
            </w:r>
          </w:p>
          <w:p>
            <w:pPr>
              <w:adjustRightInd w:val="0"/>
              <w:snapToGrid w:val="0"/>
              <w:spacing w:line="360" w:lineRule="auto"/>
              <w:ind w:firstLine="512" w:firstLineChars="200"/>
              <w:rPr>
                <w:bCs/>
                <w:color w:val="auto"/>
                <w:spacing w:val="8"/>
                <w:sz w:val="24"/>
              </w:rPr>
            </w:pPr>
            <w:r>
              <w:rPr>
                <w:bCs/>
                <w:color w:val="auto"/>
                <w:spacing w:val="8"/>
                <w:sz w:val="24"/>
              </w:rPr>
              <w:t>①杜绝生产过程中液体跑、冒、滴、漏等，并定期进行检漏监测及检修；</w:t>
            </w:r>
          </w:p>
          <w:p>
            <w:pPr>
              <w:adjustRightInd w:val="0"/>
              <w:snapToGrid w:val="0"/>
              <w:spacing w:line="360" w:lineRule="auto"/>
              <w:ind w:firstLine="512" w:firstLineChars="200"/>
              <w:rPr>
                <w:bCs/>
                <w:color w:val="auto"/>
                <w:spacing w:val="8"/>
                <w:sz w:val="24"/>
              </w:rPr>
            </w:pPr>
            <w:r>
              <w:rPr>
                <w:bCs/>
                <w:color w:val="auto"/>
                <w:spacing w:val="8"/>
                <w:sz w:val="24"/>
              </w:rPr>
              <w:t>②加强项目区的污水、固废管理，确保不发生渗漏，避免污水、固废进入地下水体。</w:t>
            </w:r>
          </w:p>
          <w:p>
            <w:pPr>
              <w:adjustRightInd w:val="0"/>
              <w:snapToGrid w:val="0"/>
              <w:spacing w:line="360" w:lineRule="auto"/>
              <w:ind w:firstLine="512" w:firstLineChars="200"/>
              <w:rPr>
                <w:bCs/>
                <w:color w:val="auto"/>
                <w:spacing w:val="8"/>
                <w:sz w:val="24"/>
              </w:rPr>
            </w:pPr>
            <w:r>
              <w:rPr>
                <w:bCs/>
                <w:color w:val="auto"/>
                <w:spacing w:val="8"/>
                <w:sz w:val="24"/>
              </w:rPr>
              <w:t>③制定地下水风险事故应急预案，事故状态确保防控体系的有效运行。</w:t>
            </w:r>
          </w:p>
          <w:p>
            <w:pPr>
              <w:adjustRightInd w:val="0"/>
              <w:snapToGrid w:val="0"/>
              <w:spacing w:line="360" w:lineRule="auto"/>
              <w:ind w:firstLine="512" w:firstLineChars="200"/>
              <w:rPr>
                <w:bCs/>
                <w:color w:val="auto"/>
                <w:spacing w:val="8"/>
                <w:sz w:val="24"/>
              </w:rPr>
            </w:pPr>
            <w:r>
              <w:rPr>
                <w:bCs/>
                <w:color w:val="auto"/>
                <w:spacing w:val="8"/>
                <w:sz w:val="24"/>
              </w:rPr>
              <w:t>④项目防渗工程须定期进行检漏监测。</w:t>
            </w:r>
          </w:p>
          <w:p>
            <w:pPr>
              <w:adjustRightInd w:val="0"/>
              <w:snapToGrid w:val="0"/>
              <w:spacing w:line="360" w:lineRule="auto"/>
              <w:ind w:firstLine="512" w:firstLineChars="200"/>
              <w:rPr>
                <w:bCs/>
                <w:color w:val="auto"/>
                <w:sz w:val="24"/>
              </w:rPr>
            </w:pPr>
            <w:r>
              <w:rPr>
                <w:bCs/>
                <w:color w:val="auto"/>
                <w:spacing w:val="8"/>
                <w:sz w:val="24"/>
              </w:rPr>
              <w:t>综上，项目采取以上措施进行治理后对地下水环境影响较小。</w:t>
            </w:r>
          </w:p>
          <w:p>
            <w:pPr>
              <w:adjustRightInd w:val="0"/>
              <w:snapToGrid w:val="0"/>
              <w:spacing w:line="360" w:lineRule="auto"/>
              <w:ind w:firstLine="482" w:firstLineChars="200"/>
              <w:rPr>
                <w:b/>
                <w:bCs/>
                <w:color w:val="auto"/>
                <w:sz w:val="24"/>
              </w:rPr>
            </w:pPr>
            <w:r>
              <w:rPr>
                <w:b/>
                <w:bCs/>
                <w:color w:val="auto"/>
                <w:sz w:val="24"/>
              </w:rPr>
              <w:t>6、土壤</w:t>
            </w:r>
          </w:p>
          <w:p>
            <w:pPr>
              <w:adjustRightInd w:val="0"/>
              <w:snapToGrid w:val="0"/>
              <w:spacing w:line="360" w:lineRule="auto"/>
              <w:ind w:firstLine="480" w:firstLineChars="200"/>
              <w:rPr>
                <w:color w:val="auto"/>
                <w:sz w:val="24"/>
              </w:rPr>
            </w:pPr>
            <w:r>
              <w:rPr>
                <w:color w:val="auto"/>
                <w:sz w:val="24"/>
              </w:rPr>
              <w:t>项目营运期大气污染物主要为运输车辆的动力起尘、砂石堆料场起尘、铲车投料粉尘、物料输送粉尘、筒仓呼吸粉尘、搅拌机拌料粉尘、燃油废气、汽车尾气。筒仓呼吸粉尘经仓顶除尘器处理后</w:t>
            </w:r>
            <w:r>
              <w:rPr>
                <w:rFonts w:hint="eastAsia"/>
                <w:color w:val="auto"/>
                <w:sz w:val="24"/>
                <w:lang w:eastAsia="zh-CN"/>
              </w:rPr>
              <w:t>在厂房内排放</w:t>
            </w:r>
            <w:r>
              <w:rPr>
                <w:color w:val="auto"/>
                <w:sz w:val="24"/>
              </w:rPr>
              <w:t>；搅拌机输送计量、抽料都是密闭的系统，粉尘产生量较小；另外，建设单位通过封闭搅拌楼、封闭皮带运输廊道、以仓库形式建设堆仓堆放骨料、地面硬化、洒水降尘等措施，能大大减小扬尘的排放。燃油废气、汽车尾气经大气环境的稀释，对周围大气环境影响较小。建设单位通过上述措施减少大气污染物排放，进而减少污染物大气沉降。</w:t>
            </w:r>
          </w:p>
          <w:p>
            <w:pPr>
              <w:adjustRightInd w:val="0"/>
              <w:snapToGrid w:val="0"/>
              <w:spacing w:line="360" w:lineRule="auto"/>
              <w:ind w:firstLine="480" w:firstLineChars="200"/>
              <w:rPr>
                <w:color w:val="auto"/>
                <w:sz w:val="24"/>
              </w:rPr>
            </w:pPr>
            <w:r>
              <w:rPr>
                <w:color w:val="auto"/>
                <w:sz w:val="24"/>
              </w:rPr>
              <w:t>项目营运期生产废水经排水沟汇入沉淀池沉淀处理后回用于生产、冲洗、洒水降尘，无废水外排，同时，对三级沉淀池进行一般防渗，生产废水中的污染物不会下渗至土壤环境。同时，建设单位采取截流措施，平时关闭雨水排口，所有生产废水均进入沉淀池处理后回用，下雨初期不打开排口，初期雨水经排水沟收集至沉淀池，下雨开始15分钟后再打开雨水排口，保证沉淀池渣土不外排。因此，项目营运期不会通过地面漫流对土壤环境造成影响。</w:t>
            </w:r>
          </w:p>
          <w:p>
            <w:pPr>
              <w:adjustRightInd w:val="0"/>
              <w:snapToGrid w:val="0"/>
              <w:spacing w:line="360" w:lineRule="auto"/>
              <w:ind w:firstLine="482" w:firstLineChars="200"/>
              <w:rPr>
                <w:b/>
                <w:bCs/>
                <w:color w:val="auto"/>
                <w:sz w:val="24"/>
              </w:rPr>
            </w:pPr>
            <w:r>
              <w:rPr>
                <w:b/>
                <w:bCs/>
                <w:color w:val="auto"/>
                <w:sz w:val="24"/>
              </w:rPr>
              <w:t>综上，采取防护措施后本项目对周边土壤环境影响较小。</w:t>
            </w:r>
          </w:p>
          <w:p>
            <w:pPr>
              <w:adjustRightInd w:val="0"/>
              <w:snapToGrid w:val="0"/>
              <w:spacing w:line="360" w:lineRule="auto"/>
              <w:ind w:firstLine="482" w:firstLineChars="200"/>
              <w:rPr>
                <w:b/>
                <w:bCs/>
                <w:color w:val="auto"/>
                <w:sz w:val="24"/>
              </w:rPr>
            </w:pPr>
            <w:r>
              <w:rPr>
                <w:b/>
                <w:bCs/>
                <w:color w:val="auto"/>
                <w:sz w:val="24"/>
              </w:rPr>
              <w:t>7、本项目对外环境的影响分析</w:t>
            </w:r>
          </w:p>
          <w:p>
            <w:pPr>
              <w:adjustRightInd w:val="0"/>
              <w:snapToGrid w:val="0"/>
              <w:spacing w:line="360" w:lineRule="auto"/>
              <w:ind w:firstLine="480" w:firstLineChars="200"/>
              <w:rPr>
                <w:bCs/>
                <w:color w:val="auto"/>
                <w:sz w:val="24"/>
              </w:rPr>
            </w:pPr>
            <w:r>
              <w:rPr>
                <w:bCs/>
                <w:color w:val="auto"/>
                <w:sz w:val="24"/>
              </w:rPr>
              <w:t>本项目交通运输主要是运输</w:t>
            </w:r>
            <w:r>
              <w:rPr>
                <w:color w:val="auto"/>
                <w:sz w:val="24"/>
              </w:rPr>
              <w:t>砂石、水泥以及</w:t>
            </w:r>
            <w:r>
              <w:rPr>
                <w:bCs/>
                <w:color w:val="auto"/>
                <w:sz w:val="24"/>
              </w:rPr>
              <w:t>搅拌完成的水稳层。项目原材料均来自周边，采用车辆运输，成品运输到施工场地，采用罐车运输。因此，项目交通运输将增加沿线的车流量，对沿线道路畅通有一定的影响，对道路沿线的声环境质量也有一定的影响。</w:t>
            </w:r>
          </w:p>
          <w:p>
            <w:pPr>
              <w:adjustRightInd w:val="0"/>
              <w:snapToGrid w:val="0"/>
              <w:spacing w:line="360" w:lineRule="auto"/>
              <w:ind w:firstLine="480" w:firstLineChars="200"/>
              <w:rPr>
                <w:bCs/>
                <w:color w:val="auto"/>
                <w:sz w:val="24"/>
              </w:rPr>
            </w:pPr>
            <w:r>
              <w:rPr>
                <w:bCs/>
                <w:color w:val="auto"/>
                <w:sz w:val="24"/>
              </w:rPr>
              <w:t>本项目成品、原辅材料交通运输路线主要涉及乐青路。项目原辅材料、产品运输将增加上述道路的交通量，对道路沿线的居民有一定的影响，同时因物料装卸、轮胎带泥等原因造成洒漏和产生的二次扬尘，对沿线的市容有一定的影响，进而引起运输沿线、物料装卸点附近TSP浓度有所增加，对沿线的大气环境有一定的影响。</w:t>
            </w:r>
          </w:p>
          <w:p>
            <w:pPr>
              <w:adjustRightInd w:val="0"/>
              <w:snapToGrid w:val="0"/>
              <w:spacing w:line="360" w:lineRule="auto"/>
              <w:ind w:firstLine="482" w:firstLineChars="200"/>
              <w:rPr>
                <w:b/>
                <w:bCs/>
                <w:color w:val="auto"/>
                <w:sz w:val="24"/>
              </w:rPr>
            </w:pPr>
            <w:r>
              <w:rPr>
                <w:b/>
                <w:color w:val="auto"/>
                <w:sz w:val="24"/>
              </w:rPr>
              <w:t>环评要求：</w:t>
            </w:r>
            <w:r>
              <w:rPr>
                <w:bCs/>
                <w:color w:val="auto"/>
                <w:sz w:val="24"/>
              </w:rPr>
              <w:t>运输车辆必须遵循道路运输管理条例的要求，不得超载运输，应用密闭车辆运输易洒漏物质，运送原料及成品的运输车辆运行线路及运行时段应事先向有关主管部门备案，严格按照规定时速行驶，同时禁鸣区内禁止鸣笛，可避免交通运输噪声对周围居民的影响。采用封闭运输，同时对驶出场地的车辆进行清洗，严禁车轮带泥上路，减少车辆运输物料洒漏以及二次扬尘的产生，采取以上措施后可减少对运输路线周边居民影响。</w:t>
            </w:r>
          </w:p>
          <w:p>
            <w:pPr>
              <w:adjustRightInd w:val="0"/>
              <w:snapToGrid w:val="0"/>
              <w:spacing w:line="360" w:lineRule="auto"/>
              <w:ind w:firstLine="482" w:firstLineChars="200"/>
              <w:rPr>
                <w:b/>
                <w:bCs/>
                <w:color w:val="auto"/>
                <w:sz w:val="24"/>
              </w:rPr>
            </w:pPr>
            <w:r>
              <w:rPr>
                <w:b/>
                <w:bCs/>
                <w:color w:val="auto"/>
                <w:sz w:val="24"/>
              </w:rPr>
              <w:t>8、生态</w:t>
            </w:r>
          </w:p>
          <w:p>
            <w:pPr>
              <w:adjustRightInd w:val="0"/>
              <w:snapToGrid w:val="0"/>
              <w:spacing w:line="360" w:lineRule="auto"/>
              <w:ind w:firstLine="480" w:firstLineChars="200"/>
              <w:rPr>
                <w:b/>
                <w:bCs/>
                <w:color w:val="auto"/>
                <w:sz w:val="24"/>
              </w:rPr>
            </w:pPr>
            <w:r>
              <w:rPr>
                <w:color w:val="auto"/>
                <w:sz w:val="24"/>
              </w:rPr>
              <w:t>本项目租用建设用地进行厂房建设生产，不新增占地，厂房周边人类活动频繁，周边区域内无珍稀动植物分布，因此项目的实施对周边生态环境影响较小。</w:t>
            </w:r>
          </w:p>
          <w:p>
            <w:pPr>
              <w:adjustRightInd w:val="0"/>
              <w:snapToGrid w:val="0"/>
              <w:spacing w:line="360" w:lineRule="auto"/>
              <w:ind w:firstLine="482" w:firstLineChars="200"/>
              <w:rPr>
                <w:b/>
                <w:bCs/>
                <w:color w:val="auto"/>
                <w:sz w:val="24"/>
              </w:rPr>
            </w:pPr>
            <w:r>
              <w:rPr>
                <w:b/>
                <w:bCs/>
                <w:color w:val="auto"/>
                <w:sz w:val="24"/>
              </w:rPr>
              <w:t>9、环境风险</w:t>
            </w:r>
          </w:p>
          <w:p>
            <w:pPr>
              <w:adjustRightInd w:val="0"/>
              <w:snapToGrid w:val="0"/>
              <w:spacing w:line="360" w:lineRule="auto"/>
              <w:ind w:firstLine="482" w:firstLineChars="200"/>
              <w:rPr>
                <w:b/>
                <w:bCs/>
                <w:color w:val="auto"/>
                <w:sz w:val="24"/>
              </w:rPr>
            </w:pPr>
            <w:r>
              <w:rPr>
                <w:b/>
                <w:bCs/>
                <w:color w:val="auto"/>
                <w:sz w:val="24"/>
              </w:rPr>
              <w:t>（1）环境风险评价的目的</w:t>
            </w:r>
          </w:p>
          <w:p>
            <w:pPr>
              <w:adjustRightInd w:val="0"/>
              <w:snapToGrid w:val="0"/>
              <w:spacing w:line="360" w:lineRule="auto"/>
              <w:ind w:firstLine="480" w:firstLineChars="200"/>
              <w:rPr>
                <w:bCs/>
                <w:color w:val="auto"/>
                <w:sz w:val="24"/>
              </w:rPr>
            </w:pPr>
            <w:r>
              <w:rPr>
                <w:bCs/>
                <w:color w:val="auto"/>
                <w:sz w:val="24"/>
              </w:rPr>
              <w:t>环境风险评价的目的是分析和预测建设项目存在的潜在危险、有害因素，建设项目建设和运行期间可能发生的突发性事件或事故（一般不包括人为破坏或自然灾害），引起有毒有害和易燃易爆等物质泄漏，所造成的人身安全与环境影响和损害程度，提出合理可行的防范、应急与减缓措施，以使建设项目事故率、损失和环境影响达到可接受水平。</w:t>
            </w:r>
          </w:p>
          <w:p>
            <w:pPr>
              <w:adjustRightInd w:val="0"/>
              <w:snapToGrid w:val="0"/>
              <w:spacing w:line="360" w:lineRule="auto"/>
              <w:ind w:firstLine="480" w:firstLineChars="200"/>
              <w:rPr>
                <w:bCs/>
                <w:color w:val="auto"/>
                <w:sz w:val="24"/>
              </w:rPr>
            </w:pPr>
            <w:r>
              <w:rPr>
                <w:bCs/>
                <w:color w:val="auto"/>
                <w:sz w:val="24"/>
              </w:rPr>
              <w:t>环境风险评价把事故引起厂界外人群的伤害、环境质量的恶化及对生态系统影响的预测和防护作为评价工作的重点。环境风险评价在条件允许的情况下，可利用安全评价数据开展环境风险评价，环境风险评价关注点是事故对厂界外环境的影响。</w:t>
            </w:r>
          </w:p>
          <w:p>
            <w:pPr>
              <w:adjustRightInd w:val="0"/>
              <w:snapToGrid w:val="0"/>
              <w:spacing w:line="360" w:lineRule="auto"/>
              <w:ind w:firstLine="482" w:firstLineChars="200"/>
              <w:rPr>
                <w:b/>
                <w:bCs/>
                <w:color w:val="auto"/>
                <w:sz w:val="24"/>
              </w:rPr>
            </w:pPr>
            <w:r>
              <w:rPr>
                <w:b/>
                <w:bCs/>
                <w:color w:val="auto"/>
                <w:sz w:val="24"/>
              </w:rPr>
              <w:t>（2）环境风险潜势初判</w:t>
            </w:r>
          </w:p>
          <w:p>
            <w:pPr>
              <w:adjustRightInd w:val="0"/>
              <w:snapToGrid w:val="0"/>
              <w:spacing w:line="360" w:lineRule="auto"/>
              <w:ind w:firstLine="480" w:firstLineChars="200"/>
              <w:rPr>
                <w:bCs/>
                <w:color w:val="auto"/>
                <w:sz w:val="24"/>
              </w:rPr>
            </w:pPr>
            <w:r>
              <w:rPr>
                <w:bCs/>
                <w:color w:val="auto"/>
                <w:sz w:val="24"/>
              </w:rPr>
              <w:t>根据《建设项目环境风险评价技术导则》（HJ169-2018），本项目不储存附录B中的物质，项目Q=0＜1，即项目环境风险潜势为I。</w:t>
            </w:r>
          </w:p>
          <w:p>
            <w:pPr>
              <w:tabs>
                <w:tab w:val="left" w:pos="2520"/>
                <w:tab w:val="center" w:pos="4437"/>
              </w:tabs>
              <w:adjustRightInd w:val="0"/>
              <w:snapToGrid w:val="0"/>
              <w:spacing w:line="360" w:lineRule="auto"/>
              <w:jc w:val="center"/>
              <w:rPr>
                <w:b/>
                <w:bCs/>
                <w:color w:val="auto"/>
              </w:rPr>
            </w:pPr>
            <w:r>
              <w:rPr>
                <w:b/>
                <w:bCs/>
                <w:color w:val="auto"/>
              </w:rPr>
              <w:t>表4-1</w:t>
            </w:r>
            <w:r>
              <w:rPr>
                <w:rFonts w:hint="eastAsia"/>
                <w:b/>
                <w:bCs/>
                <w:color w:val="auto"/>
                <w:lang w:val="en-US" w:eastAsia="zh-CN"/>
              </w:rPr>
              <w:t>5</w:t>
            </w:r>
            <w:r>
              <w:rPr>
                <w:b/>
                <w:bCs/>
                <w:color w:val="auto"/>
              </w:rPr>
              <w:t xml:space="preserve">  评价工作等级划分</w:t>
            </w:r>
          </w:p>
          <w:tbl>
            <w:tblPr>
              <w:tblStyle w:val="4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6"/>
              <w:gridCol w:w="1791"/>
              <w:gridCol w:w="1759"/>
              <w:gridCol w:w="1757"/>
              <w:gridCol w:w="17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5" w:type="pct"/>
                  <w:shd w:val="clear" w:color="auto" w:fill="auto"/>
                  <w:vAlign w:val="center"/>
                </w:tcPr>
                <w:p>
                  <w:pPr>
                    <w:adjustRightInd w:val="0"/>
                    <w:snapToGrid w:val="0"/>
                    <w:jc w:val="center"/>
                    <w:rPr>
                      <w:b/>
                      <w:bCs/>
                      <w:color w:val="auto"/>
                      <w:szCs w:val="21"/>
                    </w:rPr>
                  </w:pPr>
                  <w:r>
                    <w:rPr>
                      <w:b/>
                      <w:bCs/>
                      <w:color w:val="auto"/>
                      <w:szCs w:val="21"/>
                    </w:rPr>
                    <w:t>环境风险潜势</w:t>
                  </w:r>
                </w:p>
              </w:tc>
              <w:tc>
                <w:tcPr>
                  <w:tcW w:w="1014" w:type="pct"/>
                  <w:shd w:val="clear" w:color="auto" w:fill="auto"/>
                  <w:vAlign w:val="center"/>
                </w:tcPr>
                <w:p>
                  <w:pPr>
                    <w:adjustRightInd w:val="0"/>
                    <w:snapToGrid w:val="0"/>
                    <w:jc w:val="center"/>
                    <w:rPr>
                      <w:color w:val="auto"/>
                      <w:szCs w:val="21"/>
                    </w:rPr>
                  </w:pPr>
                  <w:r>
                    <w:rPr>
                      <w:color w:val="auto"/>
                      <w:szCs w:val="21"/>
                    </w:rPr>
                    <w:t>Ⅳ、Ⅳ</w:t>
                  </w:r>
                </w:p>
              </w:tc>
              <w:tc>
                <w:tcPr>
                  <w:tcW w:w="996" w:type="pct"/>
                  <w:shd w:val="clear" w:color="auto" w:fill="auto"/>
                  <w:vAlign w:val="center"/>
                </w:tcPr>
                <w:p>
                  <w:pPr>
                    <w:adjustRightInd w:val="0"/>
                    <w:snapToGrid w:val="0"/>
                    <w:jc w:val="center"/>
                    <w:rPr>
                      <w:color w:val="auto"/>
                      <w:szCs w:val="21"/>
                    </w:rPr>
                  </w:pPr>
                  <w:r>
                    <w:rPr>
                      <w:color w:val="auto"/>
                      <w:szCs w:val="21"/>
                    </w:rPr>
                    <w:t>Ⅲ</w:t>
                  </w:r>
                </w:p>
              </w:tc>
              <w:tc>
                <w:tcPr>
                  <w:tcW w:w="995" w:type="pct"/>
                  <w:shd w:val="clear" w:color="auto" w:fill="auto"/>
                  <w:vAlign w:val="center"/>
                </w:tcPr>
                <w:p>
                  <w:pPr>
                    <w:adjustRightInd w:val="0"/>
                    <w:snapToGrid w:val="0"/>
                    <w:jc w:val="center"/>
                    <w:rPr>
                      <w:color w:val="auto"/>
                      <w:szCs w:val="21"/>
                    </w:rPr>
                  </w:pPr>
                  <w:r>
                    <w:rPr>
                      <w:color w:val="auto"/>
                      <w:szCs w:val="21"/>
                    </w:rPr>
                    <w:t>Ⅱ</w:t>
                  </w:r>
                </w:p>
              </w:tc>
              <w:tc>
                <w:tcPr>
                  <w:tcW w:w="997" w:type="pct"/>
                  <w:shd w:val="clear" w:color="auto" w:fill="auto"/>
                  <w:vAlign w:val="center"/>
                </w:tcPr>
                <w:p>
                  <w:pPr>
                    <w:adjustRightInd w:val="0"/>
                    <w:snapToGrid w:val="0"/>
                    <w:jc w:val="center"/>
                    <w:rPr>
                      <w:color w:val="auto"/>
                      <w:szCs w:val="21"/>
                    </w:rPr>
                  </w:pPr>
                  <w:r>
                    <w:rPr>
                      <w:color w:val="auto"/>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5" w:type="pct"/>
                  <w:shd w:val="clear" w:color="auto" w:fill="auto"/>
                  <w:vAlign w:val="center"/>
                </w:tcPr>
                <w:p>
                  <w:pPr>
                    <w:adjustRightInd w:val="0"/>
                    <w:snapToGrid w:val="0"/>
                    <w:jc w:val="center"/>
                    <w:rPr>
                      <w:b/>
                      <w:bCs/>
                      <w:color w:val="auto"/>
                      <w:szCs w:val="21"/>
                    </w:rPr>
                  </w:pPr>
                  <w:r>
                    <w:rPr>
                      <w:b/>
                      <w:bCs/>
                      <w:color w:val="auto"/>
                      <w:szCs w:val="21"/>
                    </w:rPr>
                    <w:t>评价工作等级</w:t>
                  </w:r>
                </w:p>
              </w:tc>
              <w:tc>
                <w:tcPr>
                  <w:tcW w:w="1014" w:type="pct"/>
                  <w:shd w:val="clear" w:color="auto" w:fill="auto"/>
                  <w:vAlign w:val="center"/>
                </w:tcPr>
                <w:p>
                  <w:pPr>
                    <w:adjustRightInd w:val="0"/>
                    <w:snapToGrid w:val="0"/>
                    <w:jc w:val="center"/>
                    <w:rPr>
                      <w:color w:val="auto"/>
                      <w:szCs w:val="21"/>
                    </w:rPr>
                  </w:pPr>
                  <w:r>
                    <w:rPr>
                      <w:color w:val="auto"/>
                      <w:szCs w:val="21"/>
                    </w:rPr>
                    <w:t>一</w:t>
                  </w:r>
                </w:p>
              </w:tc>
              <w:tc>
                <w:tcPr>
                  <w:tcW w:w="996" w:type="pct"/>
                  <w:shd w:val="clear" w:color="auto" w:fill="auto"/>
                  <w:vAlign w:val="center"/>
                </w:tcPr>
                <w:p>
                  <w:pPr>
                    <w:adjustRightInd w:val="0"/>
                    <w:snapToGrid w:val="0"/>
                    <w:jc w:val="center"/>
                    <w:rPr>
                      <w:color w:val="auto"/>
                      <w:szCs w:val="21"/>
                    </w:rPr>
                  </w:pPr>
                  <w:r>
                    <w:rPr>
                      <w:color w:val="auto"/>
                      <w:szCs w:val="21"/>
                    </w:rPr>
                    <w:t>二</w:t>
                  </w:r>
                </w:p>
              </w:tc>
              <w:tc>
                <w:tcPr>
                  <w:tcW w:w="995" w:type="pct"/>
                  <w:shd w:val="clear" w:color="auto" w:fill="auto"/>
                  <w:vAlign w:val="center"/>
                </w:tcPr>
                <w:p>
                  <w:pPr>
                    <w:adjustRightInd w:val="0"/>
                    <w:snapToGrid w:val="0"/>
                    <w:jc w:val="center"/>
                    <w:rPr>
                      <w:color w:val="auto"/>
                      <w:szCs w:val="21"/>
                    </w:rPr>
                  </w:pPr>
                  <w:r>
                    <w:rPr>
                      <w:color w:val="auto"/>
                      <w:szCs w:val="21"/>
                    </w:rPr>
                    <w:t>三</w:t>
                  </w:r>
                </w:p>
              </w:tc>
              <w:tc>
                <w:tcPr>
                  <w:tcW w:w="997" w:type="pct"/>
                  <w:shd w:val="clear" w:color="auto" w:fill="auto"/>
                  <w:vAlign w:val="center"/>
                </w:tcPr>
                <w:p>
                  <w:pPr>
                    <w:adjustRightInd w:val="0"/>
                    <w:snapToGrid w:val="0"/>
                    <w:jc w:val="center"/>
                    <w:rPr>
                      <w:color w:val="auto"/>
                      <w:szCs w:val="21"/>
                    </w:rPr>
                  </w:pPr>
                  <w:r>
                    <w:rPr>
                      <w:color w:val="auto"/>
                      <w:szCs w:val="21"/>
                    </w:rPr>
                    <w:t>简单分析</w:t>
                  </w:r>
                  <w:r>
                    <w:rPr>
                      <w:color w:val="auto"/>
                      <w:szCs w:val="21"/>
                      <w:vertAlign w:val="superscript"/>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5"/>
                  <w:shd w:val="clear" w:color="auto" w:fill="auto"/>
                </w:tcPr>
                <w:p>
                  <w:pPr>
                    <w:widowControl/>
                    <w:adjustRightInd w:val="0"/>
                    <w:snapToGrid w:val="0"/>
                    <w:spacing w:line="240" w:lineRule="exact"/>
                    <w:ind w:left="420" w:hanging="480" w:hangingChars="200"/>
                    <w:rPr>
                      <w:color w:val="auto"/>
                      <w:szCs w:val="21"/>
                    </w:rPr>
                  </w:pPr>
                  <w:r>
                    <w:rPr>
                      <w:color w:val="auto"/>
                      <w:kern w:val="0"/>
                      <w:szCs w:val="21"/>
                    </w:rPr>
                    <w:t>注：a是相对于详细评价工作内容而言，在描述危险物质、环境影响途径、环境危害后果、风险防范措施等方面给出定性的说明。见附录A。</w:t>
                  </w:r>
                </w:p>
              </w:tc>
            </w:tr>
          </w:tbl>
          <w:p>
            <w:pPr>
              <w:adjustRightInd w:val="0"/>
              <w:snapToGrid w:val="0"/>
              <w:spacing w:line="360" w:lineRule="auto"/>
              <w:ind w:firstLine="480" w:firstLineChars="200"/>
              <w:rPr>
                <w:bCs/>
                <w:color w:val="auto"/>
                <w:sz w:val="24"/>
              </w:rPr>
            </w:pPr>
            <w:r>
              <w:rPr>
                <w:bCs/>
                <w:color w:val="auto"/>
                <w:sz w:val="24"/>
              </w:rPr>
              <w:t>根据《建设项目环境风险评价技术导则》（HJ169-2018）中评价工作等级划分可知，本项目环境风险潜势为I，不涉及重大风险源，仅进行简单分析。</w:t>
            </w:r>
          </w:p>
          <w:p>
            <w:pPr>
              <w:adjustRightInd w:val="0"/>
              <w:snapToGrid w:val="0"/>
              <w:spacing w:line="360" w:lineRule="auto"/>
              <w:ind w:firstLine="480"/>
              <w:rPr>
                <w:rFonts w:eastAsiaTheme="minorEastAsia"/>
                <w:b/>
                <w:bCs/>
                <w:color w:val="auto"/>
                <w:sz w:val="24"/>
              </w:rPr>
            </w:pPr>
            <w:r>
              <w:rPr>
                <w:rFonts w:eastAsiaTheme="minorEastAsia"/>
                <w:b/>
                <w:bCs/>
                <w:color w:val="auto"/>
                <w:sz w:val="24"/>
              </w:rPr>
              <w:t>（3）环境敏感目标概况</w:t>
            </w:r>
          </w:p>
          <w:p>
            <w:pPr>
              <w:adjustRightInd w:val="0"/>
              <w:snapToGrid w:val="0"/>
              <w:spacing w:line="360" w:lineRule="auto"/>
              <w:ind w:firstLine="480"/>
              <w:rPr>
                <w:rFonts w:eastAsiaTheme="minorEastAsia"/>
                <w:color w:val="auto"/>
                <w:sz w:val="24"/>
              </w:rPr>
            </w:pPr>
            <w:r>
              <w:rPr>
                <w:rFonts w:eastAsiaTheme="minorEastAsia"/>
                <w:color w:val="auto"/>
                <w:sz w:val="24"/>
              </w:rPr>
              <w:t>本项目涉及的环境敏感目标见表3-5。</w:t>
            </w:r>
          </w:p>
          <w:p>
            <w:pPr>
              <w:pStyle w:val="53"/>
              <w:adjustRightInd w:val="0"/>
              <w:snapToGrid w:val="0"/>
              <w:spacing w:line="360" w:lineRule="auto"/>
              <w:ind w:firstLine="0" w:firstLineChars="0"/>
              <w:jc w:val="center"/>
              <w:rPr>
                <w:rFonts w:eastAsia="黑体" w:cs="Times New Roman"/>
                <w:color w:val="auto"/>
                <w:kern w:val="2"/>
                <w:szCs w:val="21"/>
              </w:rPr>
            </w:pPr>
            <w:r>
              <w:rPr>
                <w:rFonts w:eastAsia="黑体" w:cs="Times New Roman"/>
                <w:color w:val="auto"/>
                <w:kern w:val="2"/>
                <w:szCs w:val="21"/>
              </w:rPr>
              <w:t>表4-1</w:t>
            </w:r>
            <w:r>
              <w:rPr>
                <w:rFonts w:hint="eastAsia" w:eastAsia="黑体" w:cs="Times New Roman"/>
                <w:color w:val="auto"/>
                <w:kern w:val="2"/>
                <w:szCs w:val="21"/>
                <w:lang w:val="en-US" w:eastAsia="zh-CN"/>
              </w:rPr>
              <w:t>6</w:t>
            </w:r>
            <w:r>
              <w:rPr>
                <w:rFonts w:eastAsia="黑体" w:cs="Times New Roman"/>
                <w:color w:val="auto"/>
                <w:kern w:val="2"/>
                <w:szCs w:val="21"/>
              </w:rPr>
              <w:t xml:space="preserve">  建设项目环境风险简单分析内容表</w:t>
            </w:r>
          </w:p>
          <w:tbl>
            <w:tblPr>
              <w:tblStyle w:val="42"/>
              <w:tblW w:w="86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2"/>
              <w:gridCol w:w="1152"/>
              <w:gridCol w:w="1529"/>
              <w:gridCol w:w="1377"/>
              <w:gridCol w:w="1379"/>
              <w:gridCol w:w="13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2" w:type="dxa"/>
                  <w:tcBorders>
                    <w:tl2br w:val="nil"/>
                    <w:tr2bl w:val="nil"/>
                  </w:tcBorders>
                  <w:vAlign w:val="center"/>
                </w:tcPr>
                <w:p>
                  <w:pPr>
                    <w:adjustRightInd w:val="0"/>
                    <w:snapToGrid w:val="0"/>
                    <w:jc w:val="center"/>
                    <w:rPr>
                      <w:b/>
                      <w:bCs/>
                      <w:color w:val="auto"/>
                      <w:szCs w:val="21"/>
                    </w:rPr>
                  </w:pPr>
                  <w:r>
                    <w:rPr>
                      <w:b/>
                      <w:bCs/>
                      <w:color w:val="auto"/>
                      <w:szCs w:val="21"/>
                    </w:rPr>
                    <w:t>建设项目名称</w:t>
                  </w:r>
                </w:p>
              </w:tc>
              <w:tc>
                <w:tcPr>
                  <w:tcW w:w="6828" w:type="dxa"/>
                  <w:gridSpan w:val="5"/>
                  <w:tcBorders>
                    <w:tl2br w:val="nil"/>
                    <w:tr2bl w:val="nil"/>
                  </w:tcBorders>
                  <w:vAlign w:val="center"/>
                </w:tcPr>
                <w:p>
                  <w:pPr>
                    <w:adjustRightInd w:val="0"/>
                    <w:snapToGrid w:val="0"/>
                    <w:jc w:val="center"/>
                    <w:rPr>
                      <w:color w:val="auto"/>
                      <w:szCs w:val="21"/>
                    </w:rPr>
                  </w:pPr>
                  <w:r>
                    <w:rPr>
                      <w:color w:val="auto"/>
                      <w:szCs w:val="21"/>
                    </w:rPr>
                    <w:t>乐山鼎智建材有限公司水稳拌合站项目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2" w:type="dxa"/>
                  <w:tcBorders>
                    <w:tl2br w:val="nil"/>
                    <w:tr2bl w:val="nil"/>
                  </w:tcBorders>
                  <w:vAlign w:val="center"/>
                </w:tcPr>
                <w:p>
                  <w:pPr>
                    <w:adjustRightInd w:val="0"/>
                    <w:snapToGrid w:val="0"/>
                    <w:jc w:val="center"/>
                    <w:rPr>
                      <w:b/>
                      <w:bCs/>
                      <w:color w:val="auto"/>
                      <w:szCs w:val="21"/>
                    </w:rPr>
                  </w:pPr>
                  <w:r>
                    <w:rPr>
                      <w:b/>
                      <w:bCs/>
                      <w:color w:val="auto"/>
                      <w:szCs w:val="21"/>
                    </w:rPr>
                    <w:t>建设地点</w:t>
                  </w:r>
                </w:p>
              </w:tc>
              <w:tc>
                <w:tcPr>
                  <w:tcW w:w="1152" w:type="dxa"/>
                  <w:tcBorders>
                    <w:tl2br w:val="nil"/>
                    <w:tr2bl w:val="nil"/>
                  </w:tcBorders>
                  <w:vAlign w:val="center"/>
                </w:tcPr>
                <w:p>
                  <w:pPr>
                    <w:adjustRightInd w:val="0"/>
                    <w:snapToGrid w:val="0"/>
                    <w:jc w:val="center"/>
                    <w:rPr>
                      <w:color w:val="auto"/>
                      <w:szCs w:val="21"/>
                    </w:rPr>
                  </w:pPr>
                  <w:r>
                    <w:rPr>
                      <w:color w:val="auto"/>
                      <w:szCs w:val="21"/>
                    </w:rPr>
                    <w:t>四川省</w:t>
                  </w:r>
                </w:p>
              </w:tc>
              <w:tc>
                <w:tcPr>
                  <w:tcW w:w="1529" w:type="dxa"/>
                  <w:tcBorders>
                    <w:tl2br w:val="nil"/>
                    <w:tr2bl w:val="nil"/>
                  </w:tcBorders>
                  <w:vAlign w:val="center"/>
                </w:tcPr>
                <w:p>
                  <w:pPr>
                    <w:adjustRightInd w:val="0"/>
                    <w:snapToGrid w:val="0"/>
                    <w:jc w:val="center"/>
                    <w:rPr>
                      <w:color w:val="auto"/>
                      <w:szCs w:val="21"/>
                    </w:rPr>
                  </w:pPr>
                  <w:r>
                    <w:rPr>
                      <w:color w:val="auto"/>
                      <w:szCs w:val="21"/>
                    </w:rPr>
                    <w:t>乐山市</w:t>
                  </w:r>
                </w:p>
              </w:tc>
              <w:tc>
                <w:tcPr>
                  <w:tcW w:w="1377" w:type="dxa"/>
                  <w:tcBorders>
                    <w:tl2br w:val="nil"/>
                    <w:tr2bl w:val="nil"/>
                  </w:tcBorders>
                  <w:vAlign w:val="center"/>
                </w:tcPr>
                <w:p>
                  <w:pPr>
                    <w:adjustRightInd w:val="0"/>
                    <w:snapToGrid w:val="0"/>
                    <w:jc w:val="center"/>
                    <w:rPr>
                      <w:color w:val="auto"/>
                      <w:szCs w:val="21"/>
                    </w:rPr>
                  </w:pPr>
                  <w:r>
                    <w:rPr>
                      <w:color w:val="auto"/>
                      <w:szCs w:val="21"/>
                    </w:rPr>
                    <w:t>市中区</w:t>
                  </w:r>
                </w:p>
              </w:tc>
              <w:tc>
                <w:tcPr>
                  <w:tcW w:w="1379" w:type="dxa"/>
                  <w:tcBorders>
                    <w:tl2br w:val="nil"/>
                    <w:tr2bl w:val="nil"/>
                  </w:tcBorders>
                  <w:vAlign w:val="center"/>
                </w:tcPr>
                <w:p>
                  <w:pPr>
                    <w:adjustRightInd w:val="0"/>
                    <w:snapToGrid w:val="0"/>
                    <w:jc w:val="center"/>
                    <w:rPr>
                      <w:color w:val="auto"/>
                      <w:szCs w:val="21"/>
                    </w:rPr>
                  </w:pPr>
                  <w:r>
                    <w:rPr>
                      <w:color w:val="auto"/>
                      <w:szCs w:val="21"/>
                    </w:rPr>
                    <w:t>悦来镇</w:t>
                  </w:r>
                </w:p>
              </w:tc>
              <w:tc>
                <w:tcPr>
                  <w:tcW w:w="1391" w:type="dxa"/>
                  <w:tcBorders>
                    <w:tl2br w:val="nil"/>
                    <w:tr2bl w:val="nil"/>
                  </w:tcBorders>
                  <w:vAlign w:val="center"/>
                </w:tcPr>
                <w:p>
                  <w:pPr>
                    <w:adjustRightInd w:val="0"/>
                    <w:snapToGrid w:val="0"/>
                    <w:jc w:val="center"/>
                    <w:rPr>
                      <w:color w:val="auto"/>
                      <w:szCs w:val="21"/>
                    </w:rPr>
                  </w:pPr>
                  <w:r>
                    <w:rPr>
                      <w:color w:val="auto"/>
                      <w:szCs w:val="21"/>
                    </w:rPr>
                    <w:t>龙岩村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2" w:type="dxa"/>
                  <w:tcBorders>
                    <w:tl2br w:val="nil"/>
                    <w:tr2bl w:val="nil"/>
                  </w:tcBorders>
                  <w:vAlign w:val="center"/>
                </w:tcPr>
                <w:p>
                  <w:pPr>
                    <w:adjustRightInd w:val="0"/>
                    <w:snapToGrid w:val="0"/>
                    <w:jc w:val="center"/>
                    <w:rPr>
                      <w:b/>
                      <w:bCs/>
                      <w:color w:val="auto"/>
                      <w:szCs w:val="21"/>
                    </w:rPr>
                  </w:pPr>
                  <w:r>
                    <w:rPr>
                      <w:b/>
                      <w:bCs/>
                      <w:color w:val="auto"/>
                      <w:szCs w:val="21"/>
                    </w:rPr>
                    <w:t>地理坐标</w:t>
                  </w:r>
                </w:p>
              </w:tc>
              <w:tc>
                <w:tcPr>
                  <w:tcW w:w="1152" w:type="dxa"/>
                  <w:tcBorders>
                    <w:tl2br w:val="nil"/>
                    <w:tr2bl w:val="nil"/>
                  </w:tcBorders>
                  <w:vAlign w:val="center"/>
                </w:tcPr>
                <w:p>
                  <w:pPr>
                    <w:adjustRightInd w:val="0"/>
                    <w:snapToGrid w:val="0"/>
                    <w:jc w:val="center"/>
                    <w:rPr>
                      <w:color w:val="auto"/>
                      <w:szCs w:val="21"/>
                    </w:rPr>
                  </w:pPr>
                  <w:r>
                    <w:rPr>
                      <w:color w:val="auto"/>
                      <w:szCs w:val="21"/>
                    </w:rPr>
                    <w:t>经度</w:t>
                  </w:r>
                </w:p>
              </w:tc>
              <w:tc>
                <w:tcPr>
                  <w:tcW w:w="1529" w:type="dxa"/>
                  <w:tcBorders>
                    <w:tl2br w:val="nil"/>
                    <w:tr2bl w:val="nil"/>
                  </w:tcBorders>
                  <w:vAlign w:val="center"/>
                </w:tcPr>
                <w:p>
                  <w:pPr>
                    <w:adjustRightInd w:val="0"/>
                    <w:snapToGrid w:val="0"/>
                    <w:jc w:val="center"/>
                    <w:rPr>
                      <w:color w:val="auto"/>
                      <w:szCs w:val="21"/>
                    </w:rPr>
                  </w:pPr>
                  <w:r>
                    <w:rPr>
                      <w:color w:val="auto"/>
                      <w:szCs w:val="21"/>
                    </w:rPr>
                    <w:t>103度43分58.688秒</w:t>
                  </w:r>
                </w:p>
              </w:tc>
              <w:tc>
                <w:tcPr>
                  <w:tcW w:w="1377" w:type="dxa"/>
                  <w:tcBorders>
                    <w:tl2br w:val="nil"/>
                    <w:tr2bl w:val="nil"/>
                  </w:tcBorders>
                  <w:vAlign w:val="center"/>
                </w:tcPr>
                <w:p>
                  <w:pPr>
                    <w:adjustRightInd w:val="0"/>
                    <w:snapToGrid w:val="0"/>
                    <w:jc w:val="center"/>
                    <w:rPr>
                      <w:color w:val="auto"/>
                      <w:szCs w:val="21"/>
                    </w:rPr>
                  </w:pPr>
                  <w:r>
                    <w:rPr>
                      <w:color w:val="auto"/>
                      <w:szCs w:val="21"/>
                    </w:rPr>
                    <w:t>纬度</w:t>
                  </w:r>
                </w:p>
              </w:tc>
              <w:tc>
                <w:tcPr>
                  <w:tcW w:w="2770" w:type="dxa"/>
                  <w:gridSpan w:val="2"/>
                  <w:tcBorders>
                    <w:tl2br w:val="nil"/>
                    <w:tr2bl w:val="nil"/>
                  </w:tcBorders>
                  <w:vAlign w:val="center"/>
                </w:tcPr>
                <w:p>
                  <w:pPr>
                    <w:adjustRightInd w:val="0"/>
                    <w:snapToGrid w:val="0"/>
                    <w:jc w:val="center"/>
                    <w:rPr>
                      <w:color w:val="auto"/>
                      <w:szCs w:val="21"/>
                    </w:rPr>
                  </w:pPr>
                  <w:r>
                    <w:rPr>
                      <w:color w:val="auto"/>
                      <w:szCs w:val="21"/>
                    </w:rPr>
                    <w:t>29度40分27.914秒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2" w:type="dxa"/>
                  <w:tcBorders>
                    <w:tl2br w:val="nil"/>
                    <w:tr2bl w:val="nil"/>
                  </w:tcBorders>
                  <w:vAlign w:val="center"/>
                </w:tcPr>
                <w:p>
                  <w:pPr>
                    <w:adjustRightInd w:val="0"/>
                    <w:snapToGrid w:val="0"/>
                    <w:jc w:val="center"/>
                    <w:rPr>
                      <w:b/>
                      <w:bCs/>
                      <w:color w:val="auto"/>
                      <w:szCs w:val="21"/>
                    </w:rPr>
                  </w:pPr>
                  <w:r>
                    <w:rPr>
                      <w:b/>
                      <w:bCs/>
                      <w:color w:val="auto"/>
                      <w:szCs w:val="21"/>
                    </w:rPr>
                    <w:t>主要危险物质及分布</w:t>
                  </w:r>
                </w:p>
              </w:tc>
              <w:tc>
                <w:tcPr>
                  <w:tcW w:w="6828" w:type="dxa"/>
                  <w:gridSpan w:val="5"/>
                  <w:tcBorders>
                    <w:tl2br w:val="nil"/>
                    <w:tr2bl w:val="nil"/>
                  </w:tcBorders>
                  <w:vAlign w:val="center"/>
                </w:tcPr>
                <w:p>
                  <w:pPr>
                    <w:adjustRightInd w:val="0"/>
                    <w:snapToGrid w:val="0"/>
                    <w:jc w:val="center"/>
                    <w:rPr>
                      <w:color w:val="auto"/>
                      <w:szCs w:val="21"/>
                    </w:rPr>
                  </w:pPr>
                  <w:r>
                    <w:rPr>
                      <w:color w:val="auto"/>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2" w:type="dxa"/>
                  <w:tcBorders>
                    <w:tl2br w:val="nil"/>
                    <w:tr2bl w:val="nil"/>
                  </w:tcBorders>
                  <w:vAlign w:val="center"/>
                </w:tcPr>
                <w:p>
                  <w:pPr>
                    <w:adjustRightInd w:val="0"/>
                    <w:snapToGrid w:val="0"/>
                    <w:jc w:val="center"/>
                    <w:rPr>
                      <w:b/>
                      <w:bCs/>
                      <w:color w:val="auto"/>
                      <w:szCs w:val="21"/>
                    </w:rPr>
                  </w:pPr>
                  <w:r>
                    <w:rPr>
                      <w:b/>
                      <w:bCs/>
                      <w:color w:val="auto"/>
                      <w:szCs w:val="21"/>
                    </w:rPr>
                    <w:t>环境影响途径及危害后果（大气、地表水、地下水等）</w:t>
                  </w:r>
                </w:p>
              </w:tc>
              <w:tc>
                <w:tcPr>
                  <w:tcW w:w="6828" w:type="dxa"/>
                  <w:gridSpan w:val="5"/>
                  <w:tcBorders>
                    <w:tl2br w:val="nil"/>
                    <w:tr2bl w:val="nil"/>
                  </w:tcBorders>
                  <w:vAlign w:val="center"/>
                </w:tcPr>
                <w:p>
                  <w:pPr>
                    <w:adjustRightInd w:val="0"/>
                    <w:snapToGrid w:val="0"/>
                    <w:rPr>
                      <w:rFonts w:hint="eastAsia" w:eastAsia="宋体"/>
                      <w:color w:val="auto"/>
                      <w:szCs w:val="21"/>
                      <w:lang w:eastAsia="zh-CN"/>
                    </w:rPr>
                  </w:pPr>
                  <w:r>
                    <w:rPr>
                      <w:color w:val="auto"/>
                      <w:szCs w:val="21"/>
                    </w:rPr>
                    <w:t>火灾影响区域大气环境，机械油料泄漏影响区域地下水环境，废水非正常排放影响区域地表水环境</w:t>
                  </w:r>
                  <w:r>
                    <w:rPr>
                      <w:rFonts w:hint="eastAsia"/>
                      <w:color w:val="auto"/>
                      <w:szCs w:val="21"/>
                      <w:lang w:eastAsia="zh-CN"/>
                    </w:rPr>
                    <w:t>，仓顶除尘器故障影响大气环境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2" w:type="dxa"/>
                  <w:tcBorders>
                    <w:tl2br w:val="nil"/>
                    <w:tr2bl w:val="nil"/>
                  </w:tcBorders>
                  <w:vAlign w:val="center"/>
                </w:tcPr>
                <w:p>
                  <w:pPr>
                    <w:adjustRightInd w:val="0"/>
                    <w:snapToGrid w:val="0"/>
                    <w:jc w:val="center"/>
                    <w:rPr>
                      <w:b/>
                      <w:bCs/>
                      <w:color w:val="auto"/>
                      <w:szCs w:val="21"/>
                    </w:rPr>
                  </w:pPr>
                  <w:r>
                    <w:rPr>
                      <w:b/>
                      <w:bCs/>
                      <w:color w:val="auto"/>
                      <w:szCs w:val="21"/>
                    </w:rPr>
                    <w:t>风险防范措施要求</w:t>
                  </w:r>
                </w:p>
              </w:tc>
              <w:tc>
                <w:tcPr>
                  <w:tcW w:w="6828" w:type="dxa"/>
                  <w:gridSpan w:val="5"/>
                  <w:tcBorders>
                    <w:tl2br w:val="nil"/>
                    <w:tr2bl w:val="nil"/>
                  </w:tcBorders>
                  <w:vAlign w:val="center"/>
                </w:tcPr>
                <w:p>
                  <w:pPr>
                    <w:adjustRightInd w:val="0"/>
                    <w:snapToGrid w:val="0"/>
                    <w:rPr>
                      <w:color w:val="auto"/>
                      <w:szCs w:val="21"/>
                    </w:rPr>
                  </w:pPr>
                  <w:r>
                    <w:rPr>
                      <w:color w:val="auto"/>
                      <w:szCs w:val="21"/>
                    </w:rPr>
                    <w:t>尽管环境风险的客观存在无法改变，但通过科学的设计、施工、操作和管理，可将风险事故发生的可能性和危害性降低到最小程度。真正做到防患于未然，达到预防事故发生的目的</w:t>
                  </w:r>
                </w:p>
                <w:p>
                  <w:pPr>
                    <w:adjustRightInd w:val="0"/>
                    <w:snapToGrid w:val="0"/>
                    <w:rPr>
                      <w:color w:val="auto"/>
                      <w:szCs w:val="21"/>
                    </w:rPr>
                  </w:pPr>
                  <w:r>
                    <w:rPr>
                      <w:color w:val="auto"/>
                      <w:szCs w:val="21"/>
                    </w:rPr>
                    <w:t>（1）泄漏风险防范措施</w:t>
                  </w:r>
                </w:p>
                <w:p>
                  <w:pPr>
                    <w:adjustRightInd w:val="0"/>
                    <w:snapToGrid w:val="0"/>
                    <w:rPr>
                      <w:color w:val="auto"/>
                      <w:szCs w:val="21"/>
                    </w:rPr>
                  </w:pPr>
                  <w:r>
                    <w:rPr>
                      <w:color w:val="auto"/>
                      <w:szCs w:val="21"/>
                    </w:rPr>
                    <w:t>a.跑冒滴漏易发点应设置托盘。</w:t>
                  </w:r>
                </w:p>
                <w:p>
                  <w:pPr>
                    <w:adjustRightInd w:val="0"/>
                    <w:snapToGrid w:val="0"/>
                    <w:rPr>
                      <w:color w:val="auto"/>
                      <w:szCs w:val="21"/>
                    </w:rPr>
                  </w:pPr>
                  <w:r>
                    <w:rPr>
                      <w:color w:val="auto"/>
                      <w:szCs w:val="21"/>
                    </w:rPr>
                    <w:t>b.如发生小量泄漏，用砂土或其他不燃材料吸收，使用洁净的无火花工具收集吸收材料；如发生大量泄漏，构筑围堤或挖坑收容。用抗溶性泡沫覆盖，减少蒸发。</w:t>
                  </w:r>
                </w:p>
                <w:p>
                  <w:pPr>
                    <w:adjustRightInd w:val="0"/>
                    <w:snapToGrid w:val="0"/>
                    <w:rPr>
                      <w:color w:val="auto"/>
                      <w:szCs w:val="21"/>
                    </w:rPr>
                  </w:pPr>
                  <w:r>
                    <w:rPr>
                      <w:color w:val="auto"/>
                      <w:szCs w:val="21"/>
                    </w:rPr>
                    <w:t>（2）废水非正常排放风险防范措施</w:t>
                  </w:r>
                </w:p>
                <w:p>
                  <w:pPr>
                    <w:adjustRightInd w:val="0"/>
                    <w:snapToGrid w:val="0"/>
                    <w:rPr>
                      <w:color w:val="auto"/>
                      <w:szCs w:val="21"/>
                    </w:rPr>
                  </w:pPr>
                  <w:r>
                    <w:rPr>
                      <w:color w:val="auto"/>
                      <w:szCs w:val="21"/>
                    </w:rPr>
                    <w:t>a.本项目设置200m</w:t>
                  </w:r>
                  <w:r>
                    <w:rPr>
                      <w:color w:val="auto"/>
                      <w:szCs w:val="21"/>
                      <w:vertAlign w:val="superscript"/>
                    </w:rPr>
                    <w:t>3</w:t>
                  </w:r>
                  <w:r>
                    <w:rPr>
                      <w:color w:val="auto"/>
                      <w:szCs w:val="21"/>
                    </w:rPr>
                    <w:t>的沉淀池，大于场地营运期废水</w:t>
                  </w:r>
                  <w:r>
                    <w:rPr>
                      <w:rFonts w:hint="eastAsia"/>
                      <w:color w:val="auto"/>
                      <w:szCs w:val="21"/>
                      <w:lang w:eastAsia="zh-CN"/>
                    </w:rPr>
                    <w:t>产生量</w:t>
                  </w:r>
                  <w:r>
                    <w:rPr>
                      <w:color w:val="auto"/>
                      <w:szCs w:val="21"/>
                    </w:rPr>
                    <w:t>。</w:t>
                  </w:r>
                </w:p>
                <w:p>
                  <w:pPr>
                    <w:adjustRightInd w:val="0"/>
                    <w:snapToGrid w:val="0"/>
                    <w:rPr>
                      <w:color w:val="auto"/>
                      <w:szCs w:val="21"/>
                    </w:rPr>
                  </w:pPr>
                  <w:r>
                    <w:rPr>
                      <w:color w:val="auto"/>
                      <w:szCs w:val="21"/>
                    </w:rPr>
                    <w:t>b.各场地生产用水、冲洗用水等优先考虑沉淀后的上层清水回用，不够的再补充新鲜水。</w:t>
                  </w:r>
                </w:p>
                <w:p>
                  <w:pPr>
                    <w:adjustRightInd w:val="0"/>
                    <w:snapToGrid w:val="0"/>
                    <w:rPr>
                      <w:color w:val="auto"/>
                      <w:szCs w:val="21"/>
                    </w:rPr>
                  </w:pPr>
                  <w:r>
                    <w:rPr>
                      <w:color w:val="auto"/>
                      <w:szCs w:val="21"/>
                    </w:rPr>
                    <w:t>c.场内设置排水沟将废水汇集至沉淀池处理，针对雨水仅收集初期雨水，开始下雨15分钟后的雨水不再进入沉淀池，此时开启排水沟汇入沉淀池前端的截流措施，部分雨水截流于排水沟中，其余不能收集的雨水径流至场外，通过上述措施，保证沉淀池中含中渣土不外排。</w:t>
                  </w:r>
                </w:p>
                <w:p>
                  <w:pPr>
                    <w:adjustRightInd w:val="0"/>
                    <w:snapToGrid w:val="0"/>
                    <w:rPr>
                      <w:color w:val="auto"/>
                      <w:szCs w:val="21"/>
                    </w:rPr>
                  </w:pPr>
                  <w:r>
                    <w:rPr>
                      <w:color w:val="auto"/>
                      <w:szCs w:val="21"/>
                    </w:rPr>
                    <w:t>（3）粉尘非正常排放风险防范措施</w:t>
                  </w:r>
                </w:p>
                <w:p>
                  <w:pPr>
                    <w:adjustRightInd w:val="0"/>
                    <w:snapToGrid w:val="0"/>
                    <w:rPr>
                      <w:color w:val="auto"/>
                      <w:szCs w:val="21"/>
                    </w:rPr>
                  </w:pPr>
                  <w:r>
                    <w:rPr>
                      <w:color w:val="auto"/>
                      <w:szCs w:val="21"/>
                    </w:rPr>
                    <w:t>a.定期维护筒仓仓顶除尘器正常运行，更换除尘器布袋。</w:t>
                  </w:r>
                </w:p>
                <w:p>
                  <w:pPr>
                    <w:adjustRightInd w:val="0"/>
                    <w:snapToGrid w:val="0"/>
                    <w:rPr>
                      <w:color w:val="auto"/>
                      <w:szCs w:val="21"/>
                    </w:rPr>
                  </w:pPr>
                  <w:r>
                    <w:rPr>
                      <w:color w:val="auto"/>
                      <w:szCs w:val="21"/>
                    </w:rPr>
                    <w:t>b.若出现仓顶除尘器运行故障，需及时停止生产，待设备维修后可正常使用时才可开展生产，须保证生产设施和环保设施同时运行。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20" w:type="dxa"/>
                  <w:gridSpan w:val="6"/>
                  <w:tcBorders>
                    <w:tl2br w:val="nil"/>
                    <w:tr2bl w:val="nil"/>
                  </w:tcBorders>
                  <w:vAlign w:val="center"/>
                </w:tcPr>
                <w:p>
                  <w:pPr>
                    <w:adjustRightInd w:val="0"/>
                    <w:snapToGrid w:val="0"/>
                    <w:rPr>
                      <w:color w:val="auto"/>
                      <w:szCs w:val="21"/>
                    </w:rPr>
                  </w:pPr>
                  <w:r>
                    <w:rPr>
                      <w:b/>
                      <w:bCs/>
                      <w:color w:val="auto"/>
                      <w:szCs w:val="21"/>
                    </w:rPr>
                    <w:t>填表说明（列出项目相关信息及评价说明）：/</w:t>
                  </w:r>
                </w:p>
              </w:tc>
            </w:tr>
          </w:tbl>
          <w:p>
            <w:pPr>
              <w:pStyle w:val="53"/>
              <w:adjustRightInd w:val="0"/>
              <w:snapToGrid w:val="0"/>
              <w:spacing w:line="360" w:lineRule="auto"/>
              <w:ind w:firstLine="480"/>
              <w:rPr>
                <w:rFonts w:cs="Times New Roman"/>
                <w:color w:val="auto"/>
                <w:sz w:val="24"/>
                <w:szCs w:val="24"/>
              </w:rPr>
            </w:pPr>
            <w:r>
              <w:rPr>
                <w:rFonts w:cs="Times New Roman"/>
                <w:color w:val="auto"/>
                <w:sz w:val="24"/>
                <w:szCs w:val="24"/>
              </w:rPr>
              <w:t>采取以上风险防范措施后，本项目风险水平处于可接受程度。</w:t>
            </w:r>
          </w:p>
          <w:p>
            <w:pPr>
              <w:pStyle w:val="53"/>
              <w:adjustRightInd w:val="0"/>
              <w:snapToGrid w:val="0"/>
              <w:spacing w:line="360" w:lineRule="auto"/>
              <w:ind w:firstLine="480"/>
              <w:rPr>
                <w:rFonts w:cs="Times New Roman"/>
                <w:color w:val="auto"/>
                <w:sz w:val="24"/>
                <w:szCs w:val="24"/>
              </w:rPr>
            </w:pPr>
            <w:r>
              <w:rPr>
                <w:rFonts w:cs="Times New Roman"/>
                <w:color w:val="auto"/>
                <w:sz w:val="24"/>
                <w:szCs w:val="24"/>
              </w:rPr>
              <w:t>本项目风险防范应急措施一览表如下所示：</w:t>
            </w:r>
          </w:p>
          <w:p>
            <w:pPr>
              <w:adjustRightInd w:val="0"/>
              <w:snapToGrid w:val="0"/>
              <w:spacing w:line="360" w:lineRule="auto"/>
              <w:jc w:val="center"/>
              <w:rPr>
                <w:rFonts w:eastAsia="黑体"/>
                <w:color w:val="auto"/>
                <w:szCs w:val="21"/>
              </w:rPr>
            </w:pPr>
            <w:r>
              <w:rPr>
                <w:rFonts w:eastAsia="黑体"/>
                <w:color w:val="auto"/>
                <w:szCs w:val="21"/>
              </w:rPr>
              <w:t>表4-1</w:t>
            </w:r>
            <w:r>
              <w:rPr>
                <w:rFonts w:hint="eastAsia" w:eastAsia="黑体"/>
                <w:color w:val="auto"/>
                <w:szCs w:val="21"/>
                <w:lang w:val="en-US" w:eastAsia="zh-CN"/>
              </w:rPr>
              <w:t>7</w:t>
            </w:r>
            <w:r>
              <w:rPr>
                <w:rFonts w:eastAsia="黑体"/>
                <w:color w:val="auto"/>
                <w:szCs w:val="21"/>
              </w:rPr>
              <w:t xml:space="preserve">  风险防范应急措施投资一览表</w:t>
            </w:r>
          </w:p>
          <w:tbl>
            <w:tblPr>
              <w:tblStyle w:val="41"/>
              <w:tblW w:w="85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9"/>
              <w:gridCol w:w="3945"/>
              <w:gridCol w:w="1698"/>
              <w:gridCol w:w="15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tcBorders>
                    <w:tl2br w:val="nil"/>
                    <w:tr2bl w:val="nil"/>
                  </w:tcBorders>
                  <w:vAlign w:val="center"/>
                </w:tcPr>
                <w:p>
                  <w:pPr>
                    <w:adjustRightInd w:val="0"/>
                    <w:snapToGrid w:val="0"/>
                    <w:jc w:val="center"/>
                    <w:rPr>
                      <w:b/>
                      <w:bCs/>
                      <w:color w:val="auto"/>
                      <w:szCs w:val="21"/>
                    </w:rPr>
                  </w:pPr>
                  <w:r>
                    <w:rPr>
                      <w:b/>
                      <w:bCs/>
                      <w:color w:val="auto"/>
                      <w:szCs w:val="21"/>
                    </w:rPr>
                    <w:t>名称</w:t>
                  </w:r>
                </w:p>
              </w:tc>
              <w:tc>
                <w:tcPr>
                  <w:tcW w:w="3945" w:type="dxa"/>
                  <w:tcBorders>
                    <w:tl2br w:val="nil"/>
                    <w:tr2bl w:val="nil"/>
                  </w:tcBorders>
                  <w:vAlign w:val="center"/>
                </w:tcPr>
                <w:p>
                  <w:pPr>
                    <w:adjustRightInd w:val="0"/>
                    <w:snapToGrid w:val="0"/>
                    <w:jc w:val="center"/>
                    <w:rPr>
                      <w:b/>
                      <w:bCs/>
                      <w:color w:val="auto"/>
                      <w:szCs w:val="21"/>
                    </w:rPr>
                  </w:pPr>
                  <w:r>
                    <w:rPr>
                      <w:b/>
                      <w:bCs/>
                      <w:color w:val="auto"/>
                      <w:szCs w:val="21"/>
                    </w:rPr>
                    <w:t>方案</w:t>
                  </w:r>
                </w:p>
              </w:tc>
              <w:tc>
                <w:tcPr>
                  <w:tcW w:w="1698" w:type="dxa"/>
                  <w:tcBorders>
                    <w:tl2br w:val="nil"/>
                    <w:tr2bl w:val="nil"/>
                  </w:tcBorders>
                  <w:vAlign w:val="center"/>
                </w:tcPr>
                <w:p>
                  <w:pPr>
                    <w:adjustRightInd w:val="0"/>
                    <w:snapToGrid w:val="0"/>
                    <w:jc w:val="center"/>
                    <w:rPr>
                      <w:b/>
                      <w:bCs/>
                      <w:color w:val="auto"/>
                      <w:szCs w:val="21"/>
                    </w:rPr>
                  </w:pPr>
                  <w:r>
                    <w:rPr>
                      <w:b/>
                      <w:bCs/>
                      <w:color w:val="auto"/>
                      <w:szCs w:val="21"/>
                    </w:rPr>
                    <w:t>处理效果</w:t>
                  </w:r>
                </w:p>
              </w:tc>
              <w:tc>
                <w:tcPr>
                  <w:tcW w:w="1574" w:type="dxa"/>
                  <w:tcBorders>
                    <w:tl2br w:val="nil"/>
                    <w:tr2bl w:val="nil"/>
                  </w:tcBorders>
                  <w:vAlign w:val="center"/>
                </w:tcPr>
                <w:p>
                  <w:pPr>
                    <w:adjustRightInd w:val="0"/>
                    <w:snapToGrid w:val="0"/>
                    <w:jc w:val="center"/>
                    <w:rPr>
                      <w:b/>
                      <w:bCs/>
                      <w:color w:val="auto"/>
                      <w:szCs w:val="21"/>
                    </w:rPr>
                  </w:pPr>
                  <w:r>
                    <w:rPr>
                      <w:b/>
                      <w:bCs/>
                      <w:color w:val="auto"/>
                      <w:szCs w:val="21"/>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tcBorders>
                    <w:tl2br w:val="nil"/>
                    <w:tr2bl w:val="nil"/>
                  </w:tcBorders>
                  <w:vAlign w:val="center"/>
                </w:tcPr>
                <w:p>
                  <w:pPr>
                    <w:adjustRightInd w:val="0"/>
                    <w:snapToGrid w:val="0"/>
                    <w:jc w:val="center"/>
                    <w:rPr>
                      <w:color w:val="auto"/>
                      <w:szCs w:val="21"/>
                    </w:rPr>
                  </w:pPr>
                  <w:r>
                    <w:rPr>
                      <w:color w:val="auto"/>
                      <w:szCs w:val="21"/>
                    </w:rPr>
                    <w:t>消防系统</w:t>
                  </w:r>
                </w:p>
              </w:tc>
              <w:tc>
                <w:tcPr>
                  <w:tcW w:w="3945" w:type="dxa"/>
                  <w:tcBorders>
                    <w:tl2br w:val="nil"/>
                    <w:tr2bl w:val="nil"/>
                  </w:tcBorders>
                  <w:vAlign w:val="center"/>
                </w:tcPr>
                <w:p>
                  <w:pPr>
                    <w:adjustRightInd w:val="0"/>
                    <w:snapToGrid w:val="0"/>
                    <w:jc w:val="center"/>
                    <w:rPr>
                      <w:color w:val="auto"/>
                      <w:szCs w:val="21"/>
                    </w:rPr>
                  </w:pPr>
                  <w:r>
                    <w:rPr>
                      <w:color w:val="auto"/>
                      <w:szCs w:val="21"/>
                    </w:rPr>
                    <w:t>设置灭火器、消防沙袋等消防器材</w:t>
                  </w:r>
                </w:p>
              </w:tc>
              <w:tc>
                <w:tcPr>
                  <w:tcW w:w="1698" w:type="dxa"/>
                  <w:tcBorders>
                    <w:tl2br w:val="nil"/>
                    <w:tr2bl w:val="nil"/>
                  </w:tcBorders>
                  <w:vAlign w:val="center"/>
                </w:tcPr>
                <w:p>
                  <w:pPr>
                    <w:adjustRightInd w:val="0"/>
                    <w:snapToGrid w:val="0"/>
                    <w:jc w:val="center"/>
                    <w:rPr>
                      <w:color w:val="auto"/>
                      <w:szCs w:val="21"/>
                    </w:rPr>
                  </w:pPr>
                  <w:r>
                    <w:rPr>
                      <w:color w:val="auto"/>
                      <w:szCs w:val="21"/>
                    </w:rPr>
                    <w:t>风险可接受水平</w:t>
                  </w:r>
                </w:p>
              </w:tc>
              <w:tc>
                <w:tcPr>
                  <w:tcW w:w="1574" w:type="dxa"/>
                  <w:tcBorders>
                    <w:tl2br w:val="nil"/>
                    <w:tr2bl w:val="nil"/>
                  </w:tcBorders>
                  <w:vAlign w:val="center"/>
                </w:tcPr>
                <w:p>
                  <w:pPr>
                    <w:adjustRightInd w:val="0"/>
                    <w:snapToGrid w:val="0"/>
                    <w:jc w:val="center"/>
                    <w:rPr>
                      <w:color w:val="auto"/>
                      <w:szCs w:val="21"/>
                    </w:rPr>
                  </w:pPr>
                  <w:r>
                    <w:rPr>
                      <w:color w:val="auto"/>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tcBorders>
                    <w:tl2br w:val="nil"/>
                    <w:tr2bl w:val="nil"/>
                  </w:tcBorders>
                  <w:vAlign w:val="center"/>
                </w:tcPr>
                <w:p>
                  <w:pPr>
                    <w:adjustRightInd w:val="0"/>
                    <w:snapToGrid w:val="0"/>
                    <w:jc w:val="center"/>
                    <w:rPr>
                      <w:color w:val="auto"/>
                      <w:szCs w:val="21"/>
                    </w:rPr>
                  </w:pPr>
                  <w:r>
                    <w:rPr>
                      <w:color w:val="auto"/>
                      <w:szCs w:val="21"/>
                    </w:rPr>
                    <w:t>机械</w:t>
                  </w:r>
                </w:p>
              </w:tc>
              <w:tc>
                <w:tcPr>
                  <w:tcW w:w="3945" w:type="dxa"/>
                  <w:tcBorders>
                    <w:tl2br w:val="nil"/>
                    <w:tr2bl w:val="nil"/>
                  </w:tcBorders>
                  <w:vAlign w:val="center"/>
                </w:tcPr>
                <w:p>
                  <w:pPr>
                    <w:adjustRightInd w:val="0"/>
                    <w:snapToGrid w:val="0"/>
                    <w:jc w:val="center"/>
                    <w:rPr>
                      <w:color w:val="auto"/>
                      <w:szCs w:val="21"/>
                    </w:rPr>
                  </w:pPr>
                  <w:r>
                    <w:rPr>
                      <w:color w:val="auto"/>
                      <w:szCs w:val="21"/>
                    </w:rPr>
                    <w:t>跑冒滴漏易发点设置托盘</w:t>
                  </w:r>
                </w:p>
              </w:tc>
              <w:tc>
                <w:tcPr>
                  <w:tcW w:w="1698" w:type="dxa"/>
                  <w:tcBorders>
                    <w:tl2br w:val="nil"/>
                    <w:tr2bl w:val="nil"/>
                  </w:tcBorders>
                  <w:vAlign w:val="center"/>
                </w:tcPr>
                <w:p>
                  <w:pPr>
                    <w:adjustRightInd w:val="0"/>
                    <w:snapToGrid w:val="0"/>
                    <w:jc w:val="center"/>
                    <w:rPr>
                      <w:color w:val="auto"/>
                      <w:szCs w:val="21"/>
                    </w:rPr>
                  </w:pPr>
                  <w:r>
                    <w:rPr>
                      <w:color w:val="auto"/>
                      <w:szCs w:val="21"/>
                    </w:rPr>
                    <w:t>风险可接受水平</w:t>
                  </w:r>
                </w:p>
              </w:tc>
              <w:tc>
                <w:tcPr>
                  <w:tcW w:w="1574" w:type="dxa"/>
                  <w:tcBorders>
                    <w:tl2br w:val="nil"/>
                    <w:tr2bl w:val="nil"/>
                  </w:tcBorders>
                  <w:vAlign w:val="center"/>
                </w:tcPr>
                <w:p>
                  <w:pPr>
                    <w:adjustRightInd w:val="0"/>
                    <w:snapToGrid w:val="0"/>
                    <w:jc w:val="center"/>
                    <w:rPr>
                      <w:color w:val="auto"/>
                      <w:szCs w:val="21"/>
                    </w:rPr>
                  </w:pPr>
                  <w:r>
                    <w:rPr>
                      <w:color w:val="auto"/>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52" w:type="dxa"/>
                  <w:gridSpan w:val="3"/>
                  <w:tcBorders>
                    <w:tl2br w:val="nil"/>
                    <w:tr2bl w:val="nil"/>
                  </w:tcBorders>
                  <w:vAlign w:val="center"/>
                </w:tcPr>
                <w:p>
                  <w:pPr>
                    <w:adjustRightInd w:val="0"/>
                    <w:snapToGrid w:val="0"/>
                    <w:jc w:val="center"/>
                    <w:rPr>
                      <w:color w:val="auto"/>
                      <w:szCs w:val="21"/>
                    </w:rPr>
                  </w:pPr>
                  <w:r>
                    <w:rPr>
                      <w:color w:val="auto"/>
                      <w:szCs w:val="21"/>
                    </w:rPr>
                    <w:t>合计</w:t>
                  </w:r>
                </w:p>
              </w:tc>
              <w:tc>
                <w:tcPr>
                  <w:tcW w:w="1574" w:type="dxa"/>
                  <w:tcBorders>
                    <w:tl2br w:val="nil"/>
                    <w:tr2bl w:val="nil"/>
                  </w:tcBorders>
                  <w:vAlign w:val="center"/>
                </w:tcPr>
                <w:p>
                  <w:pPr>
                    <w:adjustRightInd w:val="0"/>
                    <w:snapToGrid w:val="0"/>
                    <w:jc w:val="center"/>
                    <w:rPr>
                      <w:color w:val="auto"/>
                      <w:szCs w:val="21"/>
                    </w:rPr>
                  </w:pPr>
                  <w:r>
                    <w:rPr>
                      <w:color w:val="auto"/>
                      <w:szCs w:val="21"/>
                    </w:rPr>
                    <w:t>2.0</w:t>
                  </w:r>
                </w:p>
              </w:tc>
            </w:tr>
          </w:tbl>
          <w:p>
            <w:pPr>
              <w:spacing w:line="360" w:lineRule="auto"/>
              <w:ind w:firstLine="482" w:firstLineChars="200"/>
              <w:jc w:val="left"/>
              <w:rPr>
                <w:b/>
                <w:bCs/>
                <w:color w:val="auto"/>
                <w:sz w:val="24"/>
              </w:rPr>
            </w:pPr>
            <w:r>
              <w:rPr>
                <w:b/>
                <w:bCs/>
                <w:color w:val="auto"/>
                <w:sz w:val="24"/>
              </w:rPr>
              <w:t>10、环保投资</w:t>
            </w:r>
          </w:p>
          <w:p>
            <w:pPr>
              <w:spacing w:line="360" w:lineRule="auto"/>
              <w:ind w:firstLine="480" w:firstLineChars="200"/>
              <w:rPr>
                <w:b/>
                <w:color w:val="auto"/>
                <w:szCs w:val="21"/>
              </w:rPr>
            </w:pPr>
            <w:r>
              <w:rPr>
                <w:color w:val="auto"/>
                <w:sz w:val="24"/>
              </w:rPr>
              <w:t>本项目建设总投资300万元，估算本项目环保建设投资约35.2万元，占工程总投资的11.7%，需投入的环保设施及投资见下表4-1</w:t>
            </w:r>
            <w:r>
              <w:rPr>
                <w:rFonts w:hint="eastAsia"/>
                <w:color w:val="auto"/>
                <w:sz w:val="24"/>
                <w:lang w:val="en-US" w:eastAsia="zh-CN"/>
              </w:rPr>
              <w:t>8</w:t>
            </w:r>
            <w:r>
              <w:rPr>
                <w:color w:val="auto"/>
                <w:sz w:val="24"/>
              </w:rPr>
              <w:t>。</w:t>
            </w:r>
          </w:p>
          <w:p>
            <w:pPr>
              <w:spacing w:line="360" w:lineRule="auto"/>
              <w:jc w:val="center"/>
              <w:rPr>
                <w:b/>
                <w:color w:val="auto"/>
                <w:szCs w:val="21"/>
              </w:rPr>
            </w:pPr>
            <w:r>
              <w:rPr>
                <w:b/>
                <w:color w:val="auto"/>
                <w:szCs w:val="21"/>
              </w:rPr>
              <w:t>表4-1</w:t>
            </w:r>
            <w:r>
              <w:rPr>
                <w:rFonts w:hint="eastAsia"/>
                <w:b/>
                <w:color w:val="auto"/>
                <w:szCs w:val="21"/>
                <w:lang w:val="en-US" w:eastAsia="zh-CN"/>
              </w:rPr>
              <w:t>8</w:t>
            </w:r>
            <w:r>
              <w:rPr>
                <w:b/>
                <w:color w:val="auto"/>
                <w:szCs w:val="21"/>
              </w:rPr>
              <w:t xml:space="preserve">  环保治理措施及投资估算一览表</w:t>
            </w:r>
          </w:p>
          <w:tbl>
            <w:tblPr>
              <w:tblStyle w:val="41"/>
              <w:tblW w:w="85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2"/>
              <w:gridCol w:w="1142"/>
              <w:gridCol w:w="1288"/>
              <w:gridCol w:w="3975"/>
              <w:gridCol w:w="10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Align w:val="center"/>
                </w:tcPr>
                <w:p>
                  <w:pPr>
                    <w:adjustRightInd w:val="0"/>
                    <w:snapToGrid w:val="0"/>
                    <w:jc w:val="center"/>
                    <w:rPr>
                      <w:b/>
                      <w:bCs/>
                      <w:color w:val="auto"/>
                      <w:szCs w:val="21"/>
                    </w:rPr>
                  </w:pPr>
                  <w:r>
                    <w:rPr>
                      <w:b/>
                      <w:bCs/>
                      <w:color w:val="auto"/>
                      <w:szCs w:val="21"/>
                    </w:rPr>
                    <w:t>时段</w:t>
                  </w:r>
                </w:p>
              </w:tc>
              <w:tc>
                <w:tcPr>
                  <w:tcW w:w="1142" w:type="dxa"/>
                  <w:vAlign w:val="center"/>
                </w:tcPr>
                <w:p>
                  <w:pPr>
                    <w:adjustRightInd w:val="0"/>
                    <w:snapToGrid w:val="0"/>
                    <w:jc w:val="center"/>
                    <w:rPr>
                      <w:b/>
                      <w:bCs/>
                      <w:color w:val="auto"/>
                      <w:szCs w:val="21"/>
                    </w:rPr>
                  </w:pPr>
                  <w:r>
                    <w:rPr>
                      <w:b/>
                      <w:bCs/>
                      <w:color w:val="auto"/>
                      <w:szCs w:val="21"/>
                    </w:rPr>
                    <w:t>污染类型</w:t>
                  </w:r>
                </w:p>
              </w:tc>
              <w:tc>
                <w:tcPr>
                  <w:tcW w:w="1288" w:type="dxa"/>
                  <w:vAlign w:val="center"/>
                </w:tcPr>
                <w:p>
                  <w:pPr>
                    <w:adjustRightInd w:val="0"/>
                    <w:snapToGrid w:val="0"/>
                    <w:jc w:val="center"/>
                    <w:rPr>
                      <w:b/>
                      <w:bCs/>
                      <w:color w:val="auto"/>
                      <w:szCs w:val="21"/>
                    </w:rPr>
                  </w:pPr>
                  <w:r>
                    <w:rPr>
                      <w:b/>
                      <w:bCs/>
                      <w:color w:val="auto"/>
                      <w:szCs w:val="21"/>
                    </w:rPr>
                    <w:t>项目</w:t>
                  </w:r>
                </w:p>
              </w:tc>
              <w:tc>
                <w:tcPr>
                  <w:tcW w:w="3975" w:type="dxa"/>
                  <w:vAlign w:val="center"/>
                </w:tcPr>
                <w:p>
                  <w:pPr>
                    <w:adjustRightInd w:val="0"/>
                    <w:snapToGrid w:val="0"/>
                    <w:jc w:val="center"/>
                    <w:rPr>
                      <w:b/>
                      <w:bCs/>
                      <w:color w:val="auto"/>
                      <w:szCs w:val="21"/>
                    </w:rPr>
                  </w:pPr>
                  <w:r>
                    <w:rPr>
                      <w:b/>
                      <w:bCs/>
                      <w:color w:val="auto"/>
                      <w:szCs w:val="21"/>
                    </w:rPr>
                    <w:t>内容</w:t>
                  </w:r>
                </w:p>
              </w:tc>
              <w:tc>
                <w:tcPr>
                  <w:tcW w:w="1018" w:type="dxa"/>
                  <w:vAlign w:val="center"/>
                </w:tcPr>
                <w:p>
                  <w:pPr>
                    <w:adjustRightInd w:val="0"/>
                    <w:snapToGrid w:val="0"/>
                    <w:jc w:val="center"/>
                    <w:rPr>
                      <w:b/>
                      <w:bCs/>
                      <w:color w:val="auto"/>
                      <w:szCs w:val="21"/>
                    </w:rPr>
                  </w:pPr>
                  <w:r>
                    <w:rPr>
                      <w:b/>
                      <w:bCs/>
                      <w:color w:val="auto"/>
                      <w:szCs w:val="21"/>
                    </w:rPr>
                    <w:t>投资</w:t>
                  </w:r>
                </w:p>
                <w:p>
                  <w:pPr>
                    <w:adjustRightInd w:val="0"/>
                    <w:snapToGrid w:val="0"/>
                    <w:jc w:val="center"/>
                    <w:rPr>
                      <w:b/>
                      <w:bCs/>
                      <w:color w:val="auto"/>
                      <w:szCs w:val="21"/>
                    </w:rPr>
                  </w:pPr>
                  <w:r>
                    <w:rPr>
                      <w:b/>
                      <w:bCs/>
                      <w:color w:val="auto"/>
                      <w:szCs w:val="21"/>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32" w:type="dxa"/>
                  <w:vMerge w:val="restart"/>
                  <w:vAlign w:val="center"/>
                </w:tcPr>
                <w:p>
                  <w:pPr>
                    <w:widowControl/>
                    <w:adjustRightInd w:val="0"/>
                    <w:snapToGrid w:val="0"/>
                    <w:jc w:val="center"/>
                    <w:rPr>
                      <w:color w:val="auto"/>
                      <w:szCs w:val="21"/>
                    </w:rPr>
                  </w:pPr>
                  <w:r>
                    <w:rPr>
                      <w:color w:val="auto"/>
                      <w:szCs w:val="21"/>
                    </w:rPr>
                    <w:t>施工期</w:t>
                  </w:r>
                </w:p>
              </w:tc>
              <w:tc>
                <w:tcPr>
                  <w:tcW w:w="1142" w:type="dxa"/>
                  <w:vAlign w:val="center"/>
                </w:tcPr>
                <w:p>
                  <w:pPr>
                    <w:autoSpaceDE w:val="0"/>
                    <w:jc w:val="center"/>
                    <w:rPr>
                      <w:color w:val="auto"/>
                      <w:szCs w:val="21"/>
                    </w:rPr>
                  </w:pPr>
                  <w:r>
                    <w:rPr>
                      <w:color w:val="auto"/>
                      <w:szCs w:val="21"/>
                    </w:rPr>
                    <w:t>废气治理</w:t>
                  </w:r>
                </w:p>
              </w:tc>
              <w:tc>
                <w:tcPr>
                  <w:tcW w:w="1288" w:type="dxa"/>
                  <w:vAlign w:val="center"/>
                </w:tcPr>
                <w:p>
                  <w:pPr>
                    <w:adjustRightInd w:val="0"/>
                    <w:snapToGrid w:val="0"/>
                    <w:jc w:val="center"/>
                    <w:rPr>
                      <w:color w:val="auto"/>
                      <w:szCs w:val="21"/>
                    </w:rPr>
                  </w:pPr>
                  <w:r>
                    <w:rPr>
                      <w:color w:val="auto"/>
                      <w:szCs w:val="21"/>
                    </w:rPr>
                    <w:t>扬尘</w:t>
                  </w:r>
                </w:p>
              </w:tc>
              <w:tc>
                <w:tcPr>
                  <w:tcW w:w="3975" w:type="dxa"/>
                  <w:vAlign w:val="center"/>
                </w:tcPr>
                <w:p>
                  <w:pPr>
                    <w:autoSpaceDE w:val="0"/>
                    <w:jc w:val="center"/>
                    <w:rPr>
                      <w:color w:val="auto"/>
                      <w:szCs w:val="21"/>
                    </w:rPr>
                  </w:pPr>
                  <w:r>
                    <w:rPr>
                      <w:color w:val="auto"/>
                      <w:szCs w:val="21"/>
                    </w:rPr>
                    <w:t>洒水降尘、封闭施工、车辆运输篷布围挡</w:t>
                  </w:r>
                </w:p>
              </w:tc>
              <w:tc>
                <w:tcPr>
                  <w:tcW w:w="1018" w:type="dxa"/>
                  <w:vAlign w:val="center"/>
                </w:tcPr>
                <w:p>
                  <w:pPr>
                    <w:adjustRightInd w:val="0"/>
                    <w:snapToGrid w:val="0"/>
                    <w:jc w:val="center"/>
                    <w:rPr>
                      <w:color w:val="auto"/>
                      <w:szCs w:val="21"/>
                    </w:rPr>
                  </w:pPr>
                  <w:r>
                    <w:rPr>
                      <w:color w:val="auto"/>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32" w:type="dxa"/>
                  <w:vMerge w:val="continue"/>
                  <w:vAlign w:val="center"/>
                </w:tcPr>
                <w:p>
                  <w:pPr>
                    <w:widowControl/>
                    <w:adjustRightInd w:val="0"/>
                    <w:snapToGrid w:val="0"/>
                    <w:jc w:val="center"/>
                    <w:rPr>
                      <w:color w:val="auto"/>
                      <w:szCs w:val="21"/>
                    </w:rPr>
                  </w:pPr>
                </w:p>
              </w:tc>
              <w:tc>
                <w:tcPr>
                  <w:tcW w:w="1142" w:type="dxa"/>
                  <w:vAlign w:val="center"/>
                </w:tcPr>
                <w:p>
                  <w:pPr>
                    <w:autoSpaceDE w:val="0"/>
                    <w:jc w:val="center"/>
                    <w:rPr>
                      <w:color w:val="auto"/>
                      <w:szCs w:val="21"/>
                    </w:rPr>
                  </w:pPr>
                  <w:r>
                    <w:rPr>
                      <w:color w:val="auto"/>
                      <w:szCs w:val="21"/>
                    </w:rPr>
                    <w:t>废水治理</w:t>
                  </w:r>
                </w:p>
              </w:tc>
              <w:tc>
                <w:tcPr>
                  <w:tcW w:w="1288" w:type="dxa"/>
                  <w:vAlign w:val="center"/>
                </w:tcPr>
                <w:p>
                  <w:pPr>
                    <w:adjustRightInd w:val="0"/>
                    <w:snapToGrid w:val="0"/>
                    <w:jc w:val="center"/>
                    <w:rPr>
                      <w:color w:val="auto"/>
                      <w:szCs w:val="21"/>
                    </w:rPr>
                  </w:pPr>
                  <w:r>
                    <w:rPr>
                      <w:color w:val="auto"/>
                      <w:szCs w:val="21"/>
                    </w:rPr>
                    <w:t>生活污水、施工废水</w:t>
                  </w:r>
                </w:p>
              </w:tc>
              <w:tc>
                <w:tcPr>
                  <w:tcW w:w="3975" w:type="dxa"/>
                  <w:vAlign w:val="center"/>
                </w:tcPr>
                <w:p>
                  <w:pPr>
                    <w:autoSpaceDE w:val="0"/>
                    <w:jc w:val="center"/>
                    <w:rPr>
                      <w:color w:val="auto"/>
                      <w:szCs w:val="21"/>
                    </w:rPr>
                  </w:pPr>
                  <w:r>
                    <w:rPr>
                      <w:color w:val="auto"/>
                      <w:szCs w:val="21"/>
                    </w:rPr>
                    <w:t>施工废水经沉淀池处理后可回用，不外排；生活污水依托已有化粪池收集后，用作农肥</w:t>
                  </w:r>
                </w:p>
              </w:tc>
              <w:tc>
                <w:tcPr>
                  <w:tcW w:w="1018" w:type="dxa"/>
                  <w:vAlign w:val="center"/>
                </w:tcPr>
                <w:p>
                  <w:pPr>
                    <w:adjustRightInd w:val="0"/>
                    <w:snapToGrid w:val="0"/>
                    <w:jc w:val="center"/>
                    <w:rPr>
                      <w:rFonts w:eastAsiaTheme="minorEastAsia"/>
                      <w:color w:val="auto"/>
                      <w:szCs w:val="21"/>
                    </w:rPr>
                  </w:pPr>
                  <w:r>
                    <w:rPr>
                      <w:color w:val="auto"/>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Merge w:val="continue"/>
                  <w:vAlign w:val="center"/>
                </w:tcPr>
                <w:p>
                  <w:pPr>
                    <w:adjustRightInd w:val="0"/>
                    <w:snapToGrid w:val="0"/>
                    <w:jc w:val="center"/>
                    <w:rPr>
                      <w:color w:val="auto"/>
                      <w:szCs w:val="21"/>
                    </w:rPr>
                  </w:pPr>
                </w:p>
              </w:tc>
              <w:tc>
                <w:tcPr>
                  <w:tcW w:w="1142" w:type="dxa"/>
                  <w:vAlign w:val="center"/>
                </w:tcPr>
                <w:p>
                  <w:pPr>
                    <w:autoSpaceDE w:val="0"/>
                    <w:jc w:val="center"/>
                    <w:rPr>
                      <w:color w:val="auto"/>
                      <w:szCs w:val="21"/>
                    </w:rPr>
                  </w:pPr>
                  <w:r>
                    <w:rPr>
                      <w:color w:val="auto"/>
                      <w:szCs w:val="21"/>
                    </w:rPr>
                    <w:t>噪声治理</w:t>
                  </w:r>
                </w:p>
              </w:tc>
              <w:tc>
                <w:tcPr>
                  <w:tcW w:w="1288" w:type="dxa"/>
                  <w:vAlign w:val="center"/>
                </w:tcPr>
                <w:p>
                  <w:pPr>
                    <w:adjustRightInd w:val="0"/>
                    <w:snapToGrid w:val="0"/>
                    <w:jc w:val="center"/>
                    <w:rPr>
                      <w:color w:val="auto"/>
                      <w:szCs w:val="21"/>
                    </w:rPr>
                  </w:pPr>
                  <w:r>
                    <w:rPr>
                      <w:color w:val="auto"/>
                      <w:szCs w:val="21"/>
                    </w:rPr>
                    <w:t>施工噪声</w:t>
                  </w:r>
                </w:p>
              </w:tc>
              <w:tc>
                <w:tcPr>
                  <w:tcW w:w="3975" w:type="dxa"/>
                  <w:vAlign w:val="center"/>
                </w:tcPr>
                <w:p>
                  <w:pPr>
                    <w:autoSpaceDE w:val="0"/>
                    <w:jc w:val="center"/>
                    <w:rPr>
                      <w:color w:val="auto"/>
                      <w:szCs w:val="21"/>
                    </w:rPr>
                  </w:pPr>
                  <w:r>
                    <w:rPr>
                      <w:color w:val="auto"/>
                      <w:szCs w:val="21"/>
                    </w:rPr>
                    <w:t>加强管理、禁止夜间施工</w:t>
                  </w:r>
                </w:p>
              </w:tc>
              <w:tc>
                <w:tcPr>
                  <w:tcW w:w="1018" w:type="dxa"/>
                  <w:vAlign w:val="center"/>
                </w:tcPr>
                <w:p>
                  <w:pPr>
                    <w:adjustRightInd w:val="0"/>
                    <w:snapToGrid w:val="0"/>
                    <w:jc w:val="center"/>
                    <w:rPr>
                      <w:rFonts w:eastAsiaTheme="minorEastAsia"/>
                      <w:color w:val="auto"/>
                      <w:szCs w:val="21"/>
                    </w:rPr>
                  </w:pPr>
                  <w:r>
                    <w:rPr>
                      <w:rFonts w:eastAsiaTheme="minor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Merge w:val="continue"/>
                  <w:vAlign w:val="center"/>
                </w:tcPr>
                <w:p>
                  <w:pPr>
                    <w:adjustRightInd w:val="0"/>
                    <w:snapToGrid w:val="0"/>
                    <w:jc w:val="center"/>
                    <w:rPr>
                      <w:color w:val="auto"/>
                      <w:szCs w:val="21"/>
                    </w:rPr>
                  </w:pPr>
                </w:p>
              </w:tc>
              <w:tc>
                <w:tcPr>
                  <w:tcW w:w="1142" w:type="dxa"/>
                  <w:vAlign w:val="center"/>
                </w:tcPr>
                <w:p>
                  <w:pPr>
                    <w:autoSpaceDE w:val="0"/>
                    <w:jc w:val="center"/>
                    <w:rPr>
                      <w:rFonts w:eastAsiaTheme="minorEastAsia"/>
                      <w:color w:val="auto"/>
                      <w:szCs w:val="21"/>
                    </w:rPr>
                  </w:pPr>
                  <w:r>
                    <w:rPr>
                      <w:color w:val="auto"/>
                      <w:szCs w:val="21"/>
                    </w:rPr>
                    <w:t>固废治理</w:t>
                  </w:r>
                </w:p>
              </w:tc>
              <w:tc>
                <w:tcPr>
                  <w:tcW w:w="1288" w:type="dxa"/>
                  <w:vAlign w:val="center"/>
                </w:tcPr>
                <w:p>
                  <w:pPr>
                    <w:adjustRightInd w:val="0"/>
                    <w:snapToGrid w:val="0"/>
                    <w:jc w:val="center"/>
                    <w:rPr>
                      <w:color w:val="auto"/>
                      <w:szCs w:val="21"/>
                    </w:rPr>
                  </w:pPr>
                  <w:r>
                    <w:rPr>
                      <w:color w:val="auto"/>
                      <w:szCs w:val="21"/>
                    </w:rPr>
                    <w:t>建筑垃圾</w:t>
                  </w:r>
                </w:p>
                <w:p>
                  <w:pPr>
                    <w:adjustRightInd w:val="0"/>
                    <w:snapToGrid w:val="0"/>
                    <w:jc w:val="center"/>
                    <w:rPr>
                      <w:color w:val="auto"/>
                      <w:szCs w:val="21"/>
                    </w:rPr>
                  </w:pPr>
                  <w:r>
                    <w:rPr>
                      <w:color w:val="auto"/>
                      <w:szCs w:val="21"/>
                    </w:rPr>
                    <w:t>生活垃圾</w:t>
                  </w:r>
                </w:p>
              </w:tc>
              <w:tc>
                <w:tcPr>
                  <w:tcW w:w="3975" w:type="dxa"/>
                  <w:vAlign w:val="center"/>
                </w:tcPr>
                <w:p>
                  <w:pPr>
                    <w:autoSpaceDE w:val="0"/>
                    <w:jc w:val="center"/>
                    <w:rPr>
                      <w:color w:val="auto"/>
                      <w:szCs w:val="21"/>
                    </w:rPr>
                  </w:pPr>
                  <w:r>
                    <w:rPr>
                      <w:color w:val="auto"/>
                      <w:szCs w:val="21"/>
                    </w:rPr>
                    <w:t>生活垃圾交由当地环卫部门处理、建筑垃圾运至政府指定渣场堆放</w:t>
                  </w:r>
                </w:p>
              </w:tc>
              <w:tc>
                <w:tcPr>
                  <w:tcW w:w="1018" w:type="dxa"/>
                  <w:vAlign w:val="center"/>
                </w:tcPr>
                <w:p>
                  <w:pPr>
                    <w:adjustRightInd w:val="0"/>
                    <w:snapToGrid w:val="0"/>
                    <w:jc w:val="center"/>
                    <w:rPr>
                      <w:color w:val="auto"/>
                      <w:szCs w:val="21"/>
                    </w:rPr>
                  </w:pPr>
                  <w:r>
                    <w:rPr>
                      <w:color w:val="auto"/>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Merge w:val="restart"/>
                  <w:vAlign w:val="center"/>
                </w:tcPr>
                <w:p>
                  <w:pPr>
                    <w:adjustRightInd w:val="0"/>
                    <w:snapToGrid w:val="0"/>
                    <w:jc w:val="center"/>
                    <w:rPr>
                      <w:color w:val="auto"/>
                      <w:szCs w:val="21"/>
                    </w:rPr>
                  </w:pPr>
                  <w:r>
                    <w:rPr>
                      <w:color w:val="auto"/>
                      <w:szCs w:val="21"/>
                    </w:rPr>
                    <w:t>运营期</w:t>
                  </w:r>
                </w:p>
              </w:tc>
              <w:tc>
                <w:tcPr>
                  <w:tcW w:w="1142" w:type="dxa"/>
                  <w:vMerge w:val="restart"/>
                  <w:vAlign w:val="center"/>
                </w:tcPr>
                <w:p>
                  <w:pPr>
                    <w:adjustRightInd w:val="0"/>
                    <w:snapToGrid w:val="0"/>
                    <w:jc w:val="center"/>
                    <w:rPr>
                      <w:color w:val="auto"/>
                      <w:szCs w:val="21"/>
                    </w:rPr>
                  </w:pPr>
                  <w:r>
                    <w:rPr>
                      <w:color w:val="auto"/>
                      <w:szCs w:val="21"/>
                    </w:rPr>
                    <w:t>废水</w:t>
                  </w:r>
                </w:p>
              </w:tc>
              <w:tc>
                <w:tcPr>
                  <w:tcW w:w="1288" w:type="dxa"/>
                  <w:vAlign w:val="center"/>
                </w:tcPr>
                <w:p>
                  <w:pPr>
                    <w:adjustRightInd w:val="0"/>
                    <w:snapToGrid w:val="0"/>
                    <w:jc w:val="center"/>
                    <w:rPr>
                      <w:color w:val="auto"/>
                      <w:szCs w:val="21"/>
                    </w:rPr>
                  </w:pPr>
                  <w:r>
                    <w:rPr>
                      <w:color w:val="auto"/>
                      <w:szCs w:val="21"/>
                    </w:rPr>
                    <w:t>生活污水</w:t>
                  </w:r>
                </w:p>
              </w:tc>
              <w:tc>
                <w:tcPr>
                  <w:tcW w:w="3975" w:type="dxa"/>
                  <w:vAlign w:val="center"/>
                </w:tcPr>
                <w:p>
                  <w:pPr>
                    <w:adjustRightInd w:val="0"/>
                    <w:snapToGrid w:val="0"/>
                    <w:jc w:val="center"/>
                    <w:rPr>
                      <w:rFonts w:eastAsiaTheme="minorEastAsia"/>
                      <w:color w:val="auto"/>
                      <w:szCs w:val="21"/>
                    </w:rPr>
                  </w:pPr>
                  <w:r>
                    <w:rPr>
                      <w:color w:val="auto"/>
                      <w:szCs w:val="21"/>
                    </w:rPr>
                    <w:t>依托乐山铁匠世家手工刀具有限公司化粪池（10m</w:t>
                  </w:r>
                  <w:r>
                    <w:rPr>
                      <w:color w:val="auto"/>
                      <w:szCs w:val="21"/>
                      <w:vertAlign w:val="superscript"/>
                    </w:rPr>
                    <w:t>3</w:t>
                  </w:r>
                  <w:r>
                    <w:rPr>
                      <w:color w:val="auto"/>
                      <w:szCs w:val="21"/>
                    </w:rPr>
                    <w:t>）处理后用于农田施肥</w:t>
                  </w:r>
                </w:p>
              </w:tc>
              <w:tc>
                <w:tcPr>
                  <w:tcW w:w="1018" w:type="dxa"/>
                  <w:vAlign w:val="center"/>
                </w:tcPr>
                <w:p>
                  <w:pPr>
                    <w:adjustRightInd w:val="0"/>
                    <w:snapToGrid w:val="0"/>
                    <w:jc w:val="center"/>
                    <w:rPr>
                      <w:rFonts w:eastAsiaTheme="minorEastAsia"/>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Merge w:val="continue"/>
                  <w:vAlign w:val="center"/>
                </w:tcPr>
                <w:p>
                  <w:pPr>
                    <w:adjustRightInd w:val="0"/>
                    <w:snapToGrid w:val="0"/>
                    <w:jc w:val="center"/>
                    <w:rPr>
                      <w:color w:val="auto"/>
                      <w:szCs w:val="21"/>
                    </w:rPr>
                  </w:pPr>
                </w:p>
              </w:tc>
              <w:tc>
                <w:tcPr>
                  <w:tcW w:w="1142" w:type="dxa"/>
                  <w:vMerge w:val="continue"/>
                  <w:vAlign w:val="center"/>
                </w:tcPr>
                <w:p>
                  <w:pPr>
                    <w:adjustRightInd w:val="0"/>
                    <w:snapToGrid w:val="0"/>
                    <w:jc w:val="center"/>
                    <w:rPr>
                      <w:color w:val="auto"/>
                      <w:szCs w:val="21"/>
                    </w:rPr>
                  </w:pPr>
                </w:p>
              </w:tc>
              <w:tc>
                <w:tcPr>
                  <w:tcW w:w="1288" w:type="dxa"/>
                  <w:vAlign w:val="center"/>
                </w:tcPr>
                <w:p>
                  <w:pPr>
                    <w:adjustRightInd w:val="0"/>
                    <w:snapToGrid w:val="0"/>
                    <w:jc w:val="center"/>
                    <w:rPr>
                      <w:color w:val="auto"/>
                      <w:szCs w:val="21"/>
                    </w:rPr>
                  </w:pPr>
                  <w:r>
                    <w:rPr>
                      <w:color w:val="auto"/>
                      <w:szCs w:val="21"/>
                    </w:rPr>
                    <w:t>生产废水</w:t>
                  </w:r>
                </w:p>
              </w:tc>
              <w:tc>
                <w:tcPr>
                  <w:tcW w:w="3975" w:type="dxa"/>
                  <w:vAlign w:val="center"/>
                </w:tcPr>
                <w:p>
                  <w:pPr>
                    <w:adjustRightInd w:val="0"/>
                    <w:snapToGrid w:val="0"/>
                    <w:jc w:val="center"/>
                    <w:rPr>
                      <w:color w:val="auto"/>
                      <w:szCs w:val="21"/>
                    </w:rPr>
                  </w:pPr>
                  <w:r>
                    <w:rPr>
                      <w:color w:val="auto"/>
                      <w:szCs w:val="21"/>
                    </w:rPr>
                    <w:t>新建三级沉淀池200m</w:t>
                  </w:r>
                  <w:r>
                    <w:rPr>
                      <w:color w:val="auto"/>
                      <w:szCs w:val="21"/>
                      <w:vertAlign w:val="superscript"/>
                    </w:rPr>
                    <w:t>3</w:t>
                  </w:r>
                </w:p>
              </w:tc>
              <w:tc>
                <w:tcPr>
                  <w:tcW w:w="1018" w:type="dxa"/>
                  <w:vAlign w:val="center"/>
                </w:tcPr>
                <w:p>
                  <w:pPr>
                    <w:adjustRightInd w:val="0"/>
                    <w:snapToGrid w:val="0"/>
                    <w:jc w:val="center"/>
                    <w:rPr>
                      <w:rFonts w:eastAsiaTheme="minorEastAsia"/>
                      <w:color w:val="auto"/>
                      <w:szCs w:val="21"/>
                    </w:rPr>
                  </w:pPr>
                  <w:r>
                    <w:rPr>
                      <w:color w:val="auto"/>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Merge w:val="continue"/>
                  <w:vAlign w:val="center"/>
                </w:tcPr>
                <w:p>
                  <w:pPr>
                    <w:adjustRightInd w:val="0"/>
                    <w:snapToGrid w:val="0"/>
                    <w:jc w:val="center"/>
                    <w:rPr>
                      <w:color w:val="auto"/>
                      <w:szCs w:val="21"/>
                    </w:rPr>
                  </w:pPr>
                </w:p>
              </w:tc>
              <w:tc>
                <w:tcPr>
                  <w:tcW w:w="1142" w:type="dxa"/>
                  <w:vMerge w:val="continue"/>
                  <w:vAlign w:val="center"/>
                </w:tcPr>
                <w:p>
                  <w:pPr>
                    <w:adjustRightInd w:val="0"/>
                    <w:snapToGrid w:val="0"/>
                    <w:jc w:val="center"/>
                    <w:rPr>
                      <w:color w:val="auto"/>
                      <w:szCs w:val="21"/>
                    </w:rPr>
                  </w:pPr>
                </w:p>
              </w:tc>
              <w:tc>
                <w:tcPr>
                  <w:tcW w:w="1288" w:type="dxa"/>
                  <w:vAlign w:val="center"/>
                </w:tcPr>
                <w:p>
                  <w:pPr>
                    <w:adjustRightInd w:val="0"/>
                    <w:snapToGrid w:val="0"/>
                    <w:jc w:val="center"/>
                    <w:rPr>
                      <w:color w:val="auto"/>
                      <w:szCs w:val="21"/>
                    </w:rPr>
                  </w:pPr>
                  <w:r>
                    <w:rPr>
                      <w:color w:val="auto"/>
                      <w:szCs w:val="21"/>
                    </w:rPr>
                    <w:t>初期雨水</w:t>
                  </w:r>
                </w:p>
              </w:tc>
              <w:tc>
                <w:tcPr>
                  <w:tcW w:w="3975" w:type="dxa"/>
                  <w:vAlign w:val="center"/>
                </w:tcPr>
                <w:p>
                  <w:pPr>
                    <w:adjustRightInd w:val="0"/>
                    <w:snapToGrid w:val="0"/>
                    <w:jc w:val="center"/>
                    <w:rPr>
                      <w:color w:val="auto"/>
                      <w:szCs w:val="21"/>
                    </w:rPr>
                  </w:pPr>
                  <w:r>
                    <w:rPr>
                      <w:color w:val="auto"/>
                      <w:szCs w:val="21"/>
                    </w:rPr>
                    <w:t>新建排水沟引入三级沉淀池，回用于生产不外排</w:t>
                  </w:r>
                </w:p>
              </w:tc>
              <w:tc>
                <w:tcPr>
                  <w:tcW w:w="1018" w:type="dxa"/>
                  <w:vAlign w:val="center"/>
                </w:tcPr>
                <w:p>
                  <w:pPr>
                    <w:adjustRightInd w:val="0"/>
                    <w:snapToGrid w:val="0"/>
                    <w:jc w:val="center"/>
                    <w:rPr>
                      <w:color w:val="auto"/>
                      <w:szCs w:val="21"/>
                    </w:rPr>
                  </w:pPr>
                  <w:r>
                    <w:rPr>
                      <w:color w:val="auto"/>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Merge w:val="continue"/>
                  <w:vAlign w:val="center"/>
                </w:tcPr>
                <w:p>
                  <w:pPr>
                    <w:adjustRightInd w:val="0"/>
                    <w:snapToGrid w:val="0"/>
                    <w:jc w:val="center"/>
                    <w:rPr>
                      <w:color w:val="auto"/>
                      <w:szCs w:val="21"/>
                    </w:rPr>
                  </w:pPr>
                </w:p>
              </w:tc>
              <w:tc>
                <w:tcPr>
                  <w:tcW w:w="1142" w:type="dxa"/>
                  <w:vMerge w:val="restart"/>
                  <w:vAlign w:val="center"/>
                </w:tcPr>
                <w:p>
                  <w:pPr>
                    <w:adjustRightInd w:val="0"/>
                    <w:snapToGrid w:val="0"/>
                    <w:jc w:val="center"/>
                    <w:rPr>
                      <w:color w:val="auto"/>
                      <w:szCs w:val="21"/>
                    </w:rPr>
                  </w:pPr>
                  <w:r>
                    <w:rPr>
                      <w:color w:val="auto"/>
                      <w:szCs w:val="21"/>
                    </w:rPr>
                    <w:t>废气</w:t>
                  </w:r>
                </w:p>
              </w:tc>
              <w:tc>
                <w:tcPr>
                  <w:tcW w:w="1288" w:type="dxa"/>
                  <w:vAlign w:val="center"/>
                </w:tcPr>
                <w:p>
                  <w:pPr>
                    <w:widowControl/>
                    <w:adjustRightInd w:val="0"/>
                    <w:snapToGrid w:val="0"/>
                    <w:jc w:val="center"/>
                    <w:textAlignment w:val="center"/>
                    <w:rPr>
                      <w:rFonts w:eastAsiaTheme="minorEastAsia"/>
                      <w:color w:val="auto"/>
                      <w:szCs w:val="21"/>
                    </w:rPr>
                  </w:pPr>
                  <w:r>
                    <w:rPr>
                      <w:bCs/>
                      <w:color w:val="auto"/>
                      <w:szCs w:val="21"/>
                    </w:rPr>
                    <w:t>运输车辆动力起尘</w:t>
                  </w:r>
                </w:p>
              </w:tc>
              <w:tc>
                <w:tcPr>
                  <w:tcW w:w="3975" w:type="dxa"/>
                  <w:vAlign w:val="center"/>
                </w:tcPr>
                <w:p>
                  <w:pPr>
                    <w:adjustRightInd w:val="0"/>
                    <w:snapToGrid w:val="0"/>
                    <w:jc w:val="center"/>
                    <w:rPr>
                      <w:rFonts w:eastAsiaTheme="minorEastAsia"/>
                      <w:color w:val="auto"/>
                      <w:szCs w:val="21"/>
                    </w:rPr>
                  </w:pPr>
                  <w:r>
                    <w:rPr>
                      <w:bCs/>
                      <w:color w:val="auto"/>
                      <w:szCs w:val="21"/>
                    </w:rPr>
                    <w:t>厂区地面硬化处理，定期洒水，配备1个</w:t>
                  </w:r>
                  <w:r>
                    <w:rPr>
                      <w:rFonts w:hint="eastAsia"/>
                      <w:bCs/>
                      <w:color w:val="auto"/>
                      <w:szCs w:val="21"/>
                      <w:lang w:eastAsia="zh-CN"/>
                    </w:rPr>
                    <w:t>雾炮</w:t>
                  </w:r>
                  <w:r>
                    <w:rPr>
                      <w:bCs/>
                      <w:color w:val="auto"/>
                      <w:szCs w:val="21"/>
                    </w:rPr>
                    <w:t>除尘机</w:t>
                  </w:r>
                </w:p>
              </w:tc>
              <w:tc>
                <w:tcPr>
                  <w:tcW w:w="1018" w:type="dxa"/>
                  <w:vAlign w:val="center"/>
                </w:tcPr>
                <w:p>
                  <w:pPr>
                    <w:adjustRightInd w:val="0"/>
                    <w:snapToGrid w:val="0"/>
                    <w:jc w:val="center"/>
                    <w:rPr>
                      <w:rFonts w:eastAsiaTheme="minorEastAsia"/>
                      <w:color w:val="auto"/>
                      <w:szCs w:val="21"/>
                    </w:rPr>
                  </w:pPr>
                  <w:r>
                    <w:rPr>
                      <w:color w:val="auto"/>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Merge w:val="continue"/>
                  <w:vAlign w:val="center"/>
                </w:tcPr>
                <w:p>
                  <w:pPr>
                    <w:adjustRightInd w:val="0"/>
                    <w:snapToGrid w:val="0"/>
                    <w:jc w:val="center"/>
                    <w:rPr>
                      <w:color w:val="auto"/>
                      <w:szCs w:val="21"/>
                    </w:rPr>
                  </w:pPr>
                </w:p>
              </w:tc>
              <w:tc>
                <w:tcPr>
                  <w:tcW w:w="1142" w:type="dxa"/>
                  <w:vMerge w:val="continue"/>
                  <w:vAlign w:val="center"/>
                </w:tcPr>
                <w:p>
                  <w:pPr>
                    <w:adjustRightInd w:val="0"/>
                    <w:snapToGrid w:val="0"/>
                    <w:jc w:val="center"/>
                    <w:rPr>
                      <w:color w:val="auto"/>
                      <w:szCs w:val="21"/>
                    </w:rPr>
                  </w:pPr>
                </w:p>
              </w:tc>
              <w:tc>
                <w:tcPr>
                  <w:tcW w:w="1288" w:type="dxa"/>
                  <w:vAlign w:val="center"/>
                </w:tcPr>
                <w:p>
                  <w:pPr>
                    <w:widowControl/>
                    <w:adjustRightInd w:val="0"/>
                    <w:snapToGrid w:val="0"/>
                    <w:jc w:val="center"/>
                    <w:textAlignment w:val="center"/>
                    <w:rPr>
                      <w:rFonts w:eastAsiaTheme="minorEastAsia"/>
                      <w:color w:val="auto"/>
                      <w:szCs w:val="21"/>
                    </w:rPr>
                  </w:pPr>
                  <w:r>
                    <w:rPr>
                      <w:color w:val="auto"/>
                      <w:szCs w:val="21"/>
                    </w:rPr>
                    <w:t>砂石料装卸起尘</w:t>
                  </w:r>
                </w:p>
              </w:tc>
              <w:tc>
                <w:tcPr>
                  <w:tcW w:w="3975" w:type="dxa"/>
                  <w:vAlign w:val="center"/>
                </w:tcPr>
                <w:p>
                  <w:pPr>
                    <w:adjustRightInd w:val="0"/>
                    <w:snapToGrid w:val="0"/>
                    <w:jc w:val="center"/>
                    <w:rPr>
                      <w:rFonts w:eastAsiaTheme="minorEastAsia"/>
                      <w:color w:val="auto"/>
                      <w:szCs w:val="21"/>
                    </w:rPr>
                  </w:pPr>
                  <w:r>
                    <w:rPr>
                      <w:bCs/>
                      <w:color w:val="auto"/>
                      <w:szCs w:val="21"/>
                    </w:rPr>
                    <w:t>采用密闭的砂石料仓，配备喷雾装置</w:t>
                  </w:r>
                </w:p>
              </w:tc>
              <w:tc>
                <w:tcPr>
                  <w:tcW w:w="1018" w:type="dxa"/>
                  <w:vAlign w:val="center"/>
                </w:tcPr>
                <w:p>
                  <w:pPr>
                    <w:adjustRightInd w:val="0"/>
                    <w:snapToGrid w:val="0"/>
                    <w:jc w:val="center"/>
                    <w:rPr>
                      <w:rFonts w:eastAsiaTheme="minorEastAsia"/>
                      <w:color w:val="auto"/>
                      <w:szCs w:val="21"/>
                    </w:rPr>
                  </w:pPr>
                  <w:r>
                    <w:rPr>
                      <w:color w:val="auto"/>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Merge w:val="continue"/>
                  <w:vAlign w:val="center"/>
                </w:tcPr>
                <w:p>
                  <w:pPr>
                    <w:adjustRightInd w:val="0"/>
                    <w:snapToGrid w:val="0"/>
                    <w:jc w:val="center"/>
                    <w:rPr>
                      <w:color w:val="auto"/>
                      <w:szCs w:val="21"/>
                    </w:rPr>
                  </w:pPr>
                </w:p>
              </w:tc>
              <w:tc>
                <w:tcPr>
                  <w:tcW w:w="1142" w:type="dxa"/>
                  <w:vMerge w:val="continue"/>
                  <w:vAlign w:val="center"/>
                </w:tcPr>
                <w:p>
                  <w:pPr>
                    <w:adjustRightInd w:val="0"/>
                    <w:snapToGrid w:val="0"/>
                    <w:jc w:val="center"/>
                    <w:rPr>
                      <w:color w:val="auto"/>
                      <w:szCs w:val="21"/>
                    </w:rPr>
                  </w:pPr>
                </w:p>
              </w:tc>
              <w:tc>
                <w:tcPr>
                  <w:tcW w:w="1288" w:type="dxa"/>
                  <w:vAlign w:val="center"/>
                </w:tcPr>
                <w:p>
                  <w:pPr>
                    <w:widowControl/>
                    <w:adjustRightInd w:val="0"/>
                    <w:snapToGrid w:val="0"/>
                    <w:jc w:val="center"/>
                    <w:textAlignment w:val="center"/>
                    <w:rPr>
                      <w:rFonts w:eastAsiaTheme="minorEastAsia"/>
                      <w:color w:val="auto"/>
                      <w:szCs w:val="21"/>
                    </w:rPr>
                  </w:pPr>
                  <w:r>
                    <w:rPr>
                      <w:color w:val="auto"/>
                      <w:szCs w:val="21"/>
                    </w:rPr>
                    <w:t>铲车投料粉尘</w:t>
                  </w:r>
                </w:p>
              </w:tc>
              <w:tc>
                <w:tcPr>
                  <w:tcW w:w="3975" w:type="dxa"/>
                  <w:vAlign w:val="center"/>
                </w:tcPr>
                <w:p>
                  <w:pPr>
                    <w:adjustRightInd w:val="0"/>
                    <w:snapToGrid w:val="0"/>
                    <w:jc w:val="center"/>
                    <w:rPr>
                      <w:rFonts w:eastAsiaTheme="minorEastAsia"/>
                      <w:color w:val="auto"/>
                      <w:szCs w:val="21"/>
                    </w:rPr>
                  </w:pPr>
                  <w:r>
                    <w:rPr>
                      <w:bCs/>
                      <w:color w:val="auto"/>
                      <w:szCs w:val="21"/>
                    </w:rPr>
                    <w:t>配料秤斗上方设置喷雾装置</w:t>
                  </w:r>
                </w:p>
              </w:tc>
              <w:tc>
                <w:tcPr>
                  <w:tcW w:w="1018" w:type="dxa"/>
                  <w:vAlign w:val="center"/>
                </w:tcPr>
                <w:p>
                  <w:pPr>
                    <w:adjustRightInd w:val="0"/>
                    <w:snapToGrid w:val="0"/>
                    <w:jc w:val="center"/>
                    <w:rPr>
                      <w:rFonts w:eastAsiaTheme="minorEastAsia"/>
                      <w:color w:val="auto"/>
                      <w:szCs w:val="21"/>
                    </w:rPr>
                  </w:pPr>
                  <w:r>
                    <w:rPr>
                      <w:color w:val="auto"/>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Merge w:val="continue"/>
                  <w:vAlign w:val="center"/>
                </w:tcPr>
                <w:p>
                  <w:pPr>
                    <w:adjustRightInd w:val="0"/>
                    <w:snapToGrid w:val="0"/>
                    <w:jc w:val="center"/>
                    <w:rPr>
                      <w:color w:val="auto"/>
                      <w:szCs w:val="21"/>
                    </w:rPr>
                  </w:pPr>
                </w:p>
              </w:tc>
              <w:tc>
                <w:tcPr>
                  <w:tcW w:w="1142" w:type="dxa"/>
                  <w:vMerge w:val="continue"/>
                  <w:vAlign w:val="center"/>
                </w:tcPr>
                <w:p>
                  <w:pPr>
                    <w:adjustRightInd w:val="0"/>
                    <w:snapToGrid w:val="0"/>
                    <w:jc w:val="center"/>
                    <w:rPr>
                      <w:color w:val="auto"/>
                      <w:szCs w:val="21"/>
                    </w:rPr>
                  </w:pPr>
                </w:p>
              </w:tc>
              <w:tc>
                <w:tcPr>
                  <w:tcW w:w="1288" w:type="dxa"/>
                  <w:vAlign w:val="center"/>
                </w:tcPr>
                <w:p>
                  <w:pPr>
                    <w:widowControl/>
                    <w:adjustRightInd w:val="0"/>
                    <w:snapToGrid w:val="0"/>
                    <w:jc w:val="center"/>
                    <w:textAlignment w:val="center"/>
                    <w:rPr>
                      <w:rFonts w:eastAsiaTheme="minorEastAsia"/>
                      <w:color w:val="auto"/>
                      <w:szCs w:val="21"/>
                    </w:rPr>
                  </w:pPr>
                  <w:r>
                    <w:rPr>
                      <w:color w:val="auto"/>
                      <w:szCs w:val="21"/>
                    </w:rPr>
                    <w:t>皮带输送粉尘</w:t>
                  </w:r>
                </w:p>
              </w:tc>
              <w:tc>
                <w:tcPr>
                  <w:tcW w:w="3975" w:type="dxa"/>
                  <w:vAlign w:val="center"/>
                </w:tcPr>
                <w:p>
                  <w:pPr>
                    <w:adjustRightInd w:val="0"/>
                    <w:snapToGrid w:val="0"/>
                    <w:jc w:val="center"/>
                    <w:rPr>
                      <w:rFonts w:eastAsiaTheme="minorEastAsia"/>
                      <w:color w:val="auto"/>
                      <w:szCs w:val="21"/>
                    </w:rPr>
                  </w:pPr>
                  <w:r>
                    <w:rPr>
                      <w:bCs/>
                      <w:color w:val="auto"/>
                      <w:szCs w:val="21"/>
                    </w:rPr>
                    <w:t>皮带输送机采用全密封，并在皮带输送机进料口设置喷雾系统</w:t>
                  </w:r>
                </w:p>
              </w:tc>
              <w:tc>
                <w:tcPr>
                  <w:tcW w:w="1018" w:type="dxa"/>
                  <w:vAlign w:val="center"/>
                </w:tcPr>
                <w:p>
                  <w:pPr>
                    <w:adjustRightInd w:val="0"/>
                    <w:snapToGrid w:val="0"/>
                    <w:jc w:val="center"/>
                    <w:rPr>
                      <w:rFonts w:eastAsiaTheme="minorEastAsia"/>
                      <w:color w:val="auto"/>
                      <w:szCs w:val="21"/>
                    </w:rPr>
                  </w:pPr>
                  <w:r>
                    <w:rPr>
                      <w:color w:val="auto"/>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Merge w:val="continue"/>
                  <w:vAlign w:val="center"/>
                </w:tcPr>
                <w:p>
                  <w:pPr>
                    <w:adjustRightInd w:val="0"/>
                    <w:snapToGrid w:val="0"/>
                    <w:jc w:val="center"/>
                    <w:rPr>
                      <w:color w:val="auto"/>
                      <w:szCs w:val="21"/>
                    </w:rPr>
                  </w:pPr>
                </w:p>
              </w:tc>
              <w:tc>
                <w:tcPr>
                  <w:tcW w:w="1142" w:type="dxa"/>
                  <w:vMerge w:val="continue"/>
                  <w:vAlign w:val="center"/>
                </w:tcPr>
                <w:p>
                  <w:pPr>
                    <w:adjustRightInd w:val="0"/>
                    <w:snapToGrid w:val="0"/>
                    <w:jc w:val="center"/>
                    <w:rPr>
                      <w:color w:val="auto"/>
                      <w:szCs w:val="21"/>
                    </w:rPr>
                  </w:pPr>
                </w:p>
              </w:tc>
              <w:tc>
                <w:tcPr>
                  <w:tcW w:w="1288" w:type="dxa"/>
                  <w:vAlign w:val="center"/>
                </w:tcPr>
                <w:p>
                  <w:pPr>
                    <w:widowControl/>
                    <w:adjustRightInd w:val="0"/>
                    <w:snapToGrid w:val="0"/>
                    <w:jc w:val="center"/>
                    <w:textAlignment w:val="center"/>
                    <w:rPr>
                      <w:color w:val="auto"/>
                      <w:szCs w:val="21"/>
                    </w:rPr>
                  </w:pPr>
                  <w:r>
                    <w:rPr>
                      <w:color w:val="auto"/>
                      <w:szCs w:val="21"/>
                    </w:rPr>
                    <w:t>筒仓呼吸粉尘</w:t>
                  </w:r>
                </w:p>
              </w:tc>
              <w:tc>
                <w:tcPr>
                  <w:tcW w:w="3975" w:type="dxa"/>
                  <w:vAlign w:val="center"/>
                </w:tcPr>
                <w:p>
                  <w:pPr>
                    <w:adjustRightInd w:val="0"/>
                    <w:snapToGrid w:val="0"/>
                    <w:jc w:val="center"/>
                    <w:rPr>
                      <w:rFonts w:eastAsiaTheme="minorEastAsia"/>
                      <w:color w:val="auto"/>
                      <w:szCs w:val="21"/>
                    </w:rPr>
                  </w:pPr>
                  <w:r>
                    <w:rPr>
                      <w:bCs/>
                      <w:color w:val="auto"/>
                      <w:szCs w:val="21"/>
                    </w:rPr>
                    <w:t>每个储粉罐顶部设置除尘器，</w:t>
                  </w:r>
                  <w:r>
                    <w:rPr>
                      <w:rFonts w:hint="eastAsia"/>
                      <w:bCs/>
                      <w:color w:val="auto"/>
                      <w:szCs w:val="21"/>
                    </w:rPr>
                    <w:t>除尘后经筒仓顶排出，筒仓均封闭在密闭厂房内，粉尘在厂房内部无组织排放</w:t>
                  </w:r>
                </w:p>
              </w:tc>
              <w:tc>
                <w:tcPr>
                  <w:tcW w:w="1018" w:type="dxa"/>
                  <w:vAlign w:val="center"/>
                </w:tcPr>
                <w:p>
                  <w:pPr>
                    <w:adjustRightInd w:val="0"/>
                    <w:snapToGrid w:val="0"/>
                    <w:jc w:val="center"/>
                    <w:rPr>
                      <w:color w:val="auto"/>
                      <w:szCs w:val="21"/>
                    </w:rPr>
                  </w:pPr>
                  <w:r>
                    <w:rPr>
                      <w:color w:val="auto"/>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Merge w:val="continue"/>
                  <w:vAlign w:val="center"/>
                </w:tcPr>
                <w:p>
                  <w:pPr>
                    <w:adjustRightInd w:val="0"/>
                    <w:snapToGrid w:val="0"/>
                    <w:jc w:val="center"/>
                    <w:rPr>
                      <w:color w:val="auto"/>
                      <w:szCs w:val="21"/>
                    </w:rPr>
                  </w:pPr>
                </w:p>
              </w:tc>
              <w:tc>
                <w:tcPr>
                  <w:tcW w:w="1142" w:type="dxa"/>
                  <w:vMerge w:val="continue"/>
                  <w:vAlign w:val="center"/>
                </w:tcPr>
                <w:p>
                  <w:pPr>
                    <w:adjustRightInd w:val="0"/>
                    <w:snapToGrid w:val="0"/>
                    <w:jc w:val="center"/>
                    <w:rPr>
                      <w:color w:val="auto"/>
                      <w:szCs w:val="21"/>
                    </w:rPr>
                  </w:pPr>
                </w:p>
              </w:tc>
              <w:tc>
                <w:tcPr>
                  <w:tcW w:w="1288" w:type="dxa"/>
                  <w:vAlign w:val="center"/>
                </w:tcPr>
                <w:p>
                  <w:pPr>
                    <w:widowControl/>
                    <w:adjustRightInd w:val="0"/>
                    <w:snapToGrid w:val="0"/>
                    <w:jc w:val="center"/>
                    <w:textAlignment w:val="center"/>
                    <w:rPr>
                      <w:rFonts w:eastAsiaTheme="minorEastAsia"/>
                      <w:bCs/>
                      <w:color w:val="auto"/>
                      <w:szCs w:val="21"/>
                    </w:rPr>
                  </w:pPr>
                  <w:r>
                    <w:rPr>
                      <w:bCs/>
                      <w:color w:val="auto"/>
                      <w:szCs w:val="21"/>
                    </w:rPr>
                    <w:t>搅拌机拌料粉尘</w:t>
                  </w:r>
                </w:p>
              </w:tc>
              <w:tc>
                <w:tcPr>
                  <w:tcW w:w="3975" w:type="dxa"/>
                  <w:vAlign w:val="center"/>
                </w:tcPr>
                <w:p>
                  <w:pPr>
                    <w:adjustRightInd w:val="0"/>
                    <w:snapToGrid w:val="0"/>
                    <w:jc w:val="center"/>
                    <w:rPr>
                      <w:bCs/>
                      <w:color w:val="auto"/>
                      <w:szCs w:val="21"/>
                    </w:rPr>
                  </w:pPr>
                  <w:r>
                    <w:rPr>
                      <w:bCs/>
                      <w:color w:val="auto"/>
                      <w:szCs w:val="21"/>
                    </w:rPr>
                    <w:t>湿法搅拌，搅拌机搅拌时密闭，搅拌机设置在密闭搅拌楼内</w:t>
                  </w:r>
                </w:p>
              </w:tc>
              <w:tc>
                <w:tcPr>
                  <w:tcW w:w="1018" w:type="dxa"/>
                  <w:vAlign w:val="center"/>
                </w:tcPr>
                <w:p>
                  <w:pPr>
                    <w:adjustRightInd w:val="0"/>
                    <w:snapToGrid w:val="0"/>
                    <w:jc w:val="center"/>
                    <w:rPr>
                      <w:color w:val="auto"/>
                      <w:szCs w:val="21"/>
                    </w:rPr>
                  </w:pPr>
                  <w:r>
                    <w:rPr>
                      <w:color w:val="auto"/>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Merge w:val="continue"/>
                  <w:vAlign w:val="center"/>
                </w:tcPr>
                <w:p>
                  <w:pPr>
                    <w:adjustRightInd w:val="0"/>
                    <w:snapToGrid w:val="0"/>
                    <w:jc w:val="center"/>
                    <w:rPr>
                      <w:color w:val="auto"/>
                      <w:szCs w:val="21"/>
                    </w:rPr>
                  </w:pPr>
                </w:p>
              </w:tc>
              <w:tc>
                <w:tcPr>
                  <w:tcW w:w="1142" w:type="dxa"/>
                  <w:vAlign w:val="center"/>
                </w:tcPr>
                <w:p>
                  <w:pPr>
                    <w:widowControl/>
                    <w:adjustRightInd w:val="0"/>
                    <w:snapToGrid w:val="0"/>
                    <w:jc w:val="center"/>
                    <w:rPr>
                      <w:color w:val="auto"/>
                      <w:szCs w:val="21"/>
                    </w:rPr>
                  </w:pPr>
                  <w:r>
                    <w:rPr>
                      <w:color w:val="auto"/>
                      <w:szCs w:val="21"/>
                    </w:rPr>
                    <w:t>噪声</w:t>
                  </w:r>
                </w:p>
              </w:tc>
              <w:tc>
                <w:tcPr>
                  <w:tcW w:w="1288" w:type="dxa"/>
                  <w:vAlign w:val="center"/>
                </w:tcPr>
                <w:p>
                  <w:pPr>
                    <w:adjustRightInd w:val="0"/>
                    <w:snapToGrid w:val="0"/>
                    <w:jc w:val="center"/>
                    <w:rPr>
                      <w:rFonts w:eastAsiaTheme="minorEastAsia"/>
                      <w:color w:val="auto"/>
                      <w:szCs w:val="21"/>
                    </w:rPr>
                  </w:pPr>
                  <w:r>
                    <w:rPr>
                      <w:color w:val="auto"/>
                      <w:szCs w:val="21"/>
                    </w:rPr>
                    <w:t>配料机、搅拌机等</w:t>
                  </w:r>
                </w:p>
              </w:tc>
              <w:tc>
                <w:tcPr>
                  <w:tcW w:w="3975" w:type="dxa"/>
                  <w:vAlign w:val="center"/>
                </w:tcPr>
                <w:p>
                  <w:pPr>
                    <w:adjustRightInd w:val="0"/>
                    <w:snapToGrid w:val="0"/>
                    <w:jc w:val="center"/>
                    <w:rPr>
                      <w:color w:val="auto"/>
                      <w:szCs w:val="21"/>
                    </w:rPr>
                  </w:pPr>
                  <w:r>
                    <w:rPr>
                      <w:snapToGrid w:val="0"/>
                      <w:color w:val="auto"/>
                      <w:kern w:val="0"/>
                      <w:szCs w:val="21"/>
                    </w:rPr>
                    <w:t xml:space="preserve">选用低噪声设备、隔声降噪、封闭搅拌、合理布局，加强设备日常维护 </w:t>
                  </w:r>
                </w:p>
              </w:tc>
              <w:tc>
                <w:tcPr>
                  <w:tcW w:w="1018" w:type="dxa"/>
                  <w:vAlign w:val="center"/>
                </w:tcPr>
                <w:p>
                  <w:pPr>
                    <w:adjustRightInd w:val="0"/>
                    <w:snapToGrid w:val="0"/>
                    <w:jc w:val="center"/>
                    <w:rPr>
                      <w:rFonts w:eastAsiaTheme="minorEastAsia"/>
                      <w:color w:val="auto"/>
                      <w:szCs w:val="21"/>
                    </w:rPr>
                  </w:pPr>
                  <w:r>
                    <w:rPr>
                      <w:color w:val="auto"/>
                      <w:szCs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Merge w:val="continue"/>
                  <w:vAlign w:val="center"/>
                </w:tcPr>
                <w:p>
                  <w:pPr>
                    <w:adjustRightInd w:val="0"/>
                    <w:snapToGrid w:val="0"/>
                    <w:jc w:val="center"/>
                    <w:rPr>
                      <w:color w:val="auto"/>
                      <w:szCs w:val="21"/>
                    </w:rPr>
                  </w:pPr>
                </w:p>
              </w:tc>
              <w:tc>
                <w:tcPr>
                  <w:tcW w:w="1142" w:type="dxa"/>
                  <w:vMerge w:val="restart"/>
                  <w:vAlign w:val="center"/>
                </w:tcPr>
                <w:p>
                  <w:pPr>
                    <w:adjustRightInd w:val="0"/>
                    <w:snapToGrid w:val="0"/>
                    <w:jc w:val="center"/>
                    <w:rPr>
                      <w:color w:val="auto"/>
                      <w:szCs w:val="21"/>
                    </w:rPr>
                  </w:pPr>
                  <w:r>
                    <w:rPr>
                      <w:color w:val="auto"/>
                      <w:szCs w:val="21"/>
                    </w:rPr>
                    <w:t>固废</w:t>
                  </w:r>
                </w:p>
              </w:tc>
              <w:tc>
                <w:tcPr>
                  <w:tcW w:w="1288" w:type="dxa"/>
                  <w:vAlign w:val="center"/>
                </w:tcPr>
                <w:p>
                  <w:pPr>
                    <w:adjustRightInd w:val="0"/>
                    <w:snapToGrid w:val="0"/>
                    <w:jc w:val="center"/>
                    <w:rPr>
                      <w:rFonts w:eastAsiaTheme="minorEastAsia"/>
                      <w:color w:val="auto"/>
                      <w:szCs w:val="21"/>
                    </w:rPr>
                  </w:pPr>
                  <w:r>
                    <w:rPr>
                      <w:color w:val="auto"/>
                      <w:szCs w:val="21"/>
                    </w:rPr>
                    <w:t>生活垃圾</w:t>
                  </w:r>
                </w:p>
              </w:tc>
              <w:tc>
                <w:tcPr>
                  <w:tcW w:w="3975" w:type="dxa"/>
                  <w:vAlign w:val="center"/>
                </w:tcPr>
                <w:p>
                  <w:pPr>
                    <w:adjustRightInd w:val="0"/>
                    <w:snapToGrid w:val="0"/>
                    <w:jc w:val="center"/>
                    <w:rPr>
                      <w:rFonts w:eastAsiaTheme="minorEastAsia"/>
                      <w:color w:val="auto"/>
                      <w:szCs w:val="21"/>
                    </w:rPr>
                  </w:pPr>
                  <w:r>
                    <w:rPr>
                      <w:color w:val="auto"/>
                      <w:szCs w:val="21"/>
                    </w:rPr>
                    <w:t>垃圾桶收集，环卫部门统一收集处理</w:t>
                  </w:r>
                </w:p>
              </w:tc>
              <w:tc>
                <w:tcPr>
                  <w:tcW w:w="1018" w:type="dxa"/>
                  <w:vAlign w:val="center"/>
                </w:tcPr>
                <w:p>
                  <w:pPr>
                    <w:adjustRightInd w:val="0"/>
                    <w:snapToGrid w:val="0"/>
                    <w:jc w:val="center"/>
                    <w:rPr>
                      <w:rFonts w:eastAsiaTheme="minorEastAsia"/>
                      <w:color w:val="auto"/>
                      <w:szCs w:val="21"/>
                    </w:rPr>
                  </w:pPr>
                  <w:r>
                    <w:rPr>
                      <w:color w:val="auto"/>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Merge w:val="continue"/>
                  <w:vAlign w:val="center"/>
                </w:tcPr>
                <w:p>
                  <w:pPr>
                    <w:adjustRightInd w:val="0"/>
                    <w:snapToGrid w:val="0"/>
                    <w:jc w:val="center"/>
                    <w:rPr>
                      <w:color w:val="auto"/>
                      <w:szCs w:val="21"/>
                    </w:rPr>
                  </w:pPr>
                </w:p>
              </w:tc>
              <w:tc>
                <w:tcPr>
                  <w:tcW w:w="1142" w:type="dxa"/>
                  <w:vMerge w:val="continue"/>
                  <w:vAlign w:val="center"/>
                </w:tcPr>
                <w:p>
                  <w:pPr>
                    <w:adjustRightInd w:val="0"/>
                    <w:snapToGrid w:val="0"/>
                    <w:jc w:val="center"/>
                    <w:rPr>
                      <w:color w:val="auto"/>
                      <w:szCs w:val="21"/>
                    </w:rPr>
                  </w:pPr>
                </w:p>
              </w:tc>
              <w:tc>
                <w:tcPr>
                  <w:tcW w:w="1288" w:type="dxa"/>
                  <w:vAlign w:val="center"/>
                </w:tcPr>
                <w:p>
                  <w:pPr>
                    <w:adjustRightInd w:val="0"/>
                    <w:snapToGrid w:val="0"/>
                    <w:jc w:val="center"/>
                    <w:rPr>
                      <w:color w:val="auto"/>
                      <w:szCs w:val="21"/>
                    </w:rPr>
                  </w:pPr>
                  <w:r>
                    <w:rPr>
                      <w:color w:val="auto"/>
                      <w:szCs w:val="21"/>
                    </w:rPr>
                    <w:t>沉淀池底泥</w:t>
                  </w:r>
                </w:p>
              </w:tc>
              <w:tc>
                <w:tcPr>
                  <w:tcW w:w="3975" w:type="dxa"/>
                  <w:vAlign w:val="center"/>
                </w:tcPr>
                <w:p>
                  <w:pPr>
                    <w:adjustRightInd w:val="0"/>
                    <w:snapToGrid w:val="0"/>
                    <w:jc w:val="center"/>
                    <w:rPr>
                      <w:color w:val="auto"/>
                      <w:szCs w:val="21"/>
                    </w:rPr>
                  </w:pPr>
                  <w:r>
                    <w:rPr>
                      <w:color w:val="auto"/>
                      <w:szCs w:val="21"/>
                    </w:rPr>
                    <w:t>定期清掏回用于生产</w:t>
                  </w:r>
                </w:p>
              </w:tc>
              <w:tc>
                <w:tcPr>
                  <w:tcW w:w="1018" w:type="dxa"/>
                  <w:vAlign w:val="center"/>
                </w:tcPr>
                <w:p>
                  <w:pPr>
                    <w:adjustRightInd w:val="0"/>
                    <w:snapToGrid w:val="0"/>
                    <w:jc w:val="center"/>
                    <w:rPr>
                      <w:color w:val="auto"/>
                      <w:szCs w:val="21"/>
                    </w:rPr>
                  </w:pPr>
                  <w:r>
                    <w:rPr>
                      <w:color w:val="auto"/>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Merge w:val="continue"/>
                  <w:vAlign w:val="center"/>
                </w:tcPr>
                <w:p>
                  <w:pPr>
                    <w:adjustRightInd w:val="0"/>
                    <w:snapToGrid w:val="0"/>
                    <w:jc w:val="center"/>
                    <w:rPr>
                      <w:color w:val="auto"/>
                      <w:szCs w:val="21"/>
                    </w:rPr>
                  </w:pPr>
                </w:p>
              </w:tc>
              <w:tc>
                <w:tcPr>
                  <w:tcW w:w="1142" w:type="dxa"/>
                  <w:vMerge w:val="continue"/>
                  <w:vAlign w:val="center"/>
                </w:tcPr>
                <w:p>
                  <w:pPr>
                    <w:adjustRightInd w:val="0"/>
                    <w:snapToGrid w:val="0"/>
                    <w:jc w:val="center"/>
                    <w:rPr>
                      <w:color w:val="auto"/>
                      <w:szCs w:val="21"/>
                    </w:rPr>
                  </w:pPr>
                </w:p>
              </w:tc>
              <w:tc>
                <w:tcPr>
                  <w:tcW w:w="1288" w:type="dxa"/>
                  <w:vAlign w:val="center"/>
                </w:tcPr>
                <w:p>
                  <w:pPr>
                    <w:adjustRightInd w:val="0"/>
                    <w:snapToGrid w:val="0"/>
                    <w:jc w:val="center"/>
                    <w:rPr>
                      <w:color w:val="auto"/>
                      <w:szCs w:val="21"/>
                    </w:rPr>
                  </w:pPr>
                  <w:r>
                    <w:rPr>
                      <w:color w:val="auto"/>
                      <w:szCs w:val="21"/>
                    </w:rPr>
                    <w:t>除尘器下灰</w:t>
                  </w:r>
                </w:p>
              </w:tc>
              <w:tc>
                <w:tcPr>
                  <w:tcW w:w="3975" w:type="dxa"/>
                  <w:vAlign w:val="center"/>
                </w:tcPr>
                <w:p>
                  <w:pPr>
                    <w:adjustRightInd w:val="0"/>
                    <w:snapToGrid w:val="0"/>
                    <w:jc w:val="center"/>
                    <w:rPr>
                      <w:color w:val="auto"/>
                      <w:szCs w:val="21"/>
                    </w:rPr>
                  </w:pPr>
                  <w:r>
                    <w:rPr>
                      <w:color w:val="auto"/>
                      <w:szCs w:val="21"/>
                    </w:rPr>
                    <w:t>回用于生产</w:t>
                  </w:r>
                </w:p>
              </w:tc>
              <w:tc>
                <w:tcPr>
                  <w:tcW w:w="1018" w:type="dxa"/>
                  <w:vAlign w:val="center"/>
                </w:tcPr>
                <w:p>
                  <w:pPr>
                    <w:adjustRightInd w:val="0"/>
                    <w:snapToGrid w:val="0"/>
                    <w:jc w:val="center"/>
                    <w:rPr>
                      <w:color w:val="auto"/>
                      <w:szCs w:val="21"/>
                    </w:rPr>
                  </w:pPr>
                  <w:r>
                    <w:rPr>
                      <w:color w:val="auto"/>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Merge w:val="continue"/>
                  <w:vAlign w:val="center"/>
                </w:tcPr>
                <w:p>
                  <w:pPr>
                    <w:adjustRightInd w:val="0"/>
                    <w:snapToGrid w:val="0"/>
                    <w:jc w:val="center"/>
                    <w:rPr>
                      <w:color w:val="auto"/>
                      <w:szCs w:val="21"/>
                    </w:rPr>
                  </w:pPr>
                </w:p>
              </w:tc>
              <w:tc>
                <w:tcPr>
                  <w:tcW w:w="1142" w:type="dxa"/>
                  <w:vMerge w:val="continue"/>
                  <w:vAlign w:val="center"/>
                </w:tcPr>
                <w:p>
                  <w:pPr>
                    <w:adjustRightInd w:val="0"/>
                    <w:snapToGrid w:val="0"/>
                    <w:jc w:val="center"/>
                    <w:rPr>
                      <w:color w:val="auto"/>
                      <w:szCs w:val="21"/>
                    </w:rPr>
                  </w:pPr>
                </w:p>
              </w:tc>
              <w:tc>
                <w:tcPr>
                  <w:tcW w:w="1288" w:type="dxa"/>
                  <w:vAlign w:val="center"/>
                </w:tcPr>
                <w:p>
                  <w:pPr>
                    <w:adjustRightInd w:val="0"/>
                    <w:snapToGrid w:val="0"/>
                    <w:jc w:val="center"/>
                    <w:rPr>
                      <w:color w:val="auto"/>
                      <w:szCs w:val="21"/>
                    </w:rPr>
                  </w:pPr>
                  <w:r>
                    <w:rPr>
                      <w:color w:val="auto"/>
                      <w:szCs w:val="21"/>
                    </w:rPr>
                    <w:t>化粪池污泥</w:t>
                  </w:r>
                </w:p>
              </w:tc>
              <w:tc>
                <w:tcPr>
                  <w:tcW w:w="3975" w:type="dxa"/>
                  <w:vAlign w:val="center"/>
                </w:tcPr>
                <w:p>
                  <w:pPr>
                    <w:adjustRightInd w:val="0"/>
                    <w:snapToGrid w:val="0"/>
                    <w:jc w:val="center"/>
                    <w:rPr>
                      <w:color w:val="auto"/>
                      <w:szCs w:val="21"/>
                    </w:rPr>
                  </w:pPr>
                  <w:r>
                    <w:rPr>
                      <w:color w:val="auto"/>
                      <w:szCs w:val="21"/>
                    </w:rPr>
                    <w:t>定期清掏周边农田施肥</w:t>
                  </w:r>
                </w:p>
              </w:tc>
              <w:tc>
                <w:tcPr>
                  <w:tcW w:w="1018" w:type="dxa"/>
                  <w:vAlign w:val="center"/>
                </w:tcPr>
                <w:p>
                  <w:pPr>
                    <w:adjustRightInd w:val="0"/>
                    <w:snapToGrid w:val="0"/>
                    <w:jc w:val="center"/>
                    <w:rPr>
                      <w:color w:val="auto"/>
                      <w:szCs w:val="21"/>
                    </w:rPr>
                  </w:pPr>
                  <w:r>
                    <w:rPr>
                      <w:color w:val="auto"/>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74" w:type="dxa"/>
                  <w:gridSpan w:val="2"/>
                  <w:vAlign w:val="center"/>
                </w:tcPr>
                <w:p>
                  <w:pPr>
                    <w:widowControl/>
                    <w:adjustRightInd w:val="0"/>
                    <w:snapToGrid w:val="0"/>
                    <w:jc w:val="center"/>
                    <w:rPr>
                      <w:color w:val="auto"/>
                      <w:szCs w:val="21"/>
                    </w:rPr>
                  </w:pPr>
                  <w:r>
                    <w:rPr>
                      <w:color w:val="auto"/>
                      <w:szCs w:val="21"/>
                    </w:rPr>
                    <w:t>地下水污染防治措施</w:t>
                  </w:r>
                </w:p>
              </w:tc>
              <w:tc>
                <w:tcPr>
                  <w:tcW w:w="5263" w:type="dxa"/>
                  <w:gridSpan w:val="2"/>
                  <w:vAlign w:val="center"/>
                </w:tcPr>
                <w:p>
                  <w:pPr>
                    <w:adjustRightInd w:val="0"/>
                    <w:snapToGrid w:val="0"/>
                    <w:jc w:val="center"/>
                    <w:rPr>
                      <w:color w:val="auto"/>
                      <w:szCs w:val="21"/>
                    </w:rPr>
                  </w:pPr>
                  <w:r>
                    <w:rPr>
                      <w:color w:val="auto"/>
                      <w:szCs w:val="21"/>
                    </w:rPr>
                    <w:t>项目一般防渗区为沉淀池、</w:t>
                  </w:r>
                  <w:r>
                    <w:rPr>
                      <w:rFonts w:hint="eastAsia"/>
                      <w:color w:val="auto"/>
                      <w:szCs w:val="21"/>
                      <w:lang w:eastAsia="zh-CN"/>
                    </w:rPr>
                    <w:t>洗车池</w:t>
                  </w:r>
                  <w:r>
                    <w:rPr>
                      <w:color w:val="auto"/>
                      <w:szCs w:val="21"/>
                    </w:rPr>
                    <w:t>。防渗技术要求为等效粘土防渗层Mb≥1.5m，K≤10</w:t>
                  </w:r>
                  <w:r>
                    <w:rPr>
                      <w:color w:val="auto"/>
                      <w:szCs w:val="21"/>
                      <w:vertAlign w:val="superscript"/>
                    </w:rPr>
                    <w:t>-7</w:t>
                  </w:r>
                  <w:r>
                    <w:rPr>
                      <w:color w:val="auto"/>
                      <w:szCs w:val="21"/>
                    </w:rPr>
                    <w:t>cm/s。建议采取C30防渗混凝土硬化地面、利用粘土碾实回填等措施。</w:t>
                  </w:r>
                </w:p>
              </w:tc>
              <w:tc>
                <w:tcPr>
                  <w:tcW w:w="1018" w:type="dxa"/>
                  <w:vAlign w:val="center"/>
                </w:tcPr>
                <w:p>
                  <w:pPr>
                    <w:adjustRightInd w:val="0"/>
                    <w:snapToGrid w:val="0"/>
                    <w:jc w:val="center"/>
                    <w:rPr>
                      <w:rFonts w:eastAsiaTheme="minorEastAsia"/>
                      <w:color w:val="auto"/>
                      <w:szCs w:val="21"/>
                    </w:rPr>
                  </w:pPr>
                  <w:r>
                    <w:rPr>
                      <w:color w:val="auto"/>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74" w:type="dxa"/>
                  <w:gridSpan w:val="2"/>
                  <w:vMerge w:val="restart"/>
                  <w:vAlign w:val="center"/>
                </w:tcPr>
                <w:p>
                  <w:pPr>
                    <w:adjustRightInd w:val="0"/>
                    <w:snapToGrid w:val="0"/>
                    <w:jc w:val="center"/>
                    <w:rPr>
                      <w:color w:val="auto"/>
                      <w:szCs w:val="21"/>
                    </w:rPr>
                  </w:pPr>
                  <w:r>
                    <w:rPr>
                      <w:color w:val="auto"/>
                      <w:szCs w:val="21"/>
                    </w:rPr>
                    <w:t>风险管理</w:t>
                  </w:r>
                </w:p>
              </w:tc>
              <w:tc>
                <w:tcPr>
                  <w:tcW w:w="5263" w:type="dxa"/>
                  <w:gridSpan w:val="2"/>
                  <w:vMerge w:val="restart"/>
                  <w:vAlign w:val="center"/>
                </w:tcPr>
                <w:p>
                  <w:pPr>
                    <w:adjustRightInd w:val="0"/>
                    <w:snapToGrid w:val="0"/>
                    <w:jc w:val="center"/>
                    <w:rPr>
                      <w:rFonts w:eastAsiaTheme="minorEastAsia"/>
                      <w:color w:val="auto"/>
                      <w:szCs w:val="21"/>
                    </w:rPr>
                  </w:pPr>
                  <w:r>
                    <w:rPr>
                      <w:color w:val="auto"/>
                      <w:szCs w:val="21"/>
                    </w:rPr>
                    <w:t>加强车间环境管理，杜绝“跑冒漏滴现象”；设置环保标志标牌，环保管理制度及风险应急预案上墙；设置防火标示牌、灭火器等</w:t>
                  </w:r>
                </w:p>
              </w:tc>
              <w:tc>
                <w:tcPr>
                  <w:tcW w:w="1018" w:type="dxa"/>
                  <w:vAlign w:val="center"/>
                </w:tcPr>
                <w:p>
                  <w:pPr>
                    <w:adjustRightInd w:val="0"/>
                    <w:snapToGrid w:val="0"/>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74" w:type="dxa"/>
                  <w:gridSpan w:val="2"/>
                  <w:vMerge w:val="continue"/>
                  <w:vAlign w:val="center"/>
                </w:tcPr>
                <w:p>
                  <w:pPr>
                    <w:adjustRightInd w:val="0"/>
                    <w:snapToGrid w:val="0"/>
                    <w:jc w:val="center"/>
                    <w:rPr>
                      <w:color w:val="auto"/>
                      <w:szCs w:val="21"/>
                    </w:rPr>
                  </w:pPr>
                </w:p>
              </w:tc>
              <w:tc>
                <w:tcPr>
                  <w:tcW w:w="5263" w:type="dxa"/>
                  <w:gridSpan w:val="2"/>
                  <w:vMerge w:val="continue"/>
                  <w:vAlign w:val="center"/>
                </w:tcPr>
                <w:p>
                  <w:pPr>
                    <w:adjustRightInd w:val="0"/>
                    <w:snapToGrid w:val="0"/>
                    <w:jc w:val="center"/>
                    <w:rPr>
                      <w:color w:val="auto"/>
                      <w:szCs w:val="21"/>
                    </w:rPr>
                  </w:pPr>
                </w:p>
              </w:tc>
              <w:tc>
                <w:tcPr>
                  <w:tcW w:w="1018" w:type="dxa"/>
                  <w:vAlign w:val="center"/>
                </w:tcPr>
                <w:p>
                  <w:pPr>
                    <w:adjustRightInd w:val="0"/>
                    <w:snapToGrid w:val="0"/>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37" w:type="dxa"/>
                  <w:gridSpan w:val="4"/>
                  <w:vAlign w:val="center"/>
                </w:tcPr>
                <w:p>
                  <w:pPr>
                    <w:adjustRightInd w:val="0"/>
                    <w:snapToGrid w:val="0"/>
                    <w:jc w:val="center"/>
                    <w:rPr>
                      <w:color w:val="auto"/>
                      <w:szCs w:val="21"/>
                    </w:rPr>
                  </w:pPr>
                  <w:r>
                    <w:rPr>
                      <w:color w:val="auto"/>
                      <w:szCs w:val="21"/>
                    </w:rPr>
                    <w:t>合  计</w:t>
                  </w:r>
                </w:p>
              </w:tc>
              <w:tc>
                <w:tcPr>
                  <w:tcW w:w="1018" w:type="dxa"/>
                  <w:vAlign w:val="center"/>
                </w:tcPr>
                <w:p>
                  <w:pPr>
                    <w:pStyle w:val="293"/>
                    <w:adjustRightInd w:val="0"/>
                    <w:snapToGrid w:val="0"/>
                    <w:jc w:val="center"/>
                    <w:rPr>
                      <w:rFonts w:eastAsiaTheme="minorEastAsia"/>
                      <w:color w:val="auto"/>
                      <w:szCs w:val="21"/>
                    </w:rPr>
                  </w:pPr>
                  <w:r>
                    <w:rPr>
                      <w:color w:val="auto"/>
                      <w:szCs w:val="21"/>
                    </w:rPr>
                    <w:t>35.2</w:t>
                  </w:r>
                </w:p>
              </w:tc>
            </w:tr>
          </w:tbl>
          <w:p>
            <w:pPr>
              <w:pStyle w:val="15"/>
              <w:rPr>
                <w:b/>
                <w:color w:val="auto"/>
                <w:szCs w:val="21"/>
              </w:rPr>
            </w:pPr>
          </w:p>
          <w:p>
            <w:pPr>
              <w:rPr>
                <w:b/>
                <w:color w:val="auto"/>
                <w:szCs w:val="21"/>
              </w:rPr>
            </w:pPr>
          </w:p>
          <w:p>
            <w:pPr>
              <w:adjustRightInd w:val="0"/>
              <w:snapToGrid w:val="0"/>
              <w:spacing w:line="480" w:lineRule="exact"/>
              <w:rPr>
                <w:color w:val="auto"/>
                <w:sz w:val="24"/>
              </w:rPr>
            </w:pPr>
          </w:p>
        </w:tc>
      </w:tr>
    </w:tbl>
    <w:p>
      <w:pPr>
        <w:pStyle w:val="39"/>
        <w:ind w:firstLine="0" w:firstLineChars="0"/>
        <w:rPr>
          <w:color w:val="auto"/>
        </w:rPr>
        <w:sectPr>
          <w:pgSz w:w="11906" w:h="16838"/>
          <w:pgMar w:top="1440" w:right="1080" w:bottom="1440" w:left="1080" w:header="851" w:footer="992" w:gutter="0"/>
          <w:cols w:space="425" w:num="1"/>
          <w:docGrid w:type="lines" w:linePitch="312" w:charSpace="0"/>
        </w:sectPr>
      </w:pPr>
    </w:p>
    <w:p>
      <w:pPr>
        <w:pStyle w:val="37"/>
        <w:spacing w:before="0" w:beforeAutospacing="0" w:after="0" w:afterAutospacing="0"/>
        <w:jc w:val="center"/>
        <w:outlineLvl w:val="0"/>
        <w:rPr>
          <w:rFonts w:ascii="Times New Roman" w:hAnsi="Times New Roman"/>
          <w:b/>
          <w:bCs/>
          <w:snapToGrid w:val="0"/>
          <w:color w:val="auto"/>
          <w:sz w:val="30"/>
          <w:szCs w:val="30"/>
        </w:rPr>
      </w:pPr>
      <w:r>
        <w:rPr>
          <w:rFonts w:ascii="Times New Roman" w:hAnsi="Times New Roman"/>
          <w:b/>
          <w:bCs/>
          <w:snapToGrid w:val="0"/>
          <w:color w:val="auto"/>
          <w:sz w:val="30"/>
          <w:szCs w:val="30"/>
        </w:rPr>
        <w:t>五、环境保护措施监督检查清单</w:t>
      </w:r>
    </w:p>
    <w:tbl>
      <w:tblPr>
        <w:tblStyle w:val="41"/>
        <w:tblW w:w="492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08"/>
        <w:gridCol w:w="1684"/>
        <w:gridCol w:w="1261"/>
        <w:gridCol w:w="3126"/>
        <w:gridCol w:w="222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9" w:type="pct"/>
            <w:tcBorders>
              <w:tl2br w:val="single" w:color="auto" w:sz="4" w:space="0"/>
            </w:tcBorders>
          </w:tcPr>
          <w:p>
            <w:pPr>
              <w:adjustRightInd w:val="0"/>
              <w:snapToGrid w:val="0"/>
              <w:ind w:firstLine="840"/>
              <w:rPr>
                <w:b/>
                <w:bCs/>
                <w:color w:val="auto"/>
                <w:kern w:val="21"/>
                <w:sz w:val="24"/>
              </w:rPr>
            </w:pPr>
            <w:r>
              <w:rPr>
                <w:b/>
                <w:bCs/>
                <w:color w:val="auto"/>
                <w:kern w:val="21"/>
                <w:sz w:val="24"/>
              </w:rPr>
              <w:t>内容</w:t>
            </w:r>
          </w:p>
          <w:p>
            <w:pPr>
              <w:adjustRightInd w:val="0"/>
              <w:snapToGrid w:val="0"/>
              <w:rPr>
                <w:b/>
                <w:bCs/>
                <w:color w:val="auto"/>
                <w:kern w:val="21"/>
                <w:sz w:val="24"/>
              </w:rPr>
            </w:pPr>
            <w:r>
              <w:rPr>
                <w:b/>
                <w:bCs/>
                <w:color w:val="auto"/>
                <w:kern w:val="21"/>
                <w:sz w:val="24"/>
              </w:rPr>
              <w:t>要素</w:t>
            </w:r>
          </w:p>
        </w:tc>
        <w:tc>
          <w:tcPr>
            <w:tcW w:w="859" w:type="pct"/>
            <w:vAlign w:val="center"/>
          </w:tcPr>
          <w:p>
            <w:pPr>
              <w:adjustRightInd w:val="0"/>
              <w:snapToGrid w:val="0"/>
              <w:jc w:val="center"/>
              <w:rPr>
                <w:b/>
                <w:bCs/>
                <w:color w:val="auto"/>
                <w:kern w:val="21"/>
                <w:sz w:val="24"/>
              </w:rPr>
            </w:pPr>
            <w:r>
              <w:rPr>
                <w:b/>
                <w:bCs/>
                <w:color w:val="auto"/>
                <w:kern w:val="21"/>
                <w:sz w:val="24"/>
              </w:rPr>
              <w:t>排放口（编号、</w:t>
            </w:r>
          </w:p>
          <w:p>
            <w:pPr>
              <w:adjustRightInd w:val="0"/>
              <w:snapToGrid w:val="0"/>
              <w:jc w:val="center"/>
              <w:rPr>
                <w:b/>
                <w:bCs/>
                <w:color w:val="auto"/>
                <w:kern w:val="21"/>
                <w:sz w:val="24"/>
              </w:rPr>
            </w:pPr>
            <w:r>
              <w:rPr>
                <w:b/>
                <w:bCs/>
                <w:color w:val="auto"/>
                <w:kern w:val="21"/>
                <w:sz w:val="24"/>
              </w:rPr>
              <w:t>名称）/污染源</w:t>
            </w:r>
          </w:p>
        </w:tc>
        <w:tc>
          <w:tcPr>
            <w:tcW w:w="643" w:type="pct"/>
            <w:vAlign w:val="center"/>
          </w:tcPr>
          <w:p>
            <w:pPr>
              <w:adjustRightInd w:val="0"/>
              <w:snapToGrid w:val="0"/>
              <w:jc w:val="center"/>
              <w:rPr>
                <w:b/>
                <w:bCs/>
                <w:color w:val="auto"/>
                <w:kern w:val="21"/>
                <w:sz w:val="24"/>
              </w:rPr>
            </w:pPr>
            <w:r>
              <w:rPr>
                <w:b/>
                <w:bCs/>
                <w:color w:val="auto"/>
                <w:kern w:val="21"/>
                <w:sz w:val="24"/>
              </w:rPr>
              <w:t>污染物项目</w:t>
            </w:r>
          </w:p>
        </w:tc>
        <w:tc>
          <w:tcPr>
            <w:tcW w:w="1594" w:type="pct"/>
            <w:vAlign w:val="center"/>
          </w:tcPr>
          <w:p>
            <w:pPr>
              <w:adjustRightInd w:val="0"/>
              <w:snapToGrid w:val="0"/>
              <w:jc w:val="center"/>
              <w:rPr>
                <w:b/>
                <w:bCs/>
                <w:color w:val="auto"/>
                <w:kern w:val="21"/>
                <w:sz w:val="24"/>
              </w:rPr>
            </w:pPr>
            <w:r>
              <w:rPr>
                <w:b/>
                <w:bCs/>
                <w:color w:val="auto"/>
                <w:kern w:val="21"/>
                <w:sz w:val="24"/>
              </w:rPr>
              <w:t>环境保护措施</w:t>
            </w:r>
          </w:p>
        </w:tc>
        <w:tc>
          <w:tcPr>
            <w:tcW w:w="1133" w:type="pct"/>
            <w:vAlign w:val="center"/>
          </w:tcPr>
          <w:p>
            <w:pPr>
              <w:adjustRightInd w:val="0"/>
              <w:snapToGrid w:val="0"/>
              <w:jc w:val="center"/>
              <w:rPr>
                <w:b/>
                <w:bCs/>
                <w:color w:val="auto"/>
                <w:kern w:val="21"/>
                <w:sz w:val="24"/>
              </w:rPr>
            </w:pPr>
            <w:r>
              <w:rPr>
                <w:b/>
                <w:bCs/>
                <w:color w:val="auto"/>
                <w:kern w:val="21"/>
                <w:sz w:val="24"/>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9" w:type="pct"/>
            <w:vMerge w:val="restart"/>
            <w:vAlign w:val="center"/>
          </w:tcPr>
          <w:p>
            <w:pPr>
              <w:adjustRightInd w:val="0"/>
              <w:snapToGrid w:val="0"/>
              <w:jc w:val="center"/>
              <w:rPr>
                <w:color w:val="auto"/>
                <w:kern w:val="21"/>
                <w:sz w:val="24"/>
              </w:rPr>
            </w:pPr>
            <w:r>
              <w:rPr>
                <w:color w:val="auto"/>
                <w:kern w:val="21"/>
                <w:sz w:val="24"/>
              </w:rPr>
              <w:t>大气环境</w:t>
            </w:r>
          </w:p>
        </w:tc>
        <w:tc>
          <w:tcPr>
            <w:tcW w:w="859" w:type="pct"/>
            <w:vAlign w:val="center"/>
          </w:tcPr>
          <w:p>
            <w:pPr>
              <w:widowControl/>
              <w:adjustRightInd w:val="0"/>
              <w:snapToGrid w:val="0"/>
              <w:jc w:val="center"/>
              <w:textAlignment w:val="center"/>
              <w:rPr>
                <w:color w:val="auto"/>
                <w:kern w:val="21"/>
                <w:sz w:val="24"/>
              </w:rPr>
            </w:pPr>
            <w:r>
              <w:rPr>
                <w:bCs/>
                <w:color w:val="auto"/>
                <w:sz w:val="24"/>
              </w:rPr>
              <w:t>运输车辆动力起尘</w:t>
            </w:r>
          </w:p>
        </w:tc>
        <w:tc>
          <w:tcPr>
            <w:tcW w:w="643" w:type="pct"/>
            <w:vAlign w:val="center"/>
          </w:tcPr>
          <w:p>
            <w:pPr>
              <w:adjustRightInd w:val="0"/>
              <w:snapToGrid w:val="0"/>
              <w:spacing w:line="280" w:lineRule="exact"/>
              <w:jc w:val="center"/>
              <w:rPr>
                <w:color w:val="auto"/>
                <w:kern w:val="21"/>
                <w:sz w:val="24"/>
              </w:rPr>
            </w:pPr>
            <w:r>
              <w:rPr>
                <w:color w:val="auto"/>
                <w:sz w:val="24"/>
              </w:rPr>
              <w:t>颗粒物</w:t>
            </w:r>
          </w:p>
        </w:tc>
        <w:tc>
          <w:tcPr>
            <w:tcW w:w="1594" w:type="pct"/>
            <w:vAlign w:val="center"/>
          </w:tcPr>
          <w:p>
            <w:pPr>
              <w:adjustRightInd w:val="0"/>
              <w:snapToGrid w:val="0"/>
              <w:jc w:val="center"/>
              <w:rPr>
                <w:color w:val="auto"/>
                <w:sz w:val="24"/>
              </w:rPr>
            </w:pPr>
            <w:r>
              <w:rPr>
                <w:bCs/>
                <w:color w:val="auto"/>
                <w:sz w:val="24"/>
              </w:rPr>
              <w:t>厂区地面硬化处理，定期洒水，配备1个</w:t>
            </w:r>
            <w:r>
              <w:rPr>
                <w:rFonts w:hint="eastAsia"/>
                <w:bCs/>
                <w:color w:val="auto"/>
                <w:sz w:val="24"/>
                <w:lang w:eastAsia="zh-CN"/>
              </w:rPr>
              <w:t>雾炮</w:t>
            </w:r>
            <w:r>
              <w:rPr>
                <w:bCs/>
                <w:color w:val="auto"/>
                <w:sz w:val="24"/>
              </w:rPr>
              <w:t>除尘机</w:t>
            </w:r>
          </w:p>
        </w:tc>
        <w:tc>
          <w:tcPr>
            <w:tcW w:w="1133" w:type="pct"/>
            <w:vMerge w:val="restart"/>
            <w:vAlign w:val="center"/>
          </w:tcPr>
          <w:p>
            <w:pPr>
              <w:adjustRightInd w:val="0"/>
              <w:snapToGrid w:val="0"/>
              <w:jc w:val="center"/>
              <w:rPr>
                <w:color w:val="auto"/>
                <w:kern w:val="21"/>
                <w:sz w:val="24"/>
              </w:rPr>
            </w:pPr>
            <w:r>
              <w:rPr>
                <w:color w:val="auto"/>
                <w:sz w:val="24"/>
              </w:rPr>
              <w:t>《</w:t>
            </w:r>
            <w:r>
              <w:rPr>
                <w:rFonts w:hint="eastAsia"/>
                <w:color w:val="auto"/>
                <w:sz w:val="24"/>
                <w:lang w:eastAsia="zh-CN"/>
              </w:rPr>
              <w:t>四川省水泥工业大气污染物排放标准</w:t>
            </w:r>
            <w:r>
              <w:rPr>
                <w:color w:val="auto"/>
                <w:sz w:val="24"/>
              </w:rPr>
              <w:t>》（</w:t>
            </w:r>
            <w:r>
              <w:rPr>
                <w:rFonts w:hint="eastAsia"/>
                <w:color w:val="auto"/>
                <w:sz w:val="24"/>
                <w:lang w:eastAsia="zh-CN"/>
              </w:rPr>
              <w:t>DB51/2864-2021</w:t>
            </w:r>
            <w:r>
              <w:rPr>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9" w:type="pct"/>
            <w:vMerge w:val="continue"/>
            <w:vAlign w:val="center"/>
          </w:tcPr>
          <w:p>
            <w:pPr>
              <w:adjustRightInd w:val="0"/>
              <w:snapToGrid w:val="0"/>
              <w:jc w:val="center"/>
              <w:rPr>
                <w:color w:val="auto"/>
                <w:kern w:val="21"/>
                <w:sz w:val="24"/>
              </w:rPr>
            </w:pPr>
          </w:p>
        </w:tc>
        <w:tc>
          <w:tcPr>
            <w:tcW w:w="859" w:type="pct"/>
            <w:vAlign w:val="center"/>
          </w:tcPr>
          <w:p>
            <w:pPr>
              <w:widowControl/>
              <w:adjustRightInd w:val="0"/>
              <w:snapToGrid w:val="0"/>
              <w:jc w:val="center"/>
              <w:textAlignment w:val="center"/>
              <w:rPr>
                <w:color w:val="auto"/>
                <w:kern w:val="21"/>
                <w:sz w:val="24"/>
              </w:rPr>
            </w:pPr>
            <w:r>
              <w:rPr>
                <w:color w:val="auto"/>
                <w:sz w:val="24"/>
              </w:rPr>
              <w:t>砂石料装卸起尘</w:t>
            </w:r>
          </w:p>
        </w:tc>
        <w:tc>
          <w:tcPr>
            <w:tcW w:w="643" w:type="pct"/>
            <w:vAlign w:val="center"/>
          </w:tcPr>
          <w:p>
            <w:pPr>
              <w:adjustRightInd w:val="0"/>
              <w:snapToGrid w:val="0"/>
              <w:spacing w:line="280" w:lineRule="exact"/>
              <w:jc w:val="center"/>
              <w:rPr>
                <w:color w:val="auto"/>
                <w:kern w:val="21"/>
                <w:sz w:val="24"/>
              </w:rPr>
            </w:pPr>
            <w:r>
              <w:rPr>
                <w:color w:val="auto"/>
                <w:sz w:val="24"/>
              </w:rPr>
              <w:t>颗粒物</w:t>
            </w:r>
          </w:p>
        </w:tc>
        <w:tc>
          <w:tcPr>
            <w:tcW w:w="1594" w:type="pct"/>
            <w:vAlign w:val="center"/>
          </w:tcPr>
          <w:p>
            <w:pPr>
              <w:adjustRightInd w:val="0"/>
              <w:snapToGrid w:val="0"/>
              <w:jc w:val="center"/>
              <w:rPr>
                <w:color w:val="auto"/>
                <w:sz w:val="24"/>
              </w:rPr>
            </w:pPr>
            <w:r>
              <w:rPr>
                <w:bCs/>
                <w:color w:val="auto"/>
                <w:sz w:val="24"/>
              </w:rPr>
              <w:t>采用密闭的砂石料仓，配备喷雾装置</w:t>
            </w:r>
          </w:p>
        </w:tc>
        <w:tc>
          <w:tcPr>
            <w:tcW w:w="1133" w:type="pct"/>
            <w:vMerge w:val="continue"/>
            <w:vAlign w:val="center"/>
          </w:tcPr>
          <w:p>
            <w:pPr>
              <w:adjustRightInd w:val="0"/>
              <w:snapToGrid w:val="0"/>
              <w:jc w:val="center"/>
              <w:rPr>
                <w:color w:val="auto"/>
                <w:kern w:val="21"/>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769" w:type="pct"/>
            <w:vMerge w:val="continue"/>
            <w:vAlign w:val="center"/>
          </w:tcPr>
          <w:p>
            <w:pPr>
              <w:adjustRightInd w:val="0"/>
              <w:snapToGrid w:val="0"/>
              <w:jc w:val="center"/>
              <w:rPr>
                <w:color w:val="auto"/>
                <w:kern w:val="21"/>
                <w:sz w:val="24"/>
              </w:rPr>
            </w:pPr>
          </w:p>
        </w:tc>
        <w:tc>
          <w:tcPr>
            <w:tcW w:w="859" w:type="pct"/>
            <w:vAlign w:val="center"/>
          </w:tcPr>
          <w:p>
            <w:pPr>
              <w:widowControl/>
              <w:adjustRightInd w:val="0"/>
              <w:snapToGrid w:val="0"/>
              <w:jc w:val="center"/>
              <w:textAlignment w:val="center"/>
              <w:rPr>
                <w:color w:val="auto"/>
                <w:kern w:val="21"/>
                <w:sz w:val="24"/>
              </w:rPr>
            </w:pPr>
            <w:r>
              <w:rPr>
                <w:color w:val="auto"/>
                <w:sz w:val="24"/>
              </w:rPr>
              <w:t>铲车投料粉尘</w:t>
            </w:r>
          </w:p>
        </w:tc>
        <w:tc>
          <w:tcPr>
            <w:tcW w:w="643" w:type="pct"/>
            <w:vAlign w:val="center"/>
          </w:tcPr>
          <w:p>
            <w:pPr>
              <w:adjustRightInd w:val="0"/>
              <w:snapToGrid w:val="0"/>
              <w:spacing w:line="280" w:lineRule="exact"/>
              <w:jc w:val="center"/>
              <w:rPr>
                <w:color w:val="auto"/>
                <w:kern w:val="21"/>
                <w:sz w:val="24"/>
              </w:rPr>
            </w:pPr>
            <w:r>
              <w:rPr>
                <w:color w:val="auto"/>
                <w:sz w:val="24"/>
              </w:rPr>
              <w:t>颗粒物</w:t>
            </w:r>
          </w:p>
        </w:tc>
        <w:tc>
          <w:tcPr>
            <w:tcW w:w="1594" w:type="pct"/>
            <w:vAlign w:val="center"/>
          </w:tcPr>
          <w:p>
            <w:pPr>
              <w:adjustRightInd w:val="0"/>
              <w:snapToGrid w:val="0"/>
              <w:jc w:val="center"/>
              <w:rPr>
                <w:color w:val="auto"/>
                <w:sz w:val="24"/>
              </w:rPr>
            </w:pPr>
            <w:r>
              <w:rPr>
                <w:bCs/>
                <w:color w:val="auto"/>
                <w:sz w:val="24"/>
              </w:rPr>
              <w:t>配料秤斗上方设置喷雾装置</w:t>
            </w:r>
          </w:p>
        </w:tc>
        <w:tc>
          <w:tcPr>
            <w:tcW w:w="1133" w:type="pct"/>
            <w:vMerge w:val="continue"/>
            <w:vAlign w:val="center"/>
          </w:tcPr>
          <w:p>
            <w:pPr>
              <w:adjustRightInd w:val="0"/>
              <w:snapToGrid w:val="0"/>
              <w:jc w:val="center"/>
              <w:rPr>
                <w:color w:val="auto"/>
                <w:kern w:val="21"/>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769" w:type="pct"/>
            <w:vMerge w:val="continue"/>
            <w:vAlign w:val="center"/>
          </w:tcPr>
          <w:p>
            <w:pPr>
              <w:adjustRightInd w:val="0"/>
              <w:snapToGrid w:val="0"/>
              <w:jc w:val="center"/>
              <w:rPr>
                <w:color w:val="auto"/>
                <w:sz w:val="24"/>
              </w:rPr>
            </w:pPr>
          </w:p>
        </w:tc>
        <w:tc>
          <w:tcPr>
            <w:tcW w:w="859" w:type="pct"/>
            <w:vAlign w:val="center"/>
          </w:tcPr>
          <w:p>
            <w:pPr>
              <w:widowControl/>
              <w:adjustRightInd w:val="0"/>
              <w:snapToGrid w:val="0"/>
              <w:jc w:val="center"/>
              <w:textAlignment w:val="center"/>
              <w:rPr>
                <w:color w:val="auto"/>
                <w:kern w:val="21"/>
                <w:sz w:val="24"/>
              </w:rPr>
            </w:pPr>
            <w:r>
              <w:rPr>
                <w:color w:val="auto"/>
                <w:sz w:val="24"/>
              </w:rPr>
              <w:t>皮带输送粉尘</w:t>
            </w:r>
          </w:p>
        </w:tc>
        <w:tc>
          <w:tcPr>
            <w:tcW w:w="643" w:type="pct"/>
            <w:vAlign w:val="center"/>
          </w:tcPr>
          <w:p>
            <w:pPr>
              <w:adjustRightInd w:val="0"/>
              <w:snapToGrid w:val="0"/>
              <w:spacing w:line="280" w:lineRule="exact"/>
              <w:jc w:val="center"/>
              <w:rPr>
                <w:color w:val="auto"/>
                <w:kern w:val="21"/>
                <w:sz w:val="24"/>
              </w:rPr>
            </w:pPr>
            <w:r>
              <w:rPr>
                <w:color w:val="auto"/>
                <w:sz w:val="24"/>
              </w:rPr>
              <w:t>颗粒物</w:t>
            </w:r>
          </w:p>
        </w:tc>
        <w:tc>
          <w:tcPr>
            <w:tcW w:w="1594" w:type="pct"/>
            <w:vAlign w:val="center"/>
          </w:tcPr>
          <w:p>
            <w:pPr>
              <w:adjustRightInd w:val="0"/>
              <w:snapToGrid w:val="0"/>
              <w:jc w:val="center"/>
              <w:rPr>
                <w:color w:val="auto"/>
                <w:sz w:val="24"/>
              </w:rPr>
            </w:pPr>
            <w:r>
              <w:rPr>
                <w:bCs/>
                <w:color w:val="auto"/>
                <w:sz w:val="24"/>
              </w:rPr>
              <w:t>皮带输送机采用全密封，并在皮带输送机进料口设置喷雾系统</w:t>
            </w:r>
          </w:p>
        </w:tc>
        <w:tc>
          <w:tcPr>
            <w:tcW w:w="1133" w:type="pct"/>
            <w:vMerge w:val="continue"/>
            <w:vAlign w:val="center"/>
          </w:tcPr>
          <w:p>
            <w:pPr>
              <w:adjustRightInd w:val="0"/>
              <w:snapToGrid w:val="0"/>
              <w:jc w:val="center"/>
              <w:rPr>
                <w:color w:val="auto"/>
                <w:kern w:val="21"/>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769" w:type="pct"/>
            <w:vMerge w:val="continue"/>
            <w:vAlign w:val="center"/>
          </w:tcPr>
          <w:p>
            <w:pPr>
              <w:autoSpaceDE w:val="0"/>
              <w:adjustRightInd w:val="0"/>
              <w:snapToGrid w:val="0"/>
              <w:jc w:val="center"/>
              <w:rPr>
                <w:color w:val="auto"/>
                <w:sz w:val="24"/>
              </w:rPr>
            </w:pPr>
          </w:p>
        </w:tc>
        <w:tc>
          <w:tcPr>
            <w:tcW w:w="859" w:type="pct"/>
            <w:vAlign w:val="center"/>
          </w:tcPr>
          <w:p>
            <w:pPr>
              <w:widowControl/>
              <w:adjustRightInd w:val="0"/>
              <w:snapToGrid w:val="0"/>
              <w:jc w:val="center"/>
              <w:textAlignment w:val="center"/>
              <w:rPr>
                <w:color w:val="auto"/>
                <w:sz w:val="24"/>
              </w:rPr>
            </w:pPr>
            <w:r>
              <w:rPr>
                <w:color w:val="auto"/>
                <w:sz w:val="24"/>
              </w:rPr>
              <w:t>筒仓呼吸粉尘</w:t>
            </w:r>
          </w:p>
        </w:tc>
        <w:tc>
          <w:tcPr>
            <w:tcW w:w="643" w:type="pct"/>
            <w:vAlign w:val="center"/>
          </w:tcPr>
          <w:p>
            <w:pPr>
              <w:adjustRightInd w:val="0"/>
              <w:snapToGrid w:val="0"/>
              <w:spacing w:line="280" w:lineRule="exact"/>
              <w:jc w:val="center"/>
              <w:rPr>
                <w:color w:val="auto"/>
                <w:sz w:val="24"/>
              </w:rPr>
            </w:pPr>
            <w:r>
              <w:rPr>
                <w:color w:val="auto"/>
                <w:sz w:val="24"/>
              </w:rPr>
              <w:t>颗粒物</w:t>
            </w:r>
          </w:p>
        </w:tc>
        <w:tc>
          <w:tcPr>
            <w:tcW w:w="1594" w:type="pct"/>
            <w:vAlign w:val="center"/>
          </w:tcPr>
          <w:p>
            <w:pPr>
              <w:adjustRightInd w:val="0"/>
              <w:snapToGrid w:val="0"/>
              <w:jc w:val="center"/>
              <w:rPr>
                <w:color w:val="auto"/>
                <w:sz w:val="24"/>
              </w:rPr>
            </w:pPr>
            <w:r>
              <w:rPr>
                <w:bCs/>
                <w:color w:val="auto"/>
                <w:sz w:val="24"/>
              </w:rPr>
              <w:t>每个储粉罐顶部设置除尘器，</w:t>
            </w:r>
            <w:r>
              <w:rPr>
                <w:rFonts w:hint="eastAsia"/>
                <w:bCs/>
                <w:color w:val="auto"/>
                <w:sz w:val="24"/>
              </w:rPr>
              <w:t>除尘后经筒仓顶排出，筒仓均封闭在密闭厂房内，粉尘在厂房内部无组织排放</w:t>
            </w:r>
          </w:p>
        </w:tc>
        <w:tc>
          <w:tcPr>
            <w:tcW w:w="1133" w:type="pct"/>
            <w:vMerge w:val="continue"/>
            <w:vAlign w:val="center"/>
          </w:tcPr>
          <w:p>
            <w:pPr>
              <w:autoSpaceDE w:val="0"/>
              <w:adjustRightInd w:val="0"/>
              <w:snapToGrid w:val="0"/>
              <w:jc w:val="center"/>
              <w:rPr>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769" w:type="pct"/>
            <w:vMerge w:val="continue"/>
            <w:vAlign w:val="center"/>
          </w:tcPr>
          <w:p>
            <w:pPr>
              <w:autoSpaceDE w:val="0"/>
              <w:adjustRightInd w:val="0"/>
              <w:snapToGrid w:val="0"/>
              <w:jc w:val="center"/>
              <w:rPr>
                <w:color w:val="auto"/>
                <w:sz w:val="24"/>
              </w:rPr>
            </w:pPr>
          </w:p>
        </w:tc>
        <w:tc>
          <w:tcPr>
            <w:tcW w:w="859" w:type="pct"/>
            <w:vAlign w:val="center"/>
          </w:tcPr>
          <w:p>
            <w:pPr>
              <w:widowControl/>
              <w:adjustRightInd w:val="0"/>
              <w:snapToGrid w:val="0"/>
              <w:jc w:val="center"/>
              <w:textAlignment w:val="center"/>
              <w:rPr>
                <w:color w:val="auto"/>
                <w:sz w:val="24"/>
              </w:rPr>
            </w:pPr>
            <w:r>
              <w:rPr>
                <w:bCs/>
                <w:color w:val="auto"/>
                <w:sz w:val="24"/>
              </w:rPr>
              <w:t>搅拌机拌料粉尘</w:t>
            </w:r>
          </w:p>
        </w:tc>
        <w:tc>
          <w:tcPr>
            <w:tcW w:w="643" w:type="pct"/>
            <w:vAlign w:val="center"/>
          </w:tcPr>
          <w:p>
            <w:pPr>
              <w:adjustRightInd w:val="0"/>
              <w:snapToGrid w:val="0"/>
              <w:spacing w:line="280" w:lineRule="exact"/>
              <w:jc w:val="center"/>
              <w:rPr>
                <w:color w:val="auto"/>
                <w:sz w:val="24"/>
              </w:rPr>
            </w:pPr>
            <w:r>
              <w:rPr>
                <w:color w:val="auto"/>
                <w:sz w:val="24"/>
              </w:rPr>
              <w:t>颗粒物</w:t>
            </w:r>
          </w:p>
        </w:tc>
        <w:tc>
          <w:tcPr>
            <w:tcW w:w="1594" w:type="pct"/>
            <w:vAlign w:val="center"/>
          </w:tcPr>
          <w:p>
            <w:pPr>
              <w:adjustRightInd w:val="0"/>
              <w:snapToGrid w:val="0"/>
              <w:jc w:val="center"/>
              <w:rPr>
                <w:color w:val="auto"/>
                <w:sz w:val="24"/>
              </w:rPr>
            </w:pPr>
            <w:r>
              <w:rPr>
                <w:bCs/>
                <w:color w:val="auto"/>
                <w:sz w:val="24"/>
              </w:rPr>
              <w:t>湿法搅拌，搅拌机搅拌时密闭，搅拌机设置在密闭搅拌楼内</w:t>
            </w:r>
          </w:p>
        </w:tc>
        <w:tc>
          <w:tcPr>
            <w:tcW w:w="1133" w:type="pct"/>
            <w:vMerge w:val="continue"/>
            <w:vAlign w:val="center"/>
          </w:tcPr>
          <w:p>
            <w:pPr>
              <w:autoSpaceDE w:val="0"/>
              <w:adjustRightInd w:val="0"/>
              <w:snapToGrid w:val="0"/>
              <w:jc w:val="center"/>
              <w:rPr>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69" w:type="pct"/>
            <w:vMerge w:val="restart"/>
            <w:vAlign w:val="center"/>
          </w:tcPr>
          <w:p>
            <w:pPr>
              <w:adjustRightInd w:val="0"/>
              <w:snapToGrid w:val="0"/>
              <w:jc w:val="center"/>
              <w:rPr>
                <w:color w:val="auto"/>
                <w:kern w:val="21"/>
                <w:sz w:val="24"/>
              </w:rPr>
            </w:pPr>
            <w:r>
              <w:rPr>
                <w:color w:val="auto"/>
                <w:kern w:val="21"/>
                <w:sz w:val="24"/>
              </w:rPr>
              <w:t>地表水环境</w:t>
            </w:r>
          </w:p>
        </w:tc>
        <w:tc>
          <w:tcPr>
            <w:tcW w:w="859" w:type="pct"/>
            <w:vMerge w:val="restart"/>
            <w:vAlign w:val="center"/>
          </w:tcPr>
          <w:p>
            <w:pPr>
              <w:adjustRightInd w:val="0"/>
              <w:snapToGrid w:val="0"/>
              <w:jc w:val="center"/>
              <w:rPr>
                <w:color w:val="auto"/>
                <w:sz w:val="24"/>
              </w:rPr>
            </w:pPr>
            <w:r>
              <w:rPr>
                <w:color w:val="auto"/>
                <w:sz w:val="24"/>
              </w:rPr>
              <w:t>厂区</w:t>
            </w:r>
          </w:p>
        </w:tc>
        <w:tc>
          <w:tcPr>
            <w:tcW w:w="643" w:type="pct"/>
            <w:vAlign w:val="center"/>
          </w:tcPr>
          <w:p>
            <w:pPr>
              <w:adjustRightInd w:val="0"/>
              <w:snapToGrid w:val="0"/>
              <w:jc w:val="center"/>
              <w:rPr>
                <w:color w:val="auto"/>
                <w:sz w:val="24"/>
              </w:rPr>
            </w:pPr>
            <w:r>
              <w:rPr>
                <w:color w:val="auto"/>
                <w:sz w:val="24"/>
              </w:rPr>
              <w:t>生活污水</w:t>
            </w:r>
          </w:p>
        </w:tc>
        <w:tc>
          <w:tcPr>
            <w:tcW w:w="1594" w:type="pct"/>
            <w:vAlign w:val="center"/>
          </w:tcPr>
          <w:p>
            <w:pPr>
              <w:adjustRightInd w:val="0"/>
              <w:snapToGrid w:val="0"/>
              <w:jc w:val="center"/>
              <w:rPr>
                <w:color w:val="auto"/>
                <w:sz w:val="24"/>
              </w:rPr>
            </w:pPr>
            <w:r>
              <w:rPr>
                <w:color w:val="auto"/>
                <w:sz w:val="24"/>
              </w:rPr>
              <w:t>依托乐山铁匠世家手工刀具有限公司化粪池（10m</w:t>
            </w:r>
            <w:r>
              <w:rPr>
                <w:color w:val="auto"/>
                <w:sz w:val="24"/>
                <w:vertAlign w:val="superscript"/>
              </w:rPr>
              <w:t>3</w:t>
            </w:r>
            <w:r>
              <w:rPr>
                <w:color w:val="auto"/>
                <w:sz w:val="24"/>
              </w:rPr>
              <w:t>）处理后用于农田施肥</w:t>
            </w:r>
          </w:p>
        </w:tc>
        <w:tc>
          <w:tcPr>
            <w:tcW w:w="1133" w:type="pct"/>
            <w:vMerge w:val="restart"/>
            <w:vAlign w:val="center"/>
          </w:tcPr>
          <w:p>
            <w:pPr>
              <w:adjustRightInd w:val="0"/>
              <w:snapToGrid w:val="0"/>
              <w:jc w:val="center"/>
              <w:rPr>
                <w:color w:val="auto"/>
                <w:kern w:val="21"/>
                <w:sz w:val="24"/>
              </w:rPr>
            </w:pPr>
            <w:r>
              <w:rPr>
                <w:color w:val="auto"/>
                <w:kern w:val="21"/>
                <w:sz w:val="24"/>
              </w:rPr>
              <w:t>回用于生产用水或资源化利用，不外排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69" w:type="pct"/>
            <w:vMerge w:val="continue"/>
            <w:vAlign w:val="center"/>
          </w:tcPr>
          <w:p>
            <w:pPr>
              <w:adjustRightInd w:val="0"/>
              <w:snapToGrid w:val="0"/>
              <w:jc w:val="center"/>
              <w:rPr>
                <w:color w:val="auto"/>
                <w:sz w:val="24"/>
              </w:rPr>
            </w:pPr>
          </w:p>
        </w:tc>
        <w:tc>
          <w:tcPr>
            <w:tcW w:w="859" w:type="pct"/>
            <w:vMerge w:val="continue"/>
            <w:vAlign w:val="center"/>
          </w:tcPr>
          <w:p>
            <w:pPr>
              <w:adjustRightInd w:val="0"/>
              <w:snapToGrid w:val="0"/>
              <w:jc w:val="center"/>
              <w:rPr>
                <w:color w:val="auto"/>
                <w:sz w:val="24"/>
              </w:rPr>
            </w:pPr>
          </w:p>
        </w:tc>
        <w:tc>
          <w:tcPr>
            <w:tcW w:w="643" w:type="pct"/>
            <w:vAlign w:val="center"/>
          </w:tcPr>
          <w:p>
            <w:pPr>
              <w:adjustRightInd w:val="0"/>
              <w:snapToGrid w:val="0"/>
              <w:jc w:val="center"/>
              <w:rPr>
                <w:color w:val="auto"/>
                <w:sz w:val="24"/>
              </w:rPr>
            </w:pPr>
            <w:r>
              <w:rPr>
                <w:color w:val="auto"/>
                <w:sz w:val="24"/>
              </w:rPr>
              <w:t>生产废水</w:t>
            </w:r>
          </w:p>
        </w:tc>
        <w:tc>
          <w:tcPr>
            <w:tcW w:w="1594" w:type="pct"/>
            <w:vAlign w:val="center"/>
          </w:tcPr>
          <w:p>
            <w:pPr>
              <w:adjustRightInd w:val="0"/>
              <w:snapToGrid w:val="0"/>
              <w:jc w:val="center"/>
              <w:rPr>
                <w:color w:val="auto"/>
                <w:sz w:val="24"/>
              </w:rPr>
            </w:pPr>
            <w:r>
              <w:rPr>
                <w:color w:val="auto"/>
                <w:sz w:val="24"/>
              </w:rPr>
              <w:t>新建三级沉淀池200m</w:t>
            </w:r>
            <w:r>
              <w:rPr>
                <w:color w:val="auto"/>
                <w:sz w:val="24"/>
                <w:vertAlign w:val="superscript"/>
              </w:rPr>
              <w:t>3</w:t>
            </w:r>
            <w:r>
              <w:rPr>
                <w:color w:val="auto"/>
                <w:sz w:val="24"/>
              </w:rPr>
              <w:t>，回用于生产不外排</w:t>
            </w:r>
          </w:p>
        </w:tc>
        <w:tc>
          <w:tcPr>
            <w:tcW w:w="1133" w:type="pct"/>
            <w:vMerge w:val="continue"/>
            <w:vAlign w:val="center"/>
          </w:tcPr>
          <w:p>
            <w:pPr>
              <w:adjustRightInd w:val="0"/>
              <w:snapToGrid w:val="0"/>
              <w:jc w:val="center"/>
              <w:rPr>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69" w:type="pct"/>
            <w:vMerge w:val="continue"/>
            <w:vAlign w:val="center"/>
          </w:tcPr>
          <w:p>
            <w:pPr>
              <w:adjustRightInd w:val="0"/>
              <w:snapToGrid w:val="0"/>
              <w:rPr>
                <w:color w:val="auto"/>
                <w:sz w:val="24"/>
              </w:rPr>
            </w:pPr>
          </w:p>
        </w:tc>
        <w:tc>
          <w:tcPr>
            <w:tcW w:w="859" w:type="pct"/>
            <w:vMerge w:val="continue"/>
            <w:vAlign w:val="center"/>
          </w:tcPr>
          <w:p>
            <w:pPr>
              <w:adjustRightInd w:val="0"/>
              <w:snapToGrid w:val="0"/>
              <w:rPr>
                <w:color w:val="auto"/>
                <w:sz w:val="24"/>
              </w:rPr>
            </w:pPr>
          </w:p>
        </w:tc>
        <w:tc>
          <w:tcPr>
            <w:tcW w:w="643" w:type="pct"/>
            <w:vAlign w:val="center"/>
          </w:tcPr>
          <w:p>
            <w:pPr>
              <w:adjustRightInd w:val="0"/>
              <w:snapToGrid w:val="0"/>
              <w:jc w:val="center"/>
              <w:rPr>
                <w:color w:val="auto"/>
                <w:sz w:val="24"/>
              </w:rPr>
            </w:pPr>
            <w:r>
              <w:rPr>
                <w:color w:val="auto"/>
                <w:sz w:val="24"/>
              </w:rPr>
              <w:t>初期雨水</w:t>
            </w:r>
          </w:p>
        </w:tc>
        <w:tc>
          <w:tcPr>
            <w:tcW w:w="1594" w:type="pct"/>
            <w:vAlign w:val="center"/>
          </w:tcPr>
          <w:p>
            <w:pPr>
              <w:adjustRightInd w:val="0"/>
              <w:snapToGrid w:val="0"/>
              <w:jc w:val="center"/>
              <w:rPr>
                <w:color w:val="auto"/>
                <w:sz w:val="24"/>
              </w:rPr>
            </w:pPr>
            <w:r>
              <w:rPr>
                <w:color w:val="auto"/>
                <w:sz w:val="24"/>
              </w:rPr>
              <w:t>新建排水沟，汇入三级沉淀池，回用于生产不外排</w:t>
            </w:r>
          </w:p>
        </w:tc>
        <w:tc>
          <w:tcPr>
            <w:tcW w:w="1133" w:type="pct"/>
            <w:vMerge w:val="continue"/>
            <w:vAlign w:val="center"/>
          </w:tcPr>
          <w:p>
            <w:pPr>
              <w:adjustRightInd w:val="0"/>
              <w:snapToGrid w:val="0"/>
              <w:rPr>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9" w:type="pct"/>
            <w:vAlign w:val="center"/>
          </w:tcPr>
          <w:p>
            <w:pPr>
              <w:adjustRightInd w:val="0"/>
              <w:snapToGrid w:val="0"/>
              <w:jc w:val="center"/>
              <w:rPr>
                <w:color w:val="auto"/>
                <w:kern w:val="21"/>
                <w:sz w:val="24"/>
              </w:rPr>
            </w:pPr>
            <w:r>
              <w:rPr>
                <w:color w:val="auto"/>
                <w:kern w:val="21"/>
                <w:sz w:val="24"/>
              </w:rPr>
              <w:t>声环境</w:t>
            </w:r>
          </w:p>
        </w:tc>
        <w:tc>
          <w:tcPr>
            <w:tcW w:w="859" w:type="pct"/>
            <w:vAlign w:val="center"/>
          </w:tcPr>
          <w:p>
            <w:pPr>
              <w:adjustRightInd w:val="0"/>
              <w:snapToGrid w:val="0"/>
              <w:jc w:val="center"/>
              <w:rPr>
                <w:color w:val="auto"/>
                <w:kern w:val="21"/>
                <w:sz w:val="24"/>
              </w:rPr>
            </w:pPr>
            <w:r>
              <w:rPr>
                <w:color w:val="auto"/>
                <w:kern w:val="21"/>
                <w:sz w:val="24"/>
              </w:rPr>
              <w:t>厂区</w:t>
            </w:r>
          </w:p>
        </w:tc>
        <w:tc>
          <w:tcPr>
            <w:tcW w:w="643" w:type="pct"/>
            <w:vAlign w:val="center"/>
          </w:tcPr>
          <w:p>
            <w:pPr>
              <w:adjustRightInd w:val="0"/>
              <w:snapToGrid w:val="0"/>
              <w:jc w:val="center"/>
              <w:rPr>
                <w:color w:val="auto"/>
                <w:sz w:val="24"/>
              </w:rPr>
            </w:pPr>
            <w:r>
              <w:rPr>
                <w:color w:val="auto"/>
                <w:sz w:val="24"/>
              </w:rPr>
              <w:t>噪声</w:t>
            </w:r>
          </w:p>
        </w:tc>
        <w:tc>
          <w:tcPr>
            <w:tcW w:w="1594" w:type="pct"/>
            <w:vAlign w:val="center"/>
          </w:tcPr>
          <w:p>
            <w:pPr>
              <w:adjustRightInd w:val="0"/>
              <w:snapToGrid w:val="0"/>
              <w:jc w:val="center"/>
              <w:rPr>
                <w:color w:val="auto"/>
                <w:sz w:val="24"/>
              </w:rPr>
            </w:pPr>
            <w:r>
              <w:rPr>
                <w:color w:val="auto"/>
                <w:sz w:val="24"/>
              </w:rPr>
              <w:t>封闭生产车间，高噪声设备采取消声、隔离、减震等措施，合理布局</w:t>
            </w:r>
          </w:p>
        </w:tc>
        <w:tc>
          <w:tcPr>
            <w:tcW w:w="1133" w:type="pct"/>
            <w:vAlign w:val="center"/>
          </w:tcPr>
          <w:p>
            <w:pPr>
              <w:adjustRightInd w:val="0"/>
              <w:snapToGrid w:val="0"/>
              <w:jc w:val="center"/>
              <w:rPr>
                <w:color w:val="auto"/>
                <w:kern w:val="21"/>
                <w:sz w:val="24"/>
              </w:rPr>
            </w:pPr>
            <w:r>
              <w:rPr>
                <w:color w:val="auto"/>
                <w:sz w:val="24"/>
              </w:rPr>
              <w:t>《工业企业厂界环境噪声排放标准》（GB12348-2008）2类标准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9" w:type="pct"/>
            <w:vAlign w:val="center"/>
          </w:tcPr>
          <w:p>
            <w:pPr>
              <w:adjustRightInd w:val="0"/>
              <w:snapToGrid w:val="0"/>
              <w:jc w:val="center"/>
              <w:rPr>
                <w:color w:val="auto"/>
                <w:kern w:val="21"/>
                <w:sz w:val="24"/>
              </w:rPr>
            </w:pPr>
            <w:r>
              <w:rPr>
                <w:color w:val="auto"/>
                <w:kern w:val="21"/>
                <w:sz w:val="24"/>
              </w:rPr>
              <w:t>电磁辐射</w:t>
            </w:r>
          </w:p>
        </w:tc>
        <w:tc>
          <w:tcPr>
            <w:tcW w:w="859" w:type="pct"/>
            <w:vAlign w:val="center"/>
          </w:tcPr>
          <w:p>
            <w:pPr>
              <w:adjustRightInd w:val="0"/>
              <w:snapToGrid w:val="0"/>
              <w:jc w:val="center"/>
              <w:rPr>
                <w:color w:val="auto"/>
                <w:kern w:val="21"/>
                <w:sz w:val="24"/>
              </w:rPr>
            </w:pPr>
            <w:r>
              <w:rPr>
                <w:color w:val="auto"/>
                <w:kern w:val="21"/>
                <w:sz w:val="24"/>
              </w:rPr>
              <w:t>/</w:t>
            </w:r>
          </w:p>
        </w:tc>
        <w:tc>
          <w:tcPr>
            <w:tcW w:w="643" w:type="pct"/>
            <w:vAlign w:val="center"/>
          </w:tcPr>
          <w:p>
            <w:pPr>
              <w:adjustRightInd w:val="0"/>
              <w:snapToGrid w:val="0"/>
              <w:jc w:val="center"/>
              <w:rPr>
                <w:color w:val="auto"/>
                <w:kern w:val="21"/>
                <w:sz w:val="24"/>
              </w:rPr>
            </w:pPr>
            <w:r>
              <w:rPr>
                <w:color w:val="auto"/>
                <w:kern w:val="21"/>
                <w:sz w:val="24"/>
              </w:rPr>
              <w:t>/</w:t>
            </w:r>
          </w:p>
        </w:tc>
        <w:tc>
          <w:tcPr>
            <w:tcW w:w="1594" w:type="pct"/>
            <w:vAlign w:val="center"/>
          </w:tcPr>
          <w:p>
            <w:pPr>
              <w:adjustRightInd w:val="0"/>
              <w:snapToGrid w:val="0"/>
              <w:jc w:val="center"/>
              <w:rPr>
                <w:color w:val="auto"/>
                <w:kern w:val="21"/>
                <w:sz w:val="24"/>
              </w:rPr>
            </w:pPr>
            <w:r>
              <w:rPr>
                <w:color w:val="auto"/>
                <w:kern w:val="21"/>
                <w:sz w:val="24"/>
              </w:rPr>
              <w:t>/</w:t>
            </w:r>
          </w:p>
        </w:tc>
        <w:tc>
          <w:tcPr>
            <w:tcW w:w="1133" w:type="pct"/>
            <w:vAlign w:val="center"/>
          </w:tcPr>
          <w:p>
            <w:pPr>
              <w:adjustRightInd w:val="0"/>
              <w:snapToGrid w:val="0"/>
              <w:jc w:val="center"/>
              <w:rPr>
                <w:color w:val="auto"/>
                <w:kern w:val="21"/>
                <w:sz w:val="24"/>
              </w:rPr>
            </w:pPr>
            <w:r>
              <w:rPr>
                <w:color w:val="auto"/>
                <w:kern w:val="21"/>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9" w:type="pct"/>
            <w:vAlign w:val="center"/>
          </w:tcPr>
          <w:p>
            <w:pPr>
              <w:adjustRightInd w:val="0"/>
              <w:snapToGrid w:val="0"/>
              <w:jc w:val="center"/>
              <w:rPr>
                <w:color w:val="auto"/>
                <w:kern w:val="21"/>
                <w:sz w:val="24"/>
              </w:rPr>
            </w:pPr>
            <w:r>
              <w:rPr>
                <w:color w:val="auto"/>
                <w:kern w:val="21"/>
                <w:sz w:val="24"/>
              </w:rPr>
              <w:t>固体废物</w:t>
            </w:r>
          </w:p>
        </w:tc>
        <w:tc>
          <w:tcPr>
            <w:tcW w:w="4230" w:type="pct"/>
            <w:gridSpan w:val="4"/>
            <w:vAlign w:val="center"/>
          </w:tcPr>
          <w:p>
            <w:pPr>
              <w:adjustRightInd w:val="0"/>
              <w:snapToGrid w:val="0"/>
              <w:ind w:firstLine="480" w:firstLineChars="200"/>
              <w:rPr>
                <w:color w:val="auto"/>
                <w:kern w:val="21"/>
                <w:sz w:val="24"/>
              </w:rPr>
            </w:pPr>
            <w:r>
              <w:rPr>
                <w:color w:val="auto"/>
                <w:kern w:val="21"/>
                <w:sz w:val="24"/>
              </w:rPr>
              <w:t>生活垃圾：垃圾桶收集，环卫部门统一收集处理：沉淀池底泥：定期清掏回用于生产：除尘器下灰：回用于生产：化粪池污泥：定期清掏周边农田施肥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769" w:type="pct"/>
            <w:vAlign w:val="center"/>
          </w:tcPr>
          <w:p>
            <w:pPr>
              <w:adjustRightInd w:val="0"/>
              <w:snapToGrid w:val="0"/>
              <w:jc w:val="center"/>
              <w:rPr>
                <w:color w:val="auto"/>
                <w:kern w:val="21"/>
                <w:sz w:val="24"/>
              </w:rPr>
            </w:pPr>
            <w:r>
              <w:rPr>
                <w:color w:val="auto"/>
                <w:kern w:val="21"/>
                <w:sz w:val="24"/>
              </w:rPr>
              <w:t>土壤及地下水污染防治措施</w:t>
            </w:r>
          </w:p>
        </w:tc>
        <w:tc>
          <w:tcPr>
            <w:tcW w:w="4230" w:type="pct"/>
            <w:gridSpan w:val="4"/>
            <w:vAlign w:val="center"/>
          </w:tcPr>
          <w:p>
            <w:pPr>
              <w:pStyle w:val="40"/>
              <w:widowControl/>
              <w:adjustRightInd w:val="0"/>
              <w:snapToGrid w:val="0"/>
              <w:spacing w:after="0"/>
              <w:ind w:left="0" w:leftChars="0" w:firstLine="480"/>
              <w:rPr>
                <w:color w:val="auto"/>
                <w:kern w:val="21"/>
                <w:sz w:val="24"/>
              </w:rPr>
            </w:pPr>
            <w:r>
              <w:rPr>
                <w:color w:val="auto"/>
                <w:sz w:val="24"/>
              </w:rPr>
              <w:t>分区防渗，一般防渗区：防渗混凝土处理，保证防水层渗透系数≤10</w:t>
            </w:r>
            <w:r>
              <w:rPr>
                <w:color w:val="auto"/>
                <w:sz w:val="24"/>
                <w:vertAlign w:val="superscript"/>
              </w:rPr>
              <w:t>-7</w:t>
            </w:r>
            <w:r>
              <w:rPr>
                <w:color w:val="auto"/>
                <w:sz w:val="24"/>
              </w:rPr>
              <w:t>cm/s。简单防渗区：一般地面硬化。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9" w:type="pct"/>
            <w:vAlign w:val="center"/>
          </w:tcPr>
          <w:p>
            <w:pPr>
              <w:adjustRightInd w:val="0"/>
              <w:snapToGrid w:val="0"/>
              <w:jc w:val="center"/>
              <w:rPr>
                <w:color w:val="auto"/>
                <w:kern w:val="21"/>
                <w:sz w:val="24"/>
              </w:rPr>
            </w:pPr>
            <w:r>
              <w:rPr>
                <w:color w:val="auto"/>
                <w:kern w:val="21"/>
                <w:sz w:val="24"/>
              </w:rPr>
              <w:t>生态保护措施</w:t>
            </w:r>
          </w:p>
        </w:tc>
        <w:tc>
          <w:tcPr>
            <w:tcW w:w="4230" w:type="pct"/>
            <w:gridSpan w:val="4"/>
            <w:vAlign w:val="center"/>
          </w:tcPr>
          <w:p>
            <w:pPr>
              <w:adjustRightInd w:val="0"/>
              <w:snapToGrid w:val="0"/>
              <w:ind w:firstLine="480" w:firstLineChars="200"/>
              <w:rPr>
                <w:color w:val="auto"/>
                <w:kern w:val="21"/>
                <w:sz w:val="24"/>
              </w:rPr>
            </w:pPr>
            <w:r>
              <w:rPr>
                <w:color w:val="auto"/>
                <w:sz w:val="24"/>
              </w:rPr>
              <w:t>通过工程分析提出的治理措施可知，项目营运过程中产生的废水、废气、噪声和固体废物均能做到妥善处理，项目无新增占地，无生态敏感保护目标。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9" w:type="pct"/>
            <w:vAlign w:val="center"/>
          </w:tcPr>
          <w:p>
            <w:pPr>
              <w:adjustRightInd w:val="0"/>
              <w:snapToGrid w:val="0"/>
              <w:jc w:val="center"/>
              <w:rPr>
                <w:color w:val="auto"/>
                <w:kern w:val="21"/>
                <w:sz w:val="24"/>
              </w:rPr>
            </w:pPr>
            <w:r>
              <w:rPr>
                <w:color w:val="auto"/>
                <w:kern w:val="21"/>
                <w:sz w:val="24"/>
              </w:rPr>
              <w:t>环境风险</w:t>
            </w:r>
          </w:p>
          <w:p>
            <w:pPr>
              <w:adjustRightInd w:val="0"/>
              <w:snapToGrid w:val="0"/>
              <w:jc w:val="center"/>
              <w:rPr>
                <w:color w:val="auto"/>
                <w:kern w:val="21"/>
                <w:sz w:val="24"/>
              </w:rPr>
            </w:pPr>
            <w:r>
              <w:rPr>
                <w:color w:val="auto"/>
                <w:kern w:val="21"/>
                <w:sz w:val="24"/>
              </w:rPr>
              <w:t>防范措施</w:t>
            </w:r>
          </w:p>
        </w:tc>
        <w:tc>
          <w:tcPr>
            <w:tcW w:w="4230" w:type="pct"/>
            <w:gridSpan w:val="4"/>
            <w:vAlign w:val="center"/>
          </w:tcPr>
          <w:p>
            <w:pPr>
              <w:widowControl/>
              <w:autoSpaceDE w:val="0"/>
              <w:autoSpaceDN w:val="0"/>
              <w:adjustRightInd w:val="0"/>
              <w:snapToGrid w:val="0"/>
              <w:ind w:firstLine="480" w:firstLineChars="200"/>
              <w:rPr>
                <w:color w:val="auto"/>
                <w:kern w:val="21"/>
                <w:sz w:val="24"/>
              </w:rPr>
            </w:pPr>
            <w:r>
              <w:rPr>
                <w:color w:val="auto"/>
                <w:sz w:val="24"/>
              </w:rPr>
              <w:t>设立专门的环境管理机构，制定日常管理措施、消防措施和应急预案。对工作人员进行火灾事态时的报警培训，已成立环境风险事故应急救援领导小组和应急救援专业队伍；加强厂区消防设施的日常管理，确保事故时消防设施能够正常使用，针对厂房等可能出现的火灾事故按相关规定进行消防演练；消防器材设置在明显和便于取用的地点，由专人管理，负责检查、维修、保养、更换和添置，保证完好有效，严禁圈占、埋压和挪用</w:t>
            </w:r>
            <w:r>
              <w:rPr>
                <w:color w:val="auto"/>
                <w:kern w:val="0"/>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9" w:type="pct"/>
            <w:vAlign w:val="center"/>
          </w:tcPr>
          <w:p>
            <w:pPr>
              <w:adjustRightInd w:val="0"/>
              <w:snapToGrid w:val="0"/>
              <w:jc w:val="center"/>
              <w:rPr>
                <w:color w:val="auto"/>
                <w:kern w:val="21"/>
                <w:sz w:val="24"/>
              </w:rPr>
            </w:pPr>
            <w:r>
              <w:rPr>
                <w:color w:val="auto"/>
                <w:kern w:val="21"/>
                <w:sz w:val="24"/>
              </w:rPr>
              <w:t>其他环境</w:t>
            </w:r>
          </w:p>
          <w:p>
            <w:pPr>
              <w:adjustRightInd w:val="0"/>
              <w:snapToGrid w:val="0"/>
              <w:jc w:val="center"/>
              <w:rPr>
                <w:color w:val="auto"/>
                <w:kern w:val="21"/>
                <w:sz w:val="24"/>
              </w:rPr>
            </w:pPr>
            <w:r>
              <w:rPr>
                <w:color w:val="auto"/>
                <w:kern w:val="21"/>
                <w:sz w:val="24"/>
              </w:rPr>
              <w:t>管理要求</w:t>
            </w:r>
          </w:p>
        </w:tc>
        <w:tc>
          <w:tcPr>
            <w:tcW w:w="4230" w:type="pct"/>
            <w:gridSpan w:val="4"/>
            <w:vAlign w:val="center"/>
          </w:tcPr>
          <w:p>
            <w:pPr>
              <w:adjustRightInd w:val="0"/>
              <w:snapToGrid w:val="0"/>
              <w:spacing w:line="360" w:lineRule="auto"/>
              <w:ind w:firstLine="482" w:firstLineChars="200"/>
              <w:jc w:val="left"/>
              <w:rPr>
                <w:b/>
                <w:bCs/>
                <w:color w:val="auto"/>
                <w:sz w:val="24"/>
              </w:rPr>
            </w:pPr>
            <w:r>
              <w:rPr>
                <w:b/>
                <w:bCs/>
                <w:color w:val="auto"/>
                <w:sz w:val="24"/>
              </w:rPr>
              <w:t>1、环境管理和监测计划简要分析</w:t>
            </w:r>
          </w:p>
          <w:p>
            <w:pPr>
              <w:adjustRightInd w:val="0"/>
              <w:snapToGrid w:val="0"/>
              <w:spacing w:line="360" w:lineRule="auto"/>
              <w:ind w:firstLine="480" w:firstLineChars="200"/>
              <w:jc w:val="left"/>
              <w:rPr>
                <w:color w:val="auto"/>
                <w:sz w:val="24"/>
              </w:rPr>
            </w:pPr>
            <w:r>
              <w:rPr>
                <w:color w:val="auto"/>
                <w:sz w:val="24"/>
              </w:rPr>
              <w:t>（1）环境管理</w:t>
            </w:r>
          </w:p>
          <w:p>
            <w:pPr>
              <w:adjustRightInd w:val="0"/>
              <w:snapToGrid w:val="0"/>
              <w:spacing w:line="360" w:lineRule="auto"/>
              <w:ind w:firstLine="480" w:firstLineChars="200"/>
              <w:jc w:val="left"/>
              <w:rPr>
                <w:color w:val="auto"/>
                <w:sz w:val="24"/>
              </w:rPr>
            </w:pPr>
            <w:r>
              <w:rPr>
                <w:color w:val="auto"/>
                <w:sz w:val="24"/>
              </w:rPr>
              <w:t>环境管理是按照国家、省和市有关环境保护法规，进行环境管理，接受地方主管环保部门的监督，制定环保规划和目标，促使工程向“清洁生产”的方向不断发展。根据《国务院关于环境保护工作的决定》中有关建立和健全环保机构的精神，建议项目建成投产后，建立二级环境管理体系。各级领导对环境污染负有管、防、治的责任。</w:t>
            </w:r>
          </w:p>
          <w:p>
            <w:pPr>
              <w:adjustRightInd w:val="0"/>
              <w:snapToGrid w:val="0"/>
              <w:spacing w:line="360" w:lineRule="auto"/>
              <w:ind w:firstLine="480" w:firstLineChars="200"/>
              <w:jc w:val="left"/>
              <w:rPr>
                <w:color w:val="auto"/>
                <w:sz w:val="24"/>
              </w:rPr>
            </w:pPr>
            <w:r>
              <w:rPr>
                <w:color w:val="auto"/>
                <w:sz w:val="24"/>
              </w:rPr>
              <w:t>环境管理主要职责：</w:t>
            </w:r>
          </w:p>
          <w:p>
            <w:pPr>
              <w:adjustRightInd w:val="0"/>
              <w:snapToGrid w:val="0"/>
              <w:spacing w:line="360" w:lineRule="auto"/>
              <w:ind w:firstLine="480" w:firstLineChars="200"/>
              <w:jc w:val="left"/>
              <w:rPr>
                <w:color w:val="auto"/>
                <w:sz w:val="24"/>
              </w:rPr>
            </w:pPr>
            <w:r>
              <w:rPr>
                <w:color w:val="auto"/>
                <w:sz w:val="24"/>
              </w:rPr>
              <w:t>①认真贯彻国家和地方有关环保方针、政策、法规。</w:t>
            </w:r>
          </w:p>
          <w:p>
            <w:pPr>
              <w:adjustRightInd w:val="0"/>
              <w:snapToGrid w:val="0"/>
              <w:spacing w:line="360" w:lineRule="auto"/>
              <w:ind w:firstLine="480" w:firstLineChars="200"/>
              <w:jc w:val="left"/>
              <w:rPr>
                <w:color w:val="auto"/>
                <w:sz w:val="24"/>
              </w:rPr>
            </w:pPr>
            <w:r>
              <w:rPr>
                <w:color w:val="auto"/>
                <w:sz w:val="24"/>
              </w:rPr>
              <w:t>②通过环境管理制度的考核，提高全体员工的环保意识。</w:t>
            </w:r>
          </w:p>
          <w:p>
            <w:pPr>
              <w:adjustRightInd w:val="0"/>
              <w:snapToGrid w:val="0"/>
              <w:spacing w:line="360" w:lineRule="auto"/>
              <w:ind w:firstLine="480" w:firstLineChars="200"/>
              <w:jc w:val="left"/>
              <w:rPr>
                <w:color w:val="auto"/>
                <w:sz w:val="24"/>
              </w:rPr>
            </w:pPr>
            <w:r>
              <w:rPr>
                <w:color w:val="auto"/>
                <w:sz w:val="24"/>
              </w:rPr>
              <w:t>③建立、健全一套符合本项目实际情况的环境保护管理制度，使环保工作有章可循，并形成制度化管理。</w:t>
            </w:r>
          </w:p>
          <w:p>
            <w:pPr>
              <w:adjustRightInd w:val="0"/>
              <w:snapToGrid w:val="0"/>
              <w:spacing w:line="360" w:lineRule="auto"/>
              <w:ind w:firstLine="480" w:firstLineChars="200"/>
              <w:jc w:val="left"/>
              <w:rPr>
                <w:color w:val="auto"/>
                <w:sz w:val="24"/>
              </w:rPr>
            </w:pPr>
            <w:r>
              <w:rPr>
                <w:color w:val="auto"/>
                <w:sz w:val="24"/>
              </w:rPr>
              <w:t>④制定环境管理控制目标及实施办法，搞好全厂污染物总量控制。</w:t>
            </w:r>
          </w:p>
          <w:p>
            <w:pPr>
              <w:adjustRightInd w:val="0"/>
              <w:snapToGrid w:val="0"/>
              <w:spacing w:line="360" w:lineRule="auto"/>
              <w:ind w:firstLine="480" w:firstLineChars="200"/>
              <w:jc w:val="left"/>
              <w:rPr>
                <w:color w:val="auto"/>
                <w:sz w:val="24"/>
              </w:rPr>
            </w:pPr>
            <w:r>
              <w:rPr>
                <w:color w:val="auto"/>
                <w:sz w:val="24"/>
              </w:rPr>
              <w:t>⑤参与各项环保设施施工质量的检查和竣工验收；督查环保设施的运行和维护。</w:t>
            </w:r>
          </w:p>
          <w:p>
            <w:pPr>
              <w:adjustRightInd w:val="0"/>
              <w:snapToGrid w:val="0"/>
              <w:spacing w:line="360" w:lineRule="auto"/>
              <w:ind w:firstLine="480" w:firstLineChars="200"/>
              <w:jc w:val="left"/>
              <w:rPr>
                <w:color w:val="auto"/>
                <w:sz w:val="24"/>
              </w:rPr>
            </w:pPr>
            <w:r>
              <w:rPr>
                <w:color w:val="auto"/>
                <w:sz w:val="24"/>
              </w:rPr>
              <w:t>⑥建立健全企业环保统计等技术档案。</w:t>
            </w:r>
          </w:p>
          <w:p>
            <w:pPr>
              <w:adjustRightInd w:val="0"/>
              <w:snapToGrid w:val="0"/>
              <w:spacing w:line="360" w:lineRule="auto"/>
              <w:ind w:firstLine="480" w:firstLineChars="200"/>
              <w:rPr>
                <w:color w:val="auto"/>
                <w:sz w:val="24"/>
              </w:rPr>
            </w:pPr>
            <w:r>
              <w:rPr>
                <w:color w:val="auto"/>
                <w:sz w:val="24"/>
              </w:rPr>
              <w:t>（2）环保机构设置</w:t>
            </w:r>
          </w:p>
          <w:p>
            <w:pPr>
              <w:adjustRightInd w:val="0"/>
              <w:snapToGrid w:val="0"/>
              <w:spacing w:line="360" w:lineRule="auto"/>
              <w:ind w:firstLine="480" w:firstLineChars="200"/>
              <w:rPr>
                <w:color w:val="auto"/>
                <w:sz w:val="24"/>
              </w:rPr>
            </w:pPr>
            <w:r>
              <w:rPr>
                <w:color w:val="auto"/>
                <w:sz w:val="24"/>
              </w:rPr>
              <w:t>设立环境保护小组：由建设单位派1名员工负责全厂区的环保管理，制定年度环保措施计划，制定厂区环保有关条例、规章等；派1名具有一定环境方面知识的人员负责厂区内环保计划的实施，进行现场监督，保证厂区内生活垃圾等及时得到清运，保证厂区机械设备正常运转、厂界噪声达标等，并协助当地生态环境主管部门定期进行环境监测。</w:t>
            </w:r>
          </w:p>
          <w:p>
            <w:pPr>
              <w:adjustRightInd w:val="0"/>
              <w:snapToGrid w:val="0"/>
              <w:spacing w:line="360" w:lineRule="auto"/>
              <w:ind w:firstLine="480" w:firstLineChars="200"/>
              <w:rPr>
                <w:color w:val="auto"/>
                <w:sz w:val="24"/>
              </w:rPr>
            </w:pPr>
            <w:r>
              <w:rPr>
                <w:color w:val="auto"/>
                <w:sz w:val="24"/>
              </w:rPr>
              <w:t>企业采取的环境管理具体措施：</w:t>
            </w:r>
          </w:p>
          <w:p>
            <w:pPr>
              <w:adjustRightInd w:val="0"/>
              <w:snapToGrid w:val="0"/>
              <w:spacing w:line="360" w:lineRule="auto"/>
              <w:ind w:firstLine="480" w:firstLineChars="200"/>
              <w:rPr>
                <w:color w:val="auto"/>
                <w:sz w:val="24"/>
              </w:rPr>
            </w:pPr>
            <w:r>
              <w:rPr>
                <w:color w:val="auto"/>
                <w:sz w:val="24"/>
              </w:rPr>
              <w:t>①安排专人定期对厂区生产生活和环保设施进行巡查，如环保设施是否正常工作等，一旦发现问题，及时进行抢修；</w:t>
            </w:r>
          </w:p>
          <w:p>
            <w:pPr>
              <w:adjustRightInd w:val="0"/>
              <w:snapToGrid w:val="0"/>
              <w:spacing w:line="360" w:lineRule="auto"/>
              <w:ind w:firstLine="480" w:firstLineChars="200"/>
              <w:rPr>
                <w:color w:val="auto"/>
                <w:sz w:val="24"/>
              </w:rPr>
            </w:pPr>
            <w:r>
              <w:rPr>
                <w:color w:val="auto"/>
                <w:sz w:val="24"/>
              </w:rPr>
              <w:t>②加强对员工的环保、管理培训，使其认识到环保和安全生产的重要性；</w:t>
            </w:r>
          </w:p>
          <w:p>
            <w:pPr>
              <w:adjustRightInd w:val="0"/>
              <w:snapToGrid w:val="0"/>
              <w:spacing w:line="360" w:lineRule="auto"/>
              <w:ind w:firstLine="480" w:firstLineChars="200"/>
              <w:rPr>
                <w:color w:val="auto"/>
                <w:sz w:val="24"/>
              </w:rPr>
            </w:pPr>
            <w:r>
              <w:rPr>
                <w:color w:val="auto"/>
                <w:sz w:val="24"/>
              </w:rPr>
              <w:t>③加强对厂区的现场管理。</w:t>
            </w:r>
          </w:p>
          <w:p>
            <w:pPr>
              <w:adjustRightInd w:val="0"/>
              <w:snapToGrid w:val="0"/>
              <w:spacing w:line="360" w:lineRule="auto"/>
              <w:ind w:firstLine="482" w:firstLineChars="200"/>
              <w:rPr>
                <w:b/>
                <w:bCs/>
                <w:color w:val="auto"/>
                <w:sz w:val="24"/>
              </w:rPr>
            </w:pPr>
            <w:r>
              <w:rPr>
                <w:b/>
                <w:bCs/>
                <w:color w:val="auto"/>
                <w:sz w:val="24"/>
              </w:rPr>
              <w:t>2、项目竣工环保验收“三同时”</w:t>
            </w:r>
          </w:p>
          <w:p>
            <w:pPr>
              <w:tabs>
                <w:tab w:val="left" w:pos="4140"/>
              </w:tabs>
              <w:adjustRightInd w:val="0"/>
              <w:snapToGrid w:val="0"/>
              <w:spacing w:line="360" w:lineRule="auto"/>
              <w:ind w:firstLine="480" w:firstLineChars="200"/>
              <w:rPr>
                <w:color w:val="auto"/>
                <w:sz w:val="24"/>
              </w:rPr>
            </w:pPr>
            <w:r>
              <w:rPr>
                <w:color w:val="auto"/>
                <w:sz w:val="24"/>
              </w:rPr>
              <w:t>根据建设项目环境管理办法，环保设施必须与主体工程同时设计、同时施工、同时投入使用。在工程完成后，应对环境保护设施进行验收。</w:t>
            </w:r>
          </w:p>
          <w:p>
            <w:pPr>
              <w:adjustRightInd w:val="0"/>
              <w:snapToGrid w:val="0"/>
              <w:spacing w:line="360" w:lineRule="auto"/>
              <w:ind w:firstLine="480" w:firstLineChars="200"/>
              <w:rPr>
                <w:color w:val="auto"/>
                <w:kern w:val="21"/>
                <w:sz w:val="24"/>
              </w:rPr>
            </w:pPr>
          </w:p>
        </w:tc>
      </w:tr>
    </w:tbl>
    <w:p>
      <w:pPr>
        <w:rPr>
          <w:color w:val="auto"/>
        </w:rPr>
      </w:pPr>
      <w:r>
        <w:rPr>
          <w:color w:val="auto"/>
        </w:rPr>
        <w:br w:type="page"/>
      </w:r>
    </w:p>
    <w:p>
      <w:pPr>
        <w:pStyle w:val="37"/>
        <w:spacing w:before="0" w:beforeAutospacing="0" w:after="0" w:afterAutospacing="0"/>
        <w:jc w:val="center"/>
        <w:outlineLvl w:val="0"/>
        <w:rPr>
          <w:rFonts w:ascii="Times New Roman" w:hAnsi="Times New Roman"/>
          <w:b/>
          <w:bCs/>
          <w:color w:val="auto"/>
        </w:rPr>
      </w:pPr>
      <w:r>
        <w:rPr>
          <w:rFonts w:ascii="Times New Roman" w:hAnsi="Times New Roman"/>
          <w:b/>
          <w:bCs/>
          <w:snapToGrid w:val="0"/>
          <w:color w:val="auto"/>
          <w:sz w:val="30"/>
          <w:szCs w:val="30"/>
        </w:rPr>
        <w:t>六、结论</w:t>
      </w:r>
    </w:p>
    <w:tbl>
      <w:tblPr>
        <w:tblStyle w:val="4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5000" w:type="pct"/>
          </w:tcPr>
          <w:p>
            <w:pPr>
              <w:adjustRightInd w:val="0"/>
              <w:snapToGrid w:val="0"/>
              <w:spacing w:line="360" w:lineRule="auto"/>
              <w:ind w:firstLine="480" w:firstLineChars="200"/>
              <w:rPr>
                <w:color w:val="auto"/>
                <w:sz w:val="24"/>
              </w:rPr>
            </w:pPr>
            <w:r>
              <w:rPr>
                <w:color w:val="auto"/>
                <w:sz w:val="24"/>
              </w:rPr>
              <w:t>综上所述，评价认为：项目符合国家产业政策，选址合理，符合当地发展规划，总平面布置基本合理。工程采取的污染防治措施和本评价要求的对策经济技术可行，在环保设施连续稳定运行，确保污染物稳定达标排放的基础上，项目运行不会改变项目区域现有的环境区域功能，工程的建设符合“达标排放、总量控制”的原则。因此，本评价认为，只要认真落实本报告表中提出的各项污染防治对策措施及环境风险防范措施，保证环境保护设施的有效运行，确保污染物稳定达标排放，从环保角度而言，本项目的建设是可行的。</w:t>
            </w:r>
          </w:p>
        </w:tc>
      </w:tr>
    </w:tbl>
    <w:p>
      <w:pPr>
        <w:pStyle w:val="40"/>
        <w:rPr>
          <w:color w:val="auto"/>
        </w:rPr>
        <w:sectPr>
          <w:pgSz w:w="11906" w:h="16838"/>
          <w:pgMar w:top="1440" w:right="1080" w:bottom="1440" w:left="1080" w:header="851" w:footer="992" w:gutter="0"/>
          <w:cols w:space="425" w:num="1"/>
          <w:docGrid w:type="lines" w:linePitch="312" w:charSpace="0"/>
        </w:sectPr>
      </w:pPr>
    </w:p>
    <w:p>
      <w:pPr>
        <w:widowControl/>
        <w:adjustRightInd w:val="0"/>
        <w:snapToGrid w:val="0"/>
        <w:spacing w:line="648" w:lineRule="auto"/>
        <w:jc w:val="left"/>
        <w:outlineLvl w:val="0"/>
        <w:rPr>
          <w:b/>
          <w:bCs/>
          <w:snapToGrid w:val="0"/>
          <w:color w:val="auto"/>
          <w:kern w:val="0"/>
          <w:sz w:val="32"/>
          <w:szCs w:val="32"/>
        </w:rPr>
      </w:pPr>
      <w:r>
        <w:rPr>
          <w:b/>
          <w:bCs/>
          <w:snapToGrid w:val="0"/>
          <w:color w:val="auto"/>
          <w:kern w:val="0"/>
          <w:sz w:val="32"/>
          <w:szCs w:val="32"/>
        </w:rPr>
        <w:t>附表</w:t>
      </w:r>
    </w:p>
    <w:p>
      <w:pPr>
        <w:widowControl/>
        <w:adjustRightInd w:val="0"/>
        <w:snapToGrid w:val="0"/>
        <w:spacing w:line="360" w:lineRule="auto"/>
        <w:jc w:val="center"/>
        <w:outlineLvl w:val="0"/>
        <w:rPr>
          <w:snapToGrid w:val="0"/>
          <w:color w:val="auto"/>
          <w:kern w:val="0"/>
          <w:sz w:val="38"/>
          <w:szCs w:val="38"/>
        </w:rPr>
      </w:pPr>
      <w:r>
        <w:rPr>
          <w:b/>
          <w:bCs/>
          <w:snapToGrid w:val="0"/>
          <w:color w:val="auto"/>
          <w:kern w:val="0"/>
          <w:sz w:val="38"/>
          <w:szCs w:val="38"/>
        </w:rPr>
        <w:t>建设项目污染物排放量汇总表</w:t>
      </w:r>
    </w:p>
    <w:tbl>
      <w:tblPr>
        <w:tblStyle w:val="41"/>
        <w:tblW w:w="4997"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551"/>
        <w:gridCol w:w="1503"/>
        <w:gridCol w:w="1727"/>
        <w:gridCol w:w="1295"/>
        <w:gridCol w:w="1727"/>
        <w:gridCol w:w="1584"/>
        <w:gridCol w:w="1789"/>
        <w:gridCol w:w="1839"/>
        <w:gridCol w:w="99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4" w:hRule="atLeast"/>
        </w:trPr>
        <w:tc>
          <w:tcPr>
            <w:tcW w:w="553" w:type="pct"/>
            <w:tcBorders>
              <w:tl2br w:val="single" w:color="auto" w:sz="4" w:space="0"/>
            </w:tcBorders>
            <w:tcMar>
              <w:left w:w="28" w:type="dxa"/>
              <w:right w:w="28" w:type="dxa"/>
            </w:tcMar>
            <w:vAlign w:val="center"/>
          </w:tcPr>
          <w:p>
            <w:pPr>
              <w:adjustRightInd w:val="0"/>
              <w:snapToGrid w:val="0"/>
              <w:ind w:left="398" w:hanging="458" w:hangingChars="200"/>
              <w:jc w:val="right"/>
              <w:rPr>
                <w:b/>
                <w:bCs/>
                <w:snapToGrid w:val="0"/>
                <w:color w:val="auto"/>
                <w:spacing w:val="-6"/>
                <w:kern w:val="21"/>
                <w:szCs w:val="21"/>
              </w:rPr>
            </w:pPr>
            <w:r>
              <w:rPr>
                <w:b/>
                <w:bCs/>
                <w:snapToGrid w:val="0"/>
                <w:color w:val="auto"/>
                <w:spacing w:val="-6"/>
                <w:kern w:val="21"/>
                <w:szCs w:val="21"/>
              </w:rPr>
              <w:t>项目</w:t>
            </w:r>
          </w:p>
          <w:p>
            <w:pPr>
              <w:adjustRightInd w:val="0"/>
              <w:snapToGrid w:val="0"/>
              <w:ind w:left="398" w:hanging="458" w:hangingChars="200"/>
              <w:jc w:val="left"/>
              <w:rPr>
                <w:b/>
                <w:bCs/>
                <w:snapToGrid w:val="0"/>
                <w:color w:val="auto"/>
                <w:spacing w:val="-6"/>
                <w:kern w:val="21"/>
                <w:szCs w:val="21"/>
              </w:rPr>
            </w:pPr>
            <w:r>
              <w:rPr>
                <w:b/>
                <w:bCs/>
                <w:snapToGrid w:val="0"/>
                <w:color w:val="auto"/>
                <w:spacing w:val="-6"/>
                <w:kern w:val="21"/>
                <w:szCs w:val="21"/>
              </w:rPr>
              <w:t>分类</w:t>
            </w:r>
          </w:p>
        </w:tc>
        <w:tc>
          <w:tcPr>
            <w:tcW w:w="536" w:type="pct"/>
            <w:tcMar>
              <w:left w:w="28" w:type="dxa"/>
              <w:right w:w="28" w:type="dxa"/>
            </w:tcMar>
            <w:vAlign w:val="center"/>
          </w:tcPr>
          <w:p>
            <w:pPr>
              <w:adjustRightInd w:val="0"/>
              <w:snapToGrid w:val="0"/>
              <w:ind w:left="398" w:hanging="458" w:hangingChars="200"/>
              <w:jc w:val="center"/>
              <w:rPr>
                <w:b/>
                <w:bCs/>
                <w:snapToGrid w:val="0"/>
                <w:color w:val="auto"/>
                <w:spacing w:val="-6"/>
                <w:kern w:val="21"/>
                <w:szCs w:val="21"/>
              </w:rPr>
            </w:pPr>
            <w:r>
              <w:rPr>
                <w:b/>
                <w:bCs/>
                <w:snapToGrid w:val="0"/>
                <w:color w:val="auto"/>
                <w:spacing w:val="-6"/>
                <w:kern w:val="21"/>
                <w:szCs w:val="21"/>
              </w:rPr>
              <w:t>污染物名称</w:t>
            </w:r>
          </w:p>
        </w:tc>
        <w:tc>
          <w:tcPr>
            <w:tcW w:w="616" w:type="pct"/>
            <w:tcMar>
              <w:left w:w="28" w:type="dxa"/>
              <w:right w:w="28" w:type="dxa"/>
            </w:tcMar>
            <w:vAlign w:val="center"/>
          </w:tcPr>
          <w:p>
            <w:pPr>
              <w:adjustRightInd w:val="0"/>
              <w:snapToGrid w:val="0"/>
              <w:ind w:left="398" w:hanging="458" w:hangingChars="200"/>
              <w:jc w:val="center"/>
              <w:rPr>
                <w:b/>
                <w:bCs/>
                <w:snapToGrid w:val="0"/>
                <w:color w:val="auto"/>
                <w:spacing w:val="-6"/>
                <w:kern w:val="21"/>
                <w:szCs w:val="21"/>
              </w:rPr>
            </w:pPr>
            <w:r>
              <w:rPr>
                <w:b/>
                <w:bCs/>
                <w:snapToGrid w:val="0"/>
                <w:color w:val="auto"/>
                <w:spacing w:val="-6"/>
                <w:kern w:val="21"/>
                <w:szCs w:val="21"/>
              </w:rPr>
              <w:t>现有工程</w:t>
            </w:r>
          </w:p>
          <w:p>
            <w:pPr>
              <w:adjustRightInd w:val="0"/>
              <w:snapToGrid w:val="0"/>
              <w:ind w:left="398" w:hanging="458" w:hangingChars="200"/>
              <w:jc w:val="center"/>
              <w:rPr>
                <w:b/>
                <w:bCs/>
                <w:snapToGrid w:val="0"/>
                <w:color w:val="auto"/>
                <w:spacing w:val="-6"/>
                <w:kern w:val="21"/>
                <w:szCs w:val="21"/>
              </w:rPr>
            </w:pPr>
            <w:r>
              <w:rPr>
                <w:b/>
                <w:bCs/>
                <w:snapToGrid w:val="0"/>
                <w:color w:val="auto"/>
                <w:spacing w:val="-6"/>
                <w:kern w:val="21"/>
                <w:szCs w:val="21"/>
              </w:rPr>
              <w:t>排放量（固体废物产生量）（t/a）</w:t>
            </w:r>
            <w:r>
              <w:rPr>
                <w:b/>
                <w:bCs/>
                <w:snapToGrid w:val="0"/>
                <w:color w:val="auto"/>
                <w:spacing w:val="-6"/>
                <w:kern w:val="21"/>
                <w:szCs w:val="21"/>
              </w:rPr>
              <w:fldChar w:fldCharType="begin"/>
            </w:r>
            <w:r>
              <w:rPr>
                <w:b/>
                <w:bCs/>
                <w:snapToGrid w:val="0"/>
                <w:color w:val="auto"/>
                <w:spacing w:val="-6"/>
                <w:kern w:val="21"/>
                <w:szCs w:val="21"/>
              </w:rPr>
              <w:instrText xml:space="preserve"> = 1 \* GB3 \* MERGEFORMAT </w:instrText>
            </w:r>
            <w:r>
              <w:rPr>
                <w:b/>
                <w:bCs/>
                <w:snapToGrid w:val="0"/>
                <w:color w:val="auto"/>
                <w:spacing w:val="-6"/>
                <w:kern w:val="21"/>
                <w:szCs w:val="21"/>
              </w:rPr>
              <w:fldChar w:fldCharType="separate"/>
            </w:r>
            <w:r>
              <w:rPr>
                <w:b/>
                <w:bCs/>
                <w:color w:val="auto"/>
                <w:szCs w:val="21"/>
              </w:rPr>
              <w:t>①</w:t>
            </w:r>
            <w:r>
              <w:rPr>
                <w:b/>
                <w:bCs/>
                <w:snapToGrid w:val="0"/>
                <w:color w:val="auto"/>
                <w:spacing w:val="-6"/>
                <w:kern w:val="21"/>
                <w:szCs w:val="21"/>
              </w:rPr>
              <w:fldChar w:fldCharType="end"/>
            </w:r>
          </w:p>
        </w:tc>
        <w:tc>
          <w:tcPr>
            <w:tcW w:w="462" w:type="pct"/>
            <w:tcMar>
              <w:left w:w="28" w:type="dxa"/>
              <w:right w:w="28" w:type="dxa"/>
            </w:tcMar>
            <w:vAlign w:val="center"/>
          </w:tcPr>
          <w:p>
            <w:pPr>
              <w:adjustRightInd w:val="0"/>
              <w:snapToGrid w:val="0"/>
              <w:ind w:left="398" w:hanging="458" w:hangingChars="200"/>
              <w:jc w:val="center"/>
              <w:rPr>
                <w:b/>
                <w:bCs/>
                <w:snapToGrid w:val="0"/>
                <w:color w:val="auto"/>
                <w:spacing w:val="-6"/>
                <w:kern w:val="21"/>
                <w:szCs w:val="21"/>
              </w:rPr>
            </w:pPr>
            <w:r>
              <w:rPr>
                <w:b/>
                <w:bCs/>
                <w:snapToGrid w:val="0"/>
                <w:color w:val="auto"/>
                <w:spacing w:val="-6"/>
                <w:kern w:val="21"/>
                <w:szCs w:val="21"/>
              </w:rPr>
              <w:t>现有工程</w:t>
            </w:r>
          </w:p>
          <w:p>
            <w:pPr>
              <w:adjustRightInd w:val="0"/>
              <w:snapToGrid w:val="0"/>
              <w:ind w:left="398" w:hanging="458" w:hangingChars="200"/>
              <w:jc w:val="center"/>
              <w:rPr>
                <w:b/>
                <w:bCs/>
                <w:snapToGrid w:val="0"/>
                <w:color w:val="auto"/>
                <w:spacing w:val="-6"/>
                <w:kern w:val="21"/>
                <w:szCs w:val="21"/>
              </w:rPr>
            </w:pPr>
            <w:r>
              <w:rPr>
                <w:b/>
                <w:bCs/>
                <w:snapToGrid w:val="0"/>
                <w:color w:val="auto"/>
                <w:spacing w:val="-6"/>
                <w:kern w:val="21"/>
                <w:szCs w:val="21"/>
              </w:rPr>
              <w:t>许可排放量</w:t>
            </w:r>
          </w:p>
          <w:p>
            <w:pPr>
              <w:adjustRightInd w:val="0"/>
              <w:snapToGrid w:val="0"/>
              <w:spacing w:line="259" w:lineRule="auto"/>
              <w:ind w:left="398" w:hanging="458" w:hangingChars="200"/>
              <w:jc w:val="center"/>
              <w:rPr>
                <w:b/>
                <w:bCs/>
                <w:snapToGrid w:val="0"/>
                <w:color w:val="auto"/>
                <w:spacing w:val="-6"/>
                <w:kern w:val="21"/>
                <w:szCs w:val="21"/>
              </w:rPr>
            </w:pPr>
            <w:r>
              <w:rPr>
                <w:b/>
                <w:bCs/>
                <w:snapToGrid w:val="0"/>
                <w:color w:val="auto"/>
                <w:spacing w:val="-6"/>
                <w:kern w:val="21"/>
                <w:szCs w:val="21"/>
              </w:rPr>
              <w:t>（t/a）</w:t>
            </w:r>
            <w:r>
              <w:rPr>
                <w:b/>
                <w:bCs/>
                <w:snapToGrid w:val="0"/>
                <w:color w:val="auto"/>
                <w:spacing w:val="-6"/>
                <w:kern w:val="21"/>
                <w:szCs w:val="21"/>
              </w:rPr>
              <w:fldChar w:fldCharType="begin"/>
            </w:r>
            <w:r>
              <w:rPr>
                <w:b/>
                <w:bCs/>
                <w:snapToGrid w:val="0"/>
                <w:color w:val="auto"/>
                <w:spacing w:val="-6"/>
                <w:kern w:val="21"/>
                <w:szCs w:val="21"/>
              </w:rPr>
              <w:instrText xml:space="preserve"> = 2 \* GB3 \* MERGEFORMAT </w:instrText>
            </w:r>
            <w:r>
              <w:rPr>
                <w:b/>
                <w:bCs/>
                <w:snapToGrid w:val="0"/>
                <w:color w:val="auto"/>
                <w:spacing w:val="-6"/>
                <w:kern w:val="21"/>
                <w:szCs w:val="21"/>
              </w:rPr>
              <w:fldChar w:fldCharType="separate"/>
            </w:r>
            <w:r>
              <w:rPr>
                <w:b/>
                <w:bCs/>
                <w:snapToGrid w:val="0"/>
                <w:color w:val="auto"/>
                <w:spacing w:val="-6"/>
                <w:kern w:val="21"/>
                <w:szCs w:val="21"/>
              </w:rPr>
              <w:t>②</w:t>
            </w:r>
            <w:r>
              <w:rPr>
                <w:b/>
                <w:bCs/>
                <w:snapToGrid w:val="0"/>
                <w:color w:val="auto"/>
                <w:spacing w:val="-6"/>
                <w:kern w:val="21"/>
                <w:szCs w:val="21"/>
              </w:rPr>
              <w:fldChar w:fldCharType="end"/>
            </w:r>
          </w:p>
        </w:tc>
        <w:tc>
          <w:tcPr>
            <w:tcW w:w="616" w:type="pct"/>
            <w:tcMar>
              <w:left w:w="28" w:type="dxa"/>
              <w:right w:w="28" w:type="dxa"/>
            </w:tcMar>
            <w:vAlign w:val="center"/>
          </w:tcPr>
          <w:p>
            <w:pPr>
              <w:adjustRightInd w:val="0"/>
              <w:snapToGrid w:val="0"/>
              <w:ind w:left="398" w:hanging="458" w:hangingChars="200"/>
              <w:jc w:val="center"/>
              <w:rPr>
                <w:b/>
                <w:bCs/>
                <w:snapToGrid w:val="0"/>
                <w:color w:val="auto"/>
                <w:spacing w:val="-6"/>
                <w:kern w:val="21"/>
                <w:szCs w:val="21"/>
              </w:rPr>
            </w:pPr>
            <w:r>
              <w:rPr>
                <w:b/>
                <w:bCs/>
                <w:snapToGrid w:val="0"/>
                <w:color w:val="auto"/>
                <w:spacing w:val="-6"/>
                <w:kern w:val="21"/>
                <w:szCs w:val="21"/>
              </w:rPr>
              <w:t>在建工程</w:t>
            </w:r>
          </w:p>
          <w:p>
            <w:pPr>
              <w:adjustRightInd w:val="0"/>
              <w:snapToGrid w:val="0"/>
              <w:ind w:left="398" w:hanging="458" w:hangingChars="200"/>
              <w:jc w:val="center"/>
              <w:rPr>
                <w:b/>
                <w:bCs/>
                <w:snapToGrid w:val="0"/>
                <w:color w:val="auto"/>
                <w:spacing w:val="-6"/>
                <w:kern w:val="21"/>
                <w:szCs w:val="21"/>
              </w:rPr>
            </w:pPr>
            <w:r>
              <w:rPr>
                <w:b/>
                <w:bCs/>
                <w:snapToGrid w:val="0"/>
                <w:color w:val="auto"/>
                <w:spacing w:val="-6"/>
                <w:kern w:val="21"/>
                <w:szCs w:val="21"/>
              </w:rPr>
              <w:t>排放量（固体废物产生量）（t/a）</w:t>
            </w:r>
            <w:r>
              <w:rPr>
                <w:b/>
                <w:bCs/>
                <w:snapToGrid w:val="0"/>
                <w:color w:val="auto"/>
                <w:spacing w:val="-6"/>
                <w:kern w:val="21"/>
                <w:szCs w:val="21"/>
              </w:rPr>
              <w:fldChar w:fldCharType="begin"/>
            </w:r>
            <w:r>
              <w:rPr>
                <w:b/>
                <w:bCs/>
                <w:snapToGrid w:val="0"/>
                <w:color w:val="auto"/>
                <w:spacing w:val="-6"/>
                <w:kern w:val="21"/>
                <w:szCs w:val="21"/>
              </w:rPr>
              <w:instrText xml:space="preserve"> = 3 \* GB3 \* MERGEFORMAT </w:instrText>
            </w:r>
            <w:r>
              <w:rPr>
                <w:b/>
                <w:bCs/>
                <w:snapToGrid w:val="0"/>
                <w:color w:val="auto"/>
                <w:spacing w:val="-6"/>
                <w:kern w:val="21"/>
                <w:szCs w:val="21"/>
              </w:rPr>
              <w:fldChar w:fldCharType="separate"/>
            </w:r>
            <w:r>
              <w:rPr>
                <w:b/>
                <w:bCs/>
                <w:color w:val="auto"/>
                <w:szCs w:val="21"/>
              </w:rPr>
              <w:t>③</w:t>
            </w:r>
            <w:r>
              <w:rPr>
                <w:b/>
                <w:bCs/>
                <w:snapToGrid w:val="0"/>
                <w:color w:val="auto"/>
                <w:spacing w:val="-6"/>
                <w:kern w:val="21"/>
                <w:szCs w:val="21"/>
              </w:rPr>
              <w:fldChar w:fldCharType="end"/>
            </w:r>
          </w:p>
        </w:tc>
        <w:tc>
          <w:tcPr>
            <w:tcW w:w="565" w:type="pct"/>
            <w:tcMar>
              <w:left w:w="28" w:type="dxa"/>
              <w:right w:w="28" w:type="dxa"/>
            </w:tcMar>
            <w:vAlign w:val="center"/>
          </w:tcPr>
          <w:p>
            <w:pPr>
              <w:adjustRightInd w:val="0"/>
              <w:snapToGrid w:val="0"/>
              <w:ind w:left="398" w:hanging="458" w:hangingChars="200"/>
              <w:jc w:val="center"/>
              <w:rPr>
                <w:b/>
                <w:bCs/>
                <w:snapToGrid w:val="0"/>
                <w:color w:val="auto"/>
                <w:spacing w:val="-6"/>
                <w:kern w:val="21"/>
                <w:szCs w:val="21"/>
              </w:rPr>
            </w:pPr>
            <w:r>
              <w:rPr>
                <w:b/>
                <w:bCs/>
                <w:snapToGrid w:val="0"/>
                <w:color w:val="auto"/>
                <w:spacing w:val="-6"/>
                <w:kern w:val="21"/>
                <w:szCs w:val="21"/>
              </w:rPr>
              <w:t>本项目</w:t>
            </w:r>
          </w:p>
          <w:p>
            <w:pPr>
              <w:adjustRightInd w:val="0"/>
              <w:snapToGrid w:val="0"/>
              <w:ind w:left="398" w:hanging="458" w:hangingChars="200"/>
              <w:jc w:val="center"/>
              <w:rPr>
                <w:b/>
                <w:bCs/>
                <w:snapToGrid w:val="0"/>
                <w:color w:val="auto"/>
                <w:spacing w:val="-6"/>
                <w:kern w:val="21"/>
                <w:szCs w:val="21"/>
              </w:rPr>
            </w:pPr>
            <w:r>
              <w:rPr>
                <w:b/>
                <w:bCs/>
                <w:snapToGrid w:val="0"/>
                <w:color w:val="auto"/>
                <w:spacing w:val="-6"/>
                <w:kern w:val="21"/>
                <w:szCs w:val="21"/>
              </w:rPr>
              <w:t>排放量（固体废物产生量）（t/a）</w:t>
            </w:r>
            <w:r>
              <w:rPr>
                <w:b/>
                <w:bCs/>
                <w:snapToGrid w:val="0"/>
                <w:color w:val="auto"/>
                <w:spacing w:val="-6"/>
                <w:kern w:val="21"/>
                <w:szCs w:val="21"/>
              </w:rPr>
              <w:fldChar w:fldCharType="begin"/>
            </w:r>
            <w:r>
              <w:rPr>
                <w:b/>
                <w:bCs/>
                <w:snapToGrid w:val="0"/>
                <w:color w:val="auto"/>
                <w:spacing w:val="-6"/>
                <w:kern w:val="21"/>
                <w:szCs w:val="21"/>
              </w:rPr>
              <w:instrText xml:space="preserve"> = 4 \* GB3 \* MERGEFORMAT </w:instrText>
            </w:r>
            <w:r>
              <w:rPr>
                <w:b/>
                <w:bCs/>
                <w:snapToGrid w:val="0"/>
                <w:color w:val="auto"/>
                <w:spacing w:val="-6"/>
                <w:kern w:val="21"/>
                <w:szCs w:val="21"/>
              </w:rPr>
              <w:fldChar w:fldCharType="separate"/>
            </w:r>
            <w:r>
              <w:rPr>
                <w:b/>
                <w:bCs/>
                <w:color w:val="auto"/>
                <w:szCs w:val="21"/>
              </w:rPr>
              <w:t>④</w:t>
            </w:r>
            <w:r>
              <w:rPr>
                <w:b/>
                <w:bCs/>
                <w:snapToGrid w:val="0"/>
                <w:color w:val="auto"/>
                <w:spacing w:val="-6"/>
                <w:kern w:val="21"/>
                <w:szCs w:val="21"/>
              </w:rPr>
              <w:fldChar w:fldCharType="end"/>
            </w:r>
          </w:p>
        </w:tc>
        <w:tc>
          <w:tcPr>
            <w:tcW w:w="638" w:type="pct"/>
            <w:tcMar>
              <w:left w:w="28" w:type="dxa"/>
              <w:right w:w="28" w:type="dxa"/>
            </w:tcMar>
            <w:vAlign w:val="center"/>
          </w:tcPr>
          <w:p>
            <w:pPr>
              <w:adjustRightInd w:val="0"/>
              <w:snapToGrid w:val="0"/>
              <w:ind w:left="358" w:hanging="418" w:hangingChars="200"/>
              <w:jc w:val="center"/>
              <w:rPr>
                <w:b/>
                <w:bCs/>
                <w:snapToGrid w:val="0"/>
                <w:color w:val="auto"/>
                <w:spacing w:val="-16"/>
                <w:kern w:val="21"/>
                <w:szCs w:val="21"/>
              </w:rPr>
            </w:pPr>
            <w:r>
              <w:rPr>
                <w:b/>
                <w:bCs/>
                <w:snapToGrid w:val="0"/>
                <w:color w:val="auto"/>
                <w:spacing w:val="-16"/>
                <w:kern w:val="21"/>
                <w:szCs w:val="21"/>
              </w:rPr>
              <w:t>以新带老削减量</w:t>
            </w:r>
          </w:p>
          <w:p>
            <w:pPr>
              <w:adjustRightInd w:val="0"/>
              <w:snapToGrid w:val="0"/>
              <w:ind w:left="358" w:hanging="418" w:hangingChars="200"/>
              <w:jc w:val="center"/>
              <w:rPr>
                <w:b/>
                <w:bCs/>
                <w:snapToGrid w:val="0"/>
                <w:color w:val="auto"/>
                <w:spacing w:val="-16"/>
                <w:kern w:val="21"/>
                <w:szCs w:val="21"/>
              </w:rPr>
            </w:pPr>
            <w:r>
              <w:rPr>
                <w:b/>
                <w:bCs/>
                <w:snapToGrid w:val="0"/>
                <w:color w:val="auto"/>
                <w:spacing w:val="-16"/>
                <w:kern w:val="21"/>
                <w:szCs w:val="21"/>
              </w:rPr>
              <w:t>（新建项目不填）</w:t>
            </w:r>
            <w:r>
              <w:rPr>
                <w:b/>
                <w:bCs/>
                <w:snapToGrid w:val="0"/>
                <w:color w:val="auto"/>
                <w:spacing w:val="-6"/>
                <w:kern w:val="21"/>
                <w:szCs w:val="21"/>
              </w:rPr>
              <w:t>（t/a）</w:t>
            </w:r>
            <w:r>
              <w:rPr>
                <w:b/>
                <w:bCs/>
                <w:snapToGrid w:val="0"/>
                <w:color w:val="auto"/>
                <w:spacing w:val="-16"/>
                <w:kern w:val="21"/>
                <w:szCs w:val="21"/>
              </w:rPr>
              <w:fldChar w:fldCharType="begin"/>
            </w:r>
            <w:r>
              <w:rPr>
                <w:b/>
                <w:bCs/>
                <w:snapToGrid w:val="0"/>
                <w:color w:val="auto"/>
                <w:spacing w:val="-16"/>
                <w:kern w:val="21"/>
                <w:szCs w:val="21"/>
              </w:rPr>
              <w:instrText xml:space="preserve"> = 5 \* GB3 \* MERGEFORMAT </w:instrText>
            </w:r>
            <w:r>
              <w:rPr>
                <w:b/>
                <w:bCs/>
                <w:snapToGrid w:val="0"/>
                <w:color w:val="auto"/>
                <w:spacing w:val="-16"/>
                <w:kern w:val="21"/>
                <w:szCs w:val="21"/>
              </w:rPr>
              <w:fldChar w:fldCharType="separate"/>
            </w:r>
            <w:r>
              <w:rPr>
                <w:b/>
                <w:bCs/>
                <w:color w:val="auto"/>
                <w:szCs w:val="21"/>
              </w:rPr>
              <w:t>⑤</w:t>
            </w:r>
            <w:r>
              <w:rPr>
                <w:b/>
                <w:bCs/>
                <w:snapToGrid w:val="0"/>
                <w:color w:val="auto"/>
                <w:spacing w:val="-16"/>
                <w:kern w:val="21"/>
                <w:szCs w:val="21"/>
              </w:rPr>
              <w:fldChar w:fldCharType="end"/>
            </w:r>
          </w:p>
        </w:tc>
        <w:tc>
          <w:tcPr>
            <w:tcW w:w="656" w:type="pct"/>
            <w:tcMar>
              <w:left w:w="28" w:type="dxa"/>
              <w:right w:w="28" w:type="dxa"/>
            </w:tcMar>
            <w:vAlign w:val="center"/>
          </w:tcPr>
          <w:p>
            <w:pPr>
              <w:adjustRightInd w:val="0"/>
              <w:snapToGrid w:val="0"/>
              <w:ind w:left="358" w:hanging="418" w:hangingChars="200"/>
              <w:jc w:val="center"/>
              <w:rPr>
                <w:b/>
                <w:bCs/>
                <w:snapToGrid w:val="0"/>
                <w:color w:val="auto"/>
                <w:spacing w:val="-16"/>
                <w:kern w:val="21"/>
                <w:szCs w:val="21"/>
              </w:rPr>
            </w:pPr>
            <w:r>
              <w:rPr>
                <w:b/>
                <w:bCs/>
                <w:snapToGrid w:val="0"/>
                <w:color w:val="auto"/>
                <w:spacing w:val="-16"/>
                <w:kern w:val="21"/>
                <w:szCs w:val="21"/>
              </w:rPr>
              <w:t>本项目建成后</w:t>
            </w:r>
          </w:p>
          <w:p>
            <w:pPr>
              <w:adjustRightInd w:val="0"/>
              <w:snapToGrid w:val="0"/>
              <w:ind w:left="358" w:hanging="418" w:hangingChars="200"/>
              <w:jc w:val="center"/>
              <w:rPr>
                <w:b/>
                <w:bCs/>
                <w:snapToGrid w:val="0"/>
                <w:color w:val="auto"/>
                <w:spacing w:val="-16"/>
                <w:kern w:val="21"/>
                <w:szCs w:val="21"/>
              </w:rPr>
            </w:pPr>
            <w:r>
              <w:rPr>
                <w:b/>
                <w:bCs/>
                <w:snapToGrid w:val="0"/>
                <w:color w:val="auto"/>
                <w:spacing w:val="-16"/>
                <w:kern w:val="21"/>
                <w:szCs w:val="21"/>
              </w:rPr>
              <w:t>全厂排放量（固体废物产生量）</w:t>
            </w:r>
            <w:r>
              <w:rPr>
                <w:b/>
                <w:bCs/>
                <w:snapToGrid w:val="0"/>
                <w:color w:val="auto"/>
                <w:spacing w:val="-6"/>
                <w:kern w:val="21"/>
                <w:szCs w:val="21"/>
              </w:rPr>
              <w:t>（t/a）</w:t>
            </w:r>
            <w:r>
              <w:rPr>
                <w:b/>
                <w:bCs/>
                <w:snapToGrid w:val="0"/>
                <w:color w:val="auto"/>
                <w:spacing w:val="-16"/>
                <w:kern w:val="21"/>
                <w:szCs w:val="21"/>
              </w:rPr>
              <w:fldChar w:fldCharType="begin"/>
            </w:r>
            <w:r>
              <w:rPr>
                <w:b/>
                <w:bCs/>
                <w:snapToGrid w:val="0"/>
                <w:color w:val="auto"/>
                <w:spacing w:val="-16"/>
                <w:kern w:val="21"/>
                <w:szCs w:val="21"/>
              </w:rPr>
              <w:instrText xml:space="preserve"> = 6 \* GB3 \* MERGEFORMAT </w:instrText>
            </w:r>
            <w:r>
              <w:rPr>
                <w:b/>
                <w:bCs/>
                <w:snapToGrid w:val="0"/>
                <w:color w:val="auto"/>
                <w:spacing w:val="-16"/>
                <w:kern w:val="21"/>
                <w:szCs w:val="21"/>
              </w:rPr>
              <w:fldChar w:fldCharType="separate"/>
            </w:r>
            <w:r>
              <w:rPr>
                <w:b/>
                <w:bCs/>
                <w:color w:val="auto"/>
                <w:szCs w:val="21"/>
              </w:rPr>
              <w:t>⑥</w:t>
            </w:r>
            <w:r>
              <w:rPr>
                <w:b/>
                <w:bCs/>
                <w:snapToGrid w:val="0"/>
                <w:color w:val="auto"/>
                <w:spacing w:val="-16"/>
                <w:kern w:val="21"/>
                <w:szCs w:val="21"/>
              </w:rPr>
              <w:fldChar w:fldCharType="end"/>
            </w:r>
          </w:p>
        </w:tc>
        <w:tc>
          <w:tcPr>
            <w:tcW w:w="353" w:type="pct"/>
            <w:tcMar>
              <w:left w:w="28" w:type="dxa"/>
              <w:right w:w="28" w:type="dxa"/>
            </w:tcMar>
            <w:vAlign w:val="center"/>
          </w:tcPr>
          <w:p>
            <w:pPr>
              <w:adjustRightInd w:val="0"/>
              <w:snapToGrid w:val="0"/>
              <w:ind w:left="398" w:hanging="458" w:hangingChars="200"/>
              <w:jc w:val="center"/>
              <w:rPr>
                <w:b/>
                <w:bCs/>
                <w:snapToGrid w:val="0"/>
                <w:color w:val="auto"/>
                <w:spacing w:val="-6"/>
                <w:kern w:val="21"/>
                <w:szCs w:val="21"/>
              </w:rPr>
            </w:pPr>
            <w:r>
              <w:rPr>
                <w:b/>
                <w:bCs/>
                <w:snapToGrid w:val="0"/>
                <w:color w:val="auto"/>
                <w:spacing w:val="-6"/>
                <w:kern w:val="21"/>
                <w:szCs w:val="21"/>
              </w:rPr>
              <w:t>变化量</w:t>
            </w:r>
          </w:p>
          <w:p>
            <w:pPr>
              <w:adjustRightInd w:val="0"/>
              <w:snapToGrid w:val="0"/>
              <w:ind w:left="398" w:hanging="458" w:hangingChars="200"/>
              <w:jc w:val="center"/>
              <w:rPr>
                <w:b/>
                <w:bCs/>
                <w:snapToGrid w:val="0"/>
                <w:color w:val="auto"/>
                <w:spacing w:val="-6"/>
                <w:kern w:val="21"/>
                <w:szCs w:val="21"/>
              </w:rPr>
            </w:pPr>
            <w:r>
              <w:rPr>
                <w:b/>
                <w:bCs/>
                <w:snapToGrid w:val="0"/>
                <w:color w:val="auto"/>
                <w:spacing w:val="-6"/>
                <w:kern w:val="21"/>
                <w:szCs w:val="21"/>
              </w:rPr>
              <w:t>（t/a）</w:t>
            </w:r>
            <w:r>
              <w:rPr>
                <w:b/>
                <w:bCs/>
                <w:snapToGrid w:val="0"/>
                <w:color w:val="auto"/>
                <w:spacing w:val="-6"/>
                <w:kern w:val="21"/>
                <w:szCs w:val="21"/>
              </w:rPr>
              <w:fldChar w:fldCharType="begin"/>
            </w:r>
            <w:r>
              <w:rPr>
                <w:b/>
                <w:bCs/>
                <w:snapToGrid w:val="0"/>
                <w:color w:val="auto"/>
                <w:spacing w:val="-6"/>
                <w:kern w:val="21"/>
                <w:szCs w:val="21"/>
              </w:rPr>
              <w:instrText xml:space="preserve"> = 7 \* GB3 \* MERGEFORMAT </w:instrText>
            </w:r>
            <w:r>
              <w:rPr>
                <w:b/>
                <w:bCs/>
                <w:snapToGrid w:val="0"/>
                <w:color w:val="auto"/>
                <w:spacing w:val="-6"/>
                <w:kern w:val="21"/>
                <w:szCs w:val="21"/>
              </w:rPr>
              <w:fldChar w:fldCharType="separate"/>
            </w:r>
            <w:r>
              <w:rPr>
                <w:b/>
                <w:bCs/>
                <w:color w:val="auto"/>
                <w:szCs w:val="21"/>
              </w:rPr>
              <w:t>⑦</w:t>
            </w:r>
            <w:r>
              <w:rPr>
                <w:b/>
                <w:bCs/>
                <w:snapToGrid w:val="0"/>
                <w:color w:val="auto"/>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553" w:type="pct"/>
            <w:vAlign w:val="center"/>
          </w:tcPr>
          <w:p>
            <w:pPr>
              <w:adjustRightInd w:val="0"/>
              <w:snapToGrid w:val="0"/>
              <w:ind w:left="420" w:hanging="480" w:hangingChars="200"/>
              <w:jc w:val="center"/>
              <w:rPr>
                <w:snapToGrid w:val="0"/>
                <w:color w:val="auto"/>
                <w:kern w:val="21"/>
                <w:szCs w:val="21"/>
              </w:rPr>
            </w:pPr>
            <w:r>
              <w:rPr>
                <w:snapToGrid w:val="0"/>
                <w:color w:val="auto"/>
                <w:kern w:val="21"/>
                <w:szCs w:val="21"/>
              </w:rPr>
              <w:t>废气</w:t>
            </w:r>
          </w:p>
        </w:tc>
        <w:tc>
          <w:tcPr>
            <w:tcW w:w="536" w:type="pct"/>
            <w:vAlign w:val="center"/>
          </w:tcPr>
          <w:p>
            <w:pPr>
              <w:adjustRightInd w:val="0"/>
              <w:snapToGrid w:val="0"/>
              <w:jc w:val="center"/>
              <w:rPr>
                <w:snapToGrid w:val="0"/>
                <w:color w:val="auto"/>
                <w:kern w:val="21"/>
                <w:szCs w:val="21"/>
              </w:rPr>
            </w:pPr>
            <w:r>
              <w:rPr>
                <w:bCs/>
                <w:color w:val="auto"/>
                <w:szCs w:val="21"/>
              </w:rPr>
              <w:t>颗粒物</w:t>
            </w:r>
          </w:p>
        </w:tc>
        <w:tc>
          <w:tcPr>
            <w:tcW w:w="616" w:type="pct"/>
            <w:vAlign w:val="center"/>
          </w:tcPr>
          <w:p>
            <w:pPr>
              <w:adjustRightInd w:val="0"/>
              <w:snapToGrid w:val="0"/>
              <w:ind w:left="420" w:hanging="480" w:hangingChars="200"/>
              <w:jc w:val="center"/>
              <w:rPr>
                <w:snapToGrid w:val="0"/>
                <w:color w:val="auto"/>
                <w:kern w:val="21"/>
                <w:szCs w:val="21"/>
              </w:rPr>
            </w:pPr>
          </w:p>
        </w:tc>
        <w:tc>
          <w:tcPr>
            <w:tcW w:w="462" w:type="pct"/>
            <w:vAlign w:val="center"/>
          </w:tcPr>
          <w:p>
            <w:pPr>
              <w:adjustRightInd w:val="0"/>
              <w:snapToGrid w:val="0"/>
              <w:ind w:left="420" w:hanging="480" w:hangingChars="200"/>
              <w:jc w:val="center"/>
              <w:rPr>
                <w:snapToGrid w:val="0"/>
                <w:color w:val="auto"/>
                <w:kern w:val="21"/>
                <w:szCs w:val="21"/>
              </w:rPr>
            </w:pPr>
          </w:p>
        </w:tc>
        <w:tc>
          <w:tcPr>
            <w:tcW w:w="616" w:type="pct"/>
            <w:vAlign w:val="center"/>
          </w:tcPr>
          <w:p>
            <w:pPr>
              <w:adjustRightInd w:val="0"/>
              <w:snapToGrid w:val="0"/>
              <w:ind w:left="420" w:hanging="480" w:hangingChars="200"/>
              <w:jc w:val="center"/>
              <w:rPr>
                <w:snapToGrid w:val="0"/>
                <w:color w:val="auto"/>
                <w:kern w:val="21"/>
                <w:szCs w:val="21"/>
              </w:rPr>
            </w:pPr>
          </w:p>
        </w:tc>
        <w:tc>
          <w:tcPr>
            <w:tcW w:w="565" w:type="pct"/>
            <w:vAlign w:val="center"/>
          </w:tcPr>
          <w:p>
            <w:pPr>
              <w:adjustRightInd w:val="0"/>
              <w:snapToGrid w:val="0"/>
              <w:ind w:left="420" w:hanging="480" w:hangingChars="200"/>
              <w:jc w:val="center"/>
              <w:rPr>
                <w:rFonts w:hint="default" w:eastAsia="宋体"/>
                <w:snapToGrid w:val="0"/>
                <w:color w:val="auto"/>
                <w:kern w:val="21"/>
                <w:szCs w:val="21"/>
                <w:lang w:val="en-US" w:eastAsia="zh-CN"/>
              </w:rPr>
            </w:pPr>
            <w:r>
              <w:rPr>
                <w:rFonts w:hint="eastAsia"/>
                <w:snapToGrid w:val="0"/>
                <w:color w:val="auto"/>
                <w:kern w:val="21"/>
                <w:szCs w:val="21"/>
                <w:lang w:val="en-US" w:eastAsia="zh-CN"/>
              </w:rPr>
              <w:t>0.85</w:t>
            </w:r>
          </w:p>
        </w:tc>
        <w:tc>
          <w:tcPr>
            <w:tcW w:w="638" w:type="pct"/>
            <w:vAlign w:val="center"/>
          </w:tcPr>
          <w:p>
            <w:pPr>
              <w:adjustRightInd w:val="0"/>
              <w:snapToGrid w:val="0"/>
              <w:ind w:left="420" w:hanging="480" w:hangingChars="200"/>
              <w:jc w:val="center"/>
              <w:rPr>
                <w:snapToGrid w:val="0"/>
                <w:color w:val="auto"/>
                <w:kern w:val="21"/>
                <w:szCs w:val="21"/>
              </w:rPr>
            </w:pPr>
          </w:p>
        </w:tc>
        <w:tc>
          <w:tcPr>
            <w:tcW w:w="656" w:type="pct"/>
            <w:vAlign w:val="center"/>
          </w:tcPr>
          <w:p>
            <w:pPr>
              <w:adjustRightInd w:val="0"/>
              <w:snapToGrid w:val="0"/>
              <w:ind w:left="420" w:hanging="480" w:hangingChars="200"/>
              <w:jc w:val="center"/>
              <w:rPr>
                <w:rFonts w:hint="default" w:eastAsia="宋体"/>
                <w:snapToGrid w:val="0"/>
                <w:color w:val="auto"/>
                <w:kern w:val="21"/>
                <w:szCs w:val="21"/>
                <w:lang w:val="en-US" w:eastAsia="zh-CN"/>
              </w:rPr>
            </w:pPr>
            <w:r>
              <w:rPr>
                <w:rFonts w:hint="eastAsia"/>
                <w:snapToGrid w:val="0"/>
                <w:color w:val="auto"/>
                <w:kern w:val="21"/>
                <w:szCs w:val="21"/>
                <w:lang w:val="en-US" w:eastAsia="zh-CN"/>
              </w:rPr>
              <w:t>0.85</w:t>
            </w:r>
          </w:p>
        </w:tc>
        <w:tc>
          <w:tcPr>
            <w:tcW w:w="353" w:type="pct"/>
            <w:vAlign w:val="center"/>
          </w:tcPr>
          <w:p>
            <w:pPr>
              <w:adjustRightInd w:val="0"/>
              <w:snapToGrid w:val="0"/>
              <w:ind w:left="420" w:hanging="480" w:hangingChars="200"/>
              <w:jc w:val="center"/>
              <w:rPr>
                <w:rFonts w:hint="default" w:eastAsia="宋体"/>
                <w:snapToGrid w:val="0"/>
                <w:color w:val="auto"/>
                <w:kern w:val="21"/>
                <w:szCs w:val="21"/>
                <w:lang w:val="en-US" w:eastAsia="zh-CN"/>
              </w:rPr>
            </w:pPr>
            <w:r>
              <w:rPr>
                <w:snapToGrid w:val="0"/>
                <w:color w:val="auto"/>
                <w:kern w:val="21"/>
                <w:szCs w:val="21"/>
              </w:rPr>
              <w:t>+0.</w:t>
            </w:r>
            <w:r>
              <w:rPr>
                <w:rFonts w:hint="eastAsia"/>
                <w:snapToGrid w:val="0"/>
                <w:color w:val="auto"/>
                <w:kern w:val="21"/>
                <w:szCs w:val="21"/>
                <w:lang w:val="en-US" w:eastAsia="zh-CN"/>
              </w:rPr>
              <w:t>85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553" w:type="pct"/>
            <w:vAlign w:val="center"/>
          </w:tcPr>
          <w:p>
            <w:pPr>
              <w:adjustRightInd w:val="0"/>
              <w:snapToGrid w:val="0"/>
              <w:ind w:left="420" w:hanging="480" w:hangingChars="200"/>
              <w:jc w:val="center"/>
              <w:rPr>
                <w:snapToGrid w:val="0"/>
                <w:color w:val="auto"/>
                <w:kern w:val="21"/>
                <w:szCs w:val="21"/>
              </w:rPr>
            </w:pPr>
            <w:r>
              <w:rPr>
                <w:snapToGrid w:val="0"/>
                <w:color w:val="auto"/>
                <w:kern w:val="21"/>
                <w:szCs w:val="21"/>
              </w:rPr>
              <w:t>废水</w:t>
            </w:r>
          </w:p>
        </w:tc>
        <w:tc>
          <w:tcPr>
            <w:tcW w:w="536" w:type="pct"/>
            <w:vAlign w:val="center"/>
          </w:tcPr>
          <w:p>
            <w:pPr>
              <w:adjustRightInd w:val="0"/>
              <w:snapToGrid w:val="0"/>
              <w:ind w:left="420" w:hanging="480" w:hangingChars="200"/>
              <w:jc w:val="center"/>
              <w:rPr>
                <w:snapToGrid w:val="0"/>
                <w:color w:val="auto"/>
                <w:kern w:val="21"/>
                <w:szCs w:val="21"/>
              </w:rPr>
            </w:pPr>
            <w:r>
              <w:rPr>
                <w:snapToGrid w:val="0"/>
                <w:color w:val="auto"/>
                <w:kern w:val="21"/>
                <w:szCs w:val="21"/>
              </w:rPr>
              <w:t>/</w:t>
            </w:r>
          </w:p>
        </w:tc>
        <w:tc>
          <w:tcPr>
            <w:tcW w:w="616" w:type="pct"/>
            <w:vAlign w:val="center"/>
          </w:tcPr>
          <w:p>
            <w:pPr>
              <w:adjustRightInd w:val="0"/>
              <w:snapToGrid w:val="0"/>
              <w:ind w:left="420" w:hanging="480" w:hangingChars="200"/>
              <w:jc w:val="center"/>
              <w:rPr>
                <w:snapToGrid w:val="0"/>
                <w:color w:val="auto"/>
                <w:kern w:val="21"/>
                <w:szCs w:val="21"/>
              </w:rPr>
            </w:pPr>
          </w:p>
        </w:tc>
        <w:tc>
          <w:tcPr>
            <w:tcW w:w="462" w:type="pct"/>
            <w:vAlign w:val="center"/>
          </w:tcPr>
          <w:p>
            <w:pPr>
              <w:adjustRightInd w:val="0"/>
              <w:snapToGrid w:val="0"/>
              <w:ind w:left="420" w:hanging="480" w:hangingChars="200"/>
              <w:jc w:val="center"/>
              <w:rPr>
                <w:snapToGrid w:val="0"/>
                <w:color w:val="auto"/>
                <w:kern w:val="21"/>
                <w:szCs w:val="21"/>
              </w:rPr>
            </w:pPr>
          </w:p>
        </w:tc>
        <w:tc>
          <w:tcPr>
            <w:tcW w:w="616" w:type="pct"/>
            <w:vAlign w:val="center"/>
          </w:tcPr>
          <w:p>
            <w:pPr>
              <w:adjustRightInd w:val="0"/>
              <w:snapToGrid w:val="0"/>
              <w:ind w:left="420" w:hanging="480" w:hangingChars="200"/>
              <w:jc w:val="center"/>
              <w:rPr>
                <w:snapToGrid w:val="0"/>
                <w:color w:val="auto"/>
                <w:kern w:val="21"/>
                <w:szCs w:val="21"/>
              </w:rPr>
            </w:pPr>
          </w:p>
        </w:tc>
        <w:tc>
          <w:tcPr>
            <w:tcW w:w="565" w:type="pct"/>
            <w:vAlign w:val="center"/>
          </w:tcPr>
          <w:p>
            <w:pPr>
              <w:adjustRightInd w:val="0"/>
              <w:snapToGrid w:val="0"/>
              <w:ind w:left="420" w:hanging="480" w:hangingChars="200"/>
              <w:jc w:val="center"/>
              <w:rPr>
                <w:snapToGrid w:val="0"/>
                <w:color w:val="auto"/>
                <w:kern w:val="21"/>
                <w:szCs w:val="21"/>
              </w:rPr>
            </w:pPr>
            <w:r>
              <w:rPr>
                <w:snapToGrid w:val="0"/>
                <w:color w:val="auto"/>
                <w:kern w:val="21"/>
                <w:szCs w:val="21"/>
              </w:rPr>
              <w:t>/</w:t>
            </w:r>
          </w:p>
        </w:tc>
        <w:tc>
          <w:tcPr>
            <w:tcW w:w="638" w:type="pct"/>
            <w:vAlign w:val="center"/>
          </w:tcPr>
          <w:p>
            <w:pPr>
              <w:adjustRightInd w:val="0"/>
              <w:snapToGrid w:val="0"/>
              <w:ind w:left="420" w:hanging="480" w:hangingChars="200"/>
              <w:jc w:val="center"/>
              <w:rPr>
                <w:snapToGrid w:val="0"/>
                <w:color w:val="auto"/>
                <w:kern w:val="21"/>
                <w:szCs w:val="21"/>
              </w:rPr>
            </w:pPr>
          </w:p>
        </w:tc>
        <w:tc>
          <w:tcPr>
            <w:tcW w:w="656" w:type="pct"/>
            <w:vAlign w:val="center"/>
          </w:tcPr>
          <w:p>
            <w:pPr>
              <w:adjustRightInd w:val="0"/>
              <w:snapToGrid w:val="0"/>
              <w:ind w:left="420" w:hanging="480" w:hangingChars="200"/>
              <w:jc w:val="center"/>
              <w:rPr>
                <w:snapToGrid w:val="0"/>
                <w:color w:val="auto"/>
                <w:kern w:val="21"/>
                <w:szCs w:val="21"/>
              </w:rPr>
            </w:pPr>
          </w:p>
        </w:tc>
        <w:tc>
          <w:tcPr>
            <w:tcW w:w="353" w:type="pct"/>
            <w:vAlign w:val="center"/>
          </w:tcPr>
          <w:p>
            <w:pPr>
              <w:adjustRightInd w:val="0"/>
              <w:snapToGrid w:val="0"/>
              <w:ind w:left="420" w:hanging="480" w:hangingChars="200"/>
              <w:jc w:val="center"/>
              <w:rPr>
                <w:snapToGrid w:val="0"/>
                <w:color w:val="auto"/>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53" w:type="pct"/>
            <w:vMerge w:val="restart"/>
            <w:vAlign w:val="center"/>
          </w:tcPr>
          <w:p>
            <w:pPr>
              <w:adjustRightInd w:val="0"/>
              <w:snapToGrid w:val="0"/>
              <w:ind w:left="420" w:hanging="480" w:hangingChars="200"/>
              <w:jc w:val="center"/>
              <w:rPr>
                <w:snapToGrid w:val="0"/>
                <w:color w:val="auto"/>
                <w:kern w:val="21"/>
                <w:szCs w:val="21"/>
              </w:rPr>
            </w:pPr>
            <w:r>
              <w:rPr>
                <w:snapToGrid w:val="0"/>
                <w:color w:val="auto"/>
                <w:kern w:val="21"/>
                <w:szCs w:val="21"/>
              </w:rPr>
              <w:t>一般工业</w:t>
            </w:r>
          </w:p>
          <w:p>
            <w:pPr>
              <w:adjustRightInd w:val="0"/>
              <w:snapToGrid w:val="0"/>
              <w:ind w:left="420" w:hanging="480" w:hangingChars="200"/>
              <w:jc w:val="center"/>
              <w:rPr>
                <w:snapToGrid w:val="0"/>
                <w:color w:val="auto"/>
                <w:kern w:val="21"/>
                <w:szCs w:val="21"/>
              </w:rPr>
            </w:pPr>
            <w:r>
              <w:rPr>
                <w:snapToGrid w:val="0"/>
                <w:color w:val="auto"/>
                <w:kern w:val="21"/>
                <w:szCs w:val="21"/>
              </w:rPr>
              <w:t>固体废物</w:t>
            </w:r>
          </w:p>
        </w:tc>
        <w:tc>
          <w:tcPr>
            <w:tcW w:w="536" w:type="pct"/>
            <w:vAlign w:val="center"/>
          </w:tcPr>
          <w:p>
            <w:pPr>
              <w:adjustRightInd w:val="0"/>
              <w:snapToGrid w:val="0"/>
              <w:jc w:val="center"/>
              <w:rPr>
                <w:snapToGrid w:val="0"/>
                <w:color w:val="auto"/>
                <w:kern w:val="21"/>
                <w:szCs w:val="21"/>
              </w:rPr>
            </w:pPr>
            <w:r>
              <w:rPr>
                <w:color w:val="auto"/>
                <w:szCs w:val="21"/>
              </w:rPr>
              <w:t>生活垃圾</w:t>
            </w:r>
          </w:p>
        </w:tc>
        <w:tc>
          <w:tcPr>
            <w:tcW w:w="616" w:type="pct"/>
            <w:vAlign w:val="center"/>
          </w:tcPr>
          <w:p>
            <w:pPr>
              <w:adjustRightInd w:val="0"/>
              <w:snapToGrid w:val="0"/>
              <w:ind w:left="420" w:hanging="480" w:hangingChars="200"/>
              <w:jc w:val="center"/>
              <w:rPr>
                <w:snapToGrid w:val="0"/>
                <w:color w:val="auto"/>
                <w:kern w:val="21"/>
                <w:szCs w:val="21"/>
              </w:rPr>
            </w:pPr>
          </w:p>
        </w:tc>
        <w:tc>
          <w:tcPr>
            <w:tcW w:w="462" w:type="pct"/>
            <w:vAlign w:val="center"/>
          </w:tcPr>
          <w:p>
            <w:pPr>
              <w:adjustRightInd w:val="0"/>
              <w:snapToGrid w:val="0"/>
              <w:ind w:left="420" w:hanging="480" w:hangingChars="200"/>
              <w:jc w:val="center"/>
              <w:rPr>
                <w:snapToGrid w:val="0"/>
                <w:color w:val="auto"/>
                <w:kern w:val="21"/>
                <w:szCs w:val="21"/>
              </w:rPr>
            </w:pPr>
          </w:p>
        </w:tc>
        <w:tc>
          <w:tcPr>
            <w:tcW w:w="616" w:type="pct"/>
            <w:vAlign w:val="center"/>
          </w:tcPr>
          <w:p>
            <w:pPr>
              <w:adjustRightInd w:val="0"/>
              <w:snapToGrid w:val="0"/>
              <w:ind w:left="420" w:hanging="480" w:hangingChars="200"/>
              <w:jc w:val="center"/>
              <w:rPr>
                <w:snapToGrid w:val="0"/>
                <w:color w:val="auto"/>
                <w:kern w:val="21"/>
                <w:szCs w:val="21"/>
              </w:rPr>
            </w:pPr>
          </w:p>
        </w:tc>
        <w:tc>
          <w:tcPr>
            <w:tcW w:w="565" w:type="pct"/>
            <w:vAlign w:val="center"/>
          </w:tcPr>
          <w:p>
            <w:pPr>
              <w:adjustRightInd w:val="0"/>
              <w:snapToGrid w:val="0"/>
              <w:ind w:left="420" w:hanging="480" w:hangingChars="200"/>
              <w:jc w:val="center"/>
              <w:rPr>
                <w:snapToGrid w:val="0"/>
                <w:color w:val="auto"/>
                <w:kern w:val="21"/>
                <w:szCs w:val="21"/>
              </w:rPr>
            </w:pPr>
            <w:r>
              <w:rPr>
                <w:snapToGrid w:val="0"/>
                <w:color w:val="auto"/>
                <w:kern w:val="21"/>
                <w:szCs w:val="21"/>
              </w:rPr>
              <w:t>6.75</w:t>
            </w:r>
          </w:p>
        </w:tc>
        <w:tc>
          <w:tcPr>
            <w:tcW w:w="638" w:type="pct"/>
            <w:vAlign w:val="center"/>
          </w:tcPr>
          <w:p>
            <w:pPr>
              <w:adjustRightInd w:val="0"/>
              <w:snapToGrid w:val="0"/>
              <w:ind w:left="420" w:hanging="480" w:hangingChars="200"/>
              <w:jc w:val="center"/>
              <w:rPr>
                <w:snapToGrid w:val="0"/>
                <w:color w:val="auto"/>
                <w:kern w:val="21"/>
                <w:szCs w:val="21"/>
              </w:rPr>
            </w:pPr>
          </w:p>
        </w:tc>
        <w:tc>
          <w:tcPr>
            <w:tcW w:w="656" w:type="pct"/>
            <w:vAlign w:val="center"/>
          </w:tcPr>
          <w:p>
            <w:pPr>
              <w:adjustRightInd w:val="0"/>
              <w:snapToGrid w:val="0"/>
              <w:ind w:left="420" w:hanging="480" w:hangingChars="200"/>
              <w:jc w:val="center"/>
              <w:rPr>
                <w:snapToGrid w:val="0"/>
                <w:color w:val="auto"/>
                <w:kern w:val="21"/>
                <w:szCs w:val="21"/>
              </w:rPr>
            </w:pPr>
            <w:r>
              <w:rPr>
                <w:snapToGrid w:val="0"/>
                <w:color w:val="auto"/>
                <w:kern w:val="21"/>
                <w:szCs w:val="21"/>
              </w:rPr>
              <w:t>6.75</w:t>
            </w:r>
          </w:p>
        </w:tc>
        <w:tc>
          <w:tcPr>
            <w:tcW w:w="353" w:type="pct"/>
            <w:vAlign w:val="center"/>
          </w:tcPr>
          <w:p>
            <w:pPr>
              <w:adjustRightInd w:val="0"/>
              <w:snapToGrid w:val="0"/>
              <w:ind w:left="420" w:hanging="480" w:hangingChars="200"/>
              <w:jc w:val="center"/>
              <w:rPr>
                <w:snapToGrid w:val="0"/>
                <w:color w:val="auto"/>
                <w:kern w:val="21"/>
                <w:szCs w:val="21"/>
              </w:rPr>
            </w:pPr>
            <w:r>
              <w:rPr>
                <w:snapToGrid w:val="0"/>
                <w:color w:val="auto"/>
                <w:kern w:val="21"/>
                <w:szCs w:val="21"/>
              </w:rPr>
              <w:t>+6.75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53" w:type="pct"/>
            <w:vMerge w:val="continue"/>
            <w:vAlign w:val="center"/>
          </w:tcPr>
          <w:p>
            <w:pPr>
              <w:adjustRightInd w:val="0"/>
              <w:snapToGrid w:val="0"/>
              <w:ind w:left="420" w:hanging="480" w:hangingChars="200"/>
              <w:jc w:val="center"/>
              <w:rPr>
                <w:snapToGrid w:val="0"/>
                <w:color w:val="auto"/>
                <w:kern w:val="21"/>
                <w:szCs w:val="21"/>
              </w:rPr>
            </w:pPr>
          </w:p>
        </w:tc>
        <w:tc>
          <w:tcPr>
            <w:tcW w:w="536" w:type="pct"/>
            <w:vAlign w:val="center"/>
          </w:tcPr>
          <w:p>
            <w:pPr>
              <w:adjustRightInd w:val="0"/>
              <w:snapToGrid w:val="0"/>
              <w:jc w:val="center"/>
              <w:rPr>
                <w:color w:val="auto"/>
              </w:rPr>
            </w:pPr>
            <w:r>
              <w:rPr>
                <w:color w:val="auto"/>
                <w:szCs w:val="21"/>
              </w:rPr>
              <w:t>沉淀池底泥</w:t>
            </w:r>
          </w:p>
        </w:tc>
        <w:tc>
          <w:tcPr>
            <w:tcW w:w="616" w:type="pct"/>
            <w:vAlign w:val="center"/>
          </w:tcPr>
          <w:p>
            <w:pPr>
              <w:adjustRightInd w:val="0"/>
              <w:snapToGrid w:val="0"/>
              <w:ind w:left="420" w:hanging="480" w:hangingChars="200"/>
              <w:jc w:val="center"/>
              <w:rPr>
                <w:snapToGrid w:val="0"/>
                <w:color w:val="auto"/>
                <w:kern w:val="21"/>
                <w:szCs w:val="21"/>
              </w:rPr>
            </w:pPr>
          </w:p>
        </w:tc>
        <w:tc>
          <w:tcPr>
            <w:tcW w:w="462" w:type="pct"/>
            <w:vAlign w:val="center"/>
          </w:tcPr>
          <w:p>
            <w:pPr>
              <w:adjustRightInd w:val="0"/>
              <w:snapToGrid w:val="0"/>
              <w:ind w:left="420" w:hanging="480" w:hangingChars="200"/>
              <w:jc w:val="center"/>
              <w:rPr>
                <w:snapToGrid w:val="0"/>
                <w:color w:val="auto"/>
                <w:kern w:val="21"/>
                <w:szCs w:val="21"/>
              </w:rPr>
            </w:pPr>
          </w:p>
        </w:tc>
        <w:tc>
          <w:tcPr>
            <w:tcW w:w="616" w:type="pct"/>
            <w:vAlign w:val="center"/>
          </w:tcPr>
          <w:p>
            <w:pPr>
              <w:adjustRightInd w:val="0"/>
              <w:snapToGrid w:val="0"/>
              <w:ind w:left="420" w:hanging="480" w:hangingChars="200"/>
              <w:jc w:val="center"/>
              <w:rPr>
                <w:snapToGrid w:val="0"/>
                <w:color w:val="auto"/>
                <w:kern w:val="21"/>
                <w:szCs w:val="21"/>
              </w:rPr>
            </w:pPr>
          </w:p>
        </w:tc>
        <w:tc>
          <w:tcPr>
            <w:tcW w:w="565" w:type="pct"/>
            <w:vAlign w:val="center"/>
          </w:tcPr>
          <w:p>
            <w:pPr>
              <w:adjustRightInd w:val="0"/>
              <w:snapToGrid w:val="0"/>
              <w:ind w:left="420" w:hanging="480" w:hangingChars="200"/>
              <w:jc w:val="center"/>
              <w:rPr>
                <w:snapToGrid w:val="0"/>
                <w:color w:val="auto"/>
                <w:kern w:val="21"/>
                <w:szCs w:val="21"/>
              </w:rPr>
            </w:pPr>
            <w:r>
              <w:rPr>
                <w:snapToGrid w:val="0"/>
                <w:color w:val="auto"/>
                <w:kern w:val="21"/>
                <w:szCs w:val="21"/>
              </w:rPr>
              <w:t>9</w:t>
            </w:r>
          </w:p>
        </w:tc>
        <w:tc>
          <w:tcPr>
            <w:tcW w:w="638" w:type="pct"/>
            <w:vAlign w:val="center"/>
          </w:tcPr>
          <w:p>
            <w:pPr>
              <w:adjustRightInd w:val="0"/>
              <w:snapToGrid w:val="0"/>
              <w:ind w:left="420" w:hanging="480" w:hangingChars="200"/>
              <w:jc w:val="center"/>
              <w:rPr>
                <w:snapToGrid w:val="0"/>
                <w:color w:val="auto"/>
                <w:kern w:val="21"/>
                <w:szCs w:val="21"/>
              </w:rPr>
            </w:pPr>
          </w:p>
        </w:tc>
        <w:tc>
          <w:tcPr>
            <w:tcW w:w="656" w:type="pct"/>
            <w:vAlign w:val="center"/>
          </w:tcPr>
          <w:p>
            <w:pPr>
              <w:adjustRightInd w:val="0"/>
              <w:snapToGrid w:val="0"/>
              <w:ind w:left="420" w:hanging="480" w:hangingChars="200"/>
              <w:jc w:val="center"/>
              <w:rPr>
                <w:snapToGrid w:val="0"/>
                <w:color w:val="auto"/>
                <w:kern w:val="21"/>
                <w:szCs w:val="21"/>
              </w:rPr>
            </w:pPr>
            <w:r>
              <w:rPr>
                <w:snapToGrid w:val="0"/>
                <w:color w:val="auto"/>
                <w:kern w:val="21"/>
                <w:szCs w:val="21"/>
              </w:rPr>
              <w:t>9</w:t>
            </w:r>
          </w:p>
        </w:tc>
        <w:tc>
          <w:tcPr>
            <w:tcW w:w="353" w:type="pct"/>
            <w:vAlign w:val="center"/>
          </w:tcPr>
          <w:p>
            <w:pPr>
              <w:adjustRightInd w:val="0"/>
              <w:snapToGrid w:val="0"/>
              <w:ind w:left="420" w:hanging="480" w:hangingChars="200"/>
              <w:jc w:val="center"/>
              <w:rPr>
                <w:snapToGrid w:val="0"/>
                <w:color w:val="auto"/>
                <w:kern w:val="21"/>
                <w:szCs w:val="21"/>
              </w:rPr>
            </w:pPr>
            <w:r>
              <w:rPr>
                <w:snapToGrid w:val="0"/>
                <w:color w:val="auto"/>
                <w:kern w:val="21"/>
                <w:szCs w:val="21"/>
              </w:rPr>
              <w:t>+9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53" w:type="pct"/>
            <w:vMerge w:val="continue"/>
            <w:vAlign w:val="center"/>
          </w:tcPr>
          <w:p>
            <w:pPr>
              <w:adjustRightInd w:val="0"/>
              <w:snapToGrid w:val="0"/>
              <w:ind w:left="420" w:hanging="480" w:hangingChars="200"/>
              <w:jc w:val="center"/>
              <w:rPr>
                <w:snapToGrid w:val="0"/>
                <w:color w:val="auto"/>
                <w:kern w:val="21"/>
                <w:szCs w:val="21"/>
              </w:rPr>
            </w:pPr>
          </w:p>
        </w:tc>
        <w:tc>
          <w:tcPr>
            <w:tcW w:w="536" w:type="pct"/>
            <w:vAlign w:val="center"/>
          </w:tcPr>
          <w:p>
            <w:pPr>
              <w:adjustRightInd w:val="0"/>
              <w:snapToGrid w:val="0"/>
              <w:jc w:val="center"/>
              <w:rPr>
                <w:color w:val="auto"/>
              </w:rPr>
            </w:pPr>
            <w:r>
              <w:rPr>
                <w:color w:val="auto"/>
                <w:szCs w:val="21"/>
              </w:rPr>
              <w:t>除尘器下灰</w:t>
            </w:r>
          </w:p>
        </w:tc>
        <w:tc>
          <w:tcPr>
            <w:tcW w:w="616" w:type="pct"/>
            <w:vAlign w:val="center"/>
          </w:tcPr>
          <w:p>
            <w:pPr>
              <w:adjustRightInd w:val="0"/>
              <w:snapToGrid w:val="0"/>
              <w:ind w:left="420" w:hanging="480" w:hangingChars="200"/>
              <w:jc w:val="center"/>
              <w:rPr>
                <w:snapToGrid w:val="0"/>
                <w:color w:val="auto"/>
                <w:kern w:val="21"/>
                <w:szCs w:val="21"/>
              </w:rPr>
            </w:pPr>
          </w:p>
        </w:tc>
        <w:tc>
          <w:tcPr>
            <w:tcW w:w="462" w:type="pct"/>
            <w:vAlign w:val="center"/>
          </w:tcPr>
          <w:p>
            <w:pPr>
              <w:adjustRightInd w:val="0"/>
              <w:snapToGrid w:val="0"/>
              <w:ind w:left="420" w:hanging="480" w:hangingChars="200"/>
              <w:jc w:val="center"/>
              <w:rPr>
                <w:snapToGrid w:val="0"/>
                <w:color w:val="auto"/>
                <w:kern w:val="21"/>
                <w:szCs w:val="21"/>
              </w:rPr>
            </w:pPr>
          </w:p>
        </w:tc>
        <w:tc>
          <w:tcPr>
            <w:tcW w:w="616" w:type="pct"/>
            <w:vAlign w:val="center"/>
          </w:tcPr>
          <w:p>
            <w:pPr>
              <w:adjustRightInd w:val="0"/>
              <w:snapToGrid w:val="0"/>
              <w:ind w:left="420" w:hanging="480" w:hangingChars="200"/>
              <w:jc w:val="center"/>
              <w:rPr>
                <w:snapToGrid w:val="0"/>
                <w:color w:val="auto"/>
                <w:kern w:val="21"/>
                <w:szCs w:val="21"/>
              </w:rPr>
            </w:pPr>
          </w:p>
        </w:tc>
        <w:tc>
          <w:tcPr>
            <w:tcW w:w="565" w:type="pct"/>
            <w:vAlign w:val="center"/>
          </w:tcPr>
          <w:p>
            <w:pPr>
              <w:adjustRightInd w:val="0"/>
              <w:snapToGrid w:val="0"/>
              <w:ind w:left="420" w:hanging="480" w:hangingChars="200"/>
              <w:jc w:val="center"/>
              <w:rPr>
                <w:rFonts w:hint="default" w:eastAsia="宋体"/>
                <w:snapToGrid w:val="0"/>
                <w:color w:val="auto"/>
                <w:kern w:val="21"/>
                <w:szCs w:val="21"/>
                <w:lang w:val="en-US" w:eastAsia="zh-CN"/>
              </w:rPr>
            </w:pPr>
            <w:r>
              <w:rPr>
                <w:rFonts w:hint="eastAsia"/>
                <w:snapToGrid w:val="0"/>
                <w:color w:val="auto"/>
                <w:kern w:val="21"/>
                <w:szCs w:val="21"/>
                <w:lang w:val="en-US" w:eastAsia="zh-CN"/>
              </w:rPr>
              <w:t>0.61</w:t>
            </w:r>
          </w:p>
        </w:tc>
        <w:tc>
          <w:tcPr>
            <w:tcW w:w="638" w:type="pct"/>
            <w:vAlign w:val="center"/>
          </w:tcPr>
          <w:p>
            <w:pPr>
              <w:adjustRightInd w:val="0"/>
              <w:snapToGrid w:val="0"/>
              <w:ind w:left="420" w:hanging="480" w:hangingChars="200"/>
              <w:jc w:val="center"/>
              <w:rPr>
                <w:snapToGrid w:val="0"/>
                <w:color w:val="auto"/>
                <w:kern w:val="21"/>
                <w:szCs w:val="21"/>
              </w:rPr>
            </w:pPr>
          </w:p>
        </w:tc>
        <w:tc>
          <w:tcPr>
            <w:tcW w:w="656" w:type="pct"/>
            <w:vAlign w:val="center"/>
          </w:tcPr>
          <w:p>
            <w:pPr>
              <w:adjustRightInd w:val="0"/>
              <w:snapToGrid w:val="0"/>
              <w:ind w:left="420" w:hanging="480" w:hangingChars="200"/>
              <w:jc w:val="center"/>
              <w:rPr>
                <w:rFonts w:hint="default" w:eastAsia="宋体"/>
                <w:snapToGrid w:val="0"/>
                <w:color w:val="auto"/>
                <w:kern w:val="21"/>
                <w:szCs w:val="21"/>
                <w:lang w:val="en-US" w:eastAsia="zh-CN"/>
              </w:rPr>
            </w:pPr>
            <w:r>
              <w:rPr>
                <w:rFonts w:hint="eastAsia"/>
                <w:snapToGrid w:val="0"/>
                <w:color w:val="auto"/>
                <w:kern w:val="21"/>
                <w:szCs w:val="21"/>
                <w:lang w:val="en-US" w:eastAsia="zh-CN"/>
              </w:rPr>
              <w:t>0.61</w:t>
            </w:r>
          </w:p>
        </w:tc>
        <w:tc>
          <w:tcPr>
            <w:tcW w:w="353" w:type="pct"/>
            <w:vAlign w:val="center"/>
          </w:tcPr>
          <w:p>
            <w:pPr>
              <w:adjustRightInd w:val="0"/>
              <w:snapToGrid w:val="0"/>
              <w:ind w:left="420" w:hanging="480" w:hangingChars="200"/>
              <w:jc w:val="center"/>
              <w:rPr>
                <w:rFonts w:hint="default" w:eastAsia="宋体"/>
                <w:snapToGrid w:val="0"/>
                <w:color w:val="auto"/>
                <w:kern w:val="21"/>
                <w:szCs w:val="21"/>
                <w:lang w:val="en-US" w:eastAsia="zh-CN"/>
              </w:rPr>
            </w:pPr>
            <w:r>
              <w:rPr>
                <w:snapToGrid w:val="0"/>
                <w:color w:val="auto"/>
                <w:kern w:val="21"/>
                <w:szCs w:val="21"/>
              </w:rPr>
              <w:t>+</w:t>
            </w:r>
            <w:r>
              <w:rPr>
                <w:rFonts w:hint="eastAsia"/>
                <w:snapToGrid w:val="0"/>
                <w:color w:val="auto"/>
                <w:kern w:val="21"/>
                <w:szCs w:val="21"/>
                <w:lang w:val="en-US" w:eastAsia="zh-CN"/>
              </w:rPr>
              <w:t>0.61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53" w:type="pct"/>
            <w:vMerge w:val="continue"/>
            <w:vAlign w:val="center"/>
          </w:tcPr>
          <w:p>
            <w:pPr>
              <w:adjustRightInd w:val="0"/>
              <w:snapToGrid w:val="0"/>
              <w:ind w:left="420" w:hanging="480" w:hangingChars="200"/>
              <w:jc w:val="center"/>
              <w:rPr>
                <w:color w:val="auto"/>
              </w:rPr>
            </w:pPr>
          </w:p>
        </w:tc>
        <w:tc>
          <w:tcPr>
            <w:tcW w:w="536" w:type="pct"/>
            <w:vAlign w:val="center"/>
          </w:tcPr>
          <w:p>
            <w:pPr>
              <w:adjustRightInd w:val="0"/>
              <w:snapToGrid w:val="0"/>
              <w:jc w:val="center"/>
              <w:rPr>
                <w:snapToGrid w:val="0"/>
                <w:color w:val="auto"/>
                <w:kern w:val="21"/>
                <w:szCs w:val="21"/>
              </w:rPr>
            </w:pPr>
            <w:r>
              <w:rPr>
                <w:color w:val="auto"/>
                <w:szCs w:val="21"/>
              </w:rPr>
              <w:t>化粪池污泥</w:t>
            </w:r>
          </w:p>
        </w:tc>
        <w:tc>
          <w:tcPr>
            <w:tcW w:w="616" w:type="pct"/>
            <w:vAlign w:val="center"/>
          </w:tcPr>
          <w:p>
            <w:pPr>
              <w:adjustRightInd w:val="0"/>
              <w:snapToGrid w:val="0"/>
              <w:ind w:left="420" w:hanging="480" w:hangingChars="200"/>
              <w:jc w:val="center"/>
              <w:rPr>
                <w:snapToGrid w:val="0"/>
                <w:color w:val="auto"/>
                <w:kern w:val="21"/>
                <w:szCs w:val="21"/>
              </w:rPr>
            </w:pPr>
          </w:p>
        </w:tc>
        <w:tc>
          <w:tcPr>
            <w:tcW w:w="462" w:type="pct"/>
            <w:vAlign w:val="center"/>
          </w:tcPr>
          <w:p>
            <w:pPr>
              <w:adjustRightInd w:val="0"/>
              <w:snapToGrid w:val="0"/>
              <w:ind w:left="420" w:hanging="480" w:hangingChars="200"/>
              <w:jc w:val="center"/>
              <w:rPr>
                <w:snapToGrid w:val="0"/>
                <w:color w:val="auto"/>
                <w:kern w:val="21"/>
                <w:szCs w:val="21"/>
              </w:rPr>
            </w:pPr>
          </w:p>
        </w:tc>
        <w:tc>
          <w:tcPr>
            <w:tcW w:w="616" w:type="pct"/>
            <w:vAlign w:val="center"/>
          </w:tcPr>
          <w:p>
            <w:pPr>
              <w:adjustRightInd w:val="0"/>
              <w:snapToGrid w:val="0"/>
              <w:ind w:left="420" w:hanging="480" w:hangingChars="200"/>
              <w:jc w:val="center"/>
              <w:rPr>
                <w:snapToGrid w:val="0"/>
                <w:color w:val="auto"/>
                <w:kern w:val="21"/>
                <w:szCs w:val="21"/>
              </w:rPr>
            </w:pPr>
          </w:p>
        </w:tc>
        <w:tc>
          <w:tcPr>
            <w:tcW w:w="565" w:type="pct"/>
            <w:vAlign w:val="center"/>
          </w:tcPr>
          <w:p>
            <w:pPr>
              <w:adjustRightInd w:val="0"/>
              <w:snapToGrid w:val="0"/>
              <w:ind w:left="420" w:hanging="480" w:hangingChars="200"/>
              <w:jc w:val="center"/>
              <w:rPr>
                <w:snapToGrid w:val="0"/>
                <w:color w:val="auto"/>
                <w:kern w:val="21"/>
                <w:szCs w:val="21"/>
              </w:rPr>
            </w:pPr>
            <w:r>
              <w:rPr>
                <w:snapToGrid w:val="0"/>
                <w:color w:val="auto"/>
                <w:kern w:val="21"/>
                <w:szCs w:val="21"/>
              </w:rPr>
              <w:t>0.054</w:t>
            </w:r>
          </w:p>
        </w:tc>
        <w:tc>
          <w:tcPr>
            <w:tcW w:w="638" w:type="pct"/>
            <w:vAlign w:val="center"/>
          </w:tcPr>
          <w:p>
            <w:pPr>
              <w:adjustRightInd w:val="0"/>
              <w:snapToGrid w:val="0"/>
              <w:ind w:left="420" w:hanging="480" w:hangingChars="200"/>
              <w:jc w:val="center"/>
              <w:rPr>
                <w:snapToGrid w:val="0"/>
                <w:color w:val="auto"/>
                <w:kern w:val="21"/>
                <w:szCs w:val="21"/>
              </w:rPr>
            </w:pPr>
          </w:p>
        </w:tc>
        <w:tc>
          <w:tcPr>
            <w:tcW w:w="656" w:type="pct"/>
            <w:vAlign w:val="center"/>
          </w:tcPr>
          <w:p>
            <w:pPr>
              <w:adjustRightInd w:val="0"/>
              <w:snapToGrid w:val="0"/>
              <w:ind w:left="420" w:hanging="480" w:hangingChars="200"/>
              <w:jc w:val="center"/>
              <w:rPr>
                <w:snapToGrid w:val="0"/>
                <w:color w:val="auto"/>
                <w:kern w:val="21"/>
                <w:szCs w:val="21"/>
              </w:rPr>
            </w:pPr>
            <w:r>
              <w:rPr>
                <w:snapToGrid w:val="0"/>
                <w:color w:val="auto"/>
                <w:kern w:val="21"/>
                <w:szCs w:val="21"/>
              </w:rPr>
              <w:t>0.054</w:t>
            </w:r>
          </w:p>
        </w:tc>
        <w:tc>
          <w:tcPr>
            <w:tcW w:w="353" w:type="pct"/>
            <w:vAlign w:val="center"/>
          </w:tcPr>
          <w:p>
            <w:pPr>
              <w:adjustRightInd w:val="0"/>
              <w:snapToGrid w:val="0"/>
              <w:ind w:left="420" w:hanging="480" w:hangingChars="200"/>
              <w:jc w:val="center"/>
              <w:rPr>
                <w:snapToGrid w:val="0"/>
                <w:color w:val="auto"/>
                <w:kern w:val="21"/>
                <w:szCs w:val="21"/>
              </w:rPr>
            </w:pPr>
            <w:r>
              <w:rPr>
                <w:snapToGrid w:val="0"/>
                <w:color w:val="auto"/>
                <w:kern w:val="21"/>
                <w:szCs w:val="21"/>
              </w:rPr>
              <w:t>+0.054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553" w:type="pct"/>
            <w:vMerge w:val="restart"/>
            <w:vAlign w:val="center"/>
          </w:tcPr>
          <w:p>
            <w:pPr>
              <w:adjustRightInd w:val="0"/>
              <w:snapToGrid w:val="0"/>
              <w:ind w:left="420" w:hanging="480" w:hangingChars="200"/>
              <w:jc w:val="center"/>
              <w:rPr>
                <w:snapToGrid w:val="0"/>
                <w:color w:val="auto"/>
                <w:kern w:val="21"/>
                <w:szCs w:val="21"/>
              </w:rPr>
            </w:pPr>
            <w:r>
              <w:rPr>
                <w:snapToGrid w:val="0"/>
                <w:color w:val="auto"/>
                <w:kern w:val="21"/>
                <w:szCs w:val="21"/>
              </w:rPr>
              <w:t>危险废物</w:t>
            </w:r>
          </w:p>
        </w:tc>
        <w:tc>
          <w:tcPr>
            <w:tcW w:w="536" w:type="pct"/>
            <w:vAlign w:val="center"/>
          </w:tcPr>
          <w:p>
            <w:pPr>
              <w:adjustRightInd w:val="0"/>
              <w:snapToGrid w:val="0"/>
              <w:ind w:left="420" w:hanging="480" w:hangingChars="200"/>
              <w:jc w:val="center"/>
              <w:rPr>
                <w:snapToGrid w:val="0"/>
                <w:color w:val="auto"/>
                <w:kern w:val="21"/>
                <w:szCs w:val="21"/>
              </w:rPr>
            </w:pPr>
            <w:r>
              <w:rPr>
                <w:snapToGrid w:val="0"/>
                <w:color w:val="auto"/>
                <w:kern w:val="21"/>
                <w:szCs w:val="21"/>
              </w:rPr>
              <w:t>/</w:t>
            </w:r>
          </w:p>
        </w:tc>
        <w:tc>
          <w:tcPr>
            <w:tcW w:w="616" w:type="pct"/>
            <w:vAlign w:val="center"/>
          </w:tcPr>
          <w:p>
            <w:pPr>
              <w:adjustRightInd w:val="0"/>
              <w:snapToGrid w:val="0"/>
              <w:ind w:left="420" w:hanging="480" w:hangingChars="200"/>
              <w:jc w:val="center"/>
              <w:rPr>
                <w:snapToGrid w:val="0"/>
                <w:color w:val="auto"/>
                <w:kern w:val="21"/>
                <w:szCs w:val="21"/>
              </w:rPr>
            </w:pPr>
          </w:p>
        </w:tc>
        <w:tc>
          <w:tcPr>
            <w:tcW w:w="462" w:type="pct"/>
            <w:vAlign w:val="center"/>
          </w:tcPr>
          <w:p>
            <w:pPr>
              <w:adjustRightInd w:val="0"/>
              <w:snapToGrid w:val="0"/>
              <w:ind w:left="420" w:hanging="480" w:hangingChars="200"/>
              <w:jc w:val="center"/>
              <w:rPr>
                <w:snapToGrid w:val="0"/>
                <w:color w:val="auto"/>
                <w:kern w:val="21"/>
                <w:szCs w:val="21"/>
              </w:rPr>
            </w:pPr>
          </w:p>
        </w:tc>
        <w:tc>
          <w:tcPr>
            <w:tcW w:w="616" w:type="pct"/>
            <w:vAlign w:val="center"/>
          </w:tcPr>
          <w:p>
            <w:pPr>
              <w:adjustRightInd w:val="0"/>
              <w:snapToGrid w:val="0"/>
              <w:ind w:left="420" w:hanging="480" w:hangingChars="200"/>
              <w:jc w:val="center"/>
              <w:rPr>
                <w:snapToGrid w:val="0"/>
                <w:color w:val="auto"/>
                <w:kern w:val="21"/>
                <w:szCs w:val="21"/>
              </w:rPr>
            </w:pPr>
          </w:p>
        </w:tc>
        <w:tc>
          <w:tcPr>
            <w:tcW w:w="565" w:type="pct"/>
            <w:vAlign w:val="center"/>
          </w:tcPr>
          <w:p>
            <w:pPr>
              <w:adjustRightInd w:val="0"/>
              <w:snapToGrid w:val="0"/>
              <w:ind w:left="420" w:hanging="480" w:hangingChars="200"/>
              <w:jc w:val="center"/>
              <w:rPr>
                <w:snapToGrid w:val="0"/>
                <w:color w:val="auto"/>
                <w:kern w:val="21"/>
                <w:szCs w:val="21"/>
              </w:rPr>
            </w:pPr>
          </w:p>
        </w:tc>
        <w:tc>
          <w:tcPr>
            <w:tcW w:w="638" w:type="pct"/>
            <w:vAlign w:val="center"/>
          </w:tcPr>
          <w:p>
            <w:pPr>
              <w:adjustRightInd w:val="0"/>
              <w:snapToGrid w:val="0"/>
              <w:ind w:left="420" w:hanging="480" w:hangingChars="200"/>
              <w:jc w:val="center"/>
              <w:rPr>
                <w:snapToGrid w:val="0"/>
                <w:color w:val="auto"/>
                <w:kern w:val="21"/>
                <w:szCs w:val="21"/>
              </w:rPr>
            </w:pPr>
          </w:p>
        </w:tc>
        <w:tc>
          <w:tcPr>
            <w:tcW w:w="656" w:type="pct"/>
            <w:vAlign w:val="center"/>
          </w:tcPr>
          <w:p>
            <w:pPr>
              <w:adjustRightInd w:val="0"/>
              <w:snapToGrid w:val="0"/>
              <w:ind w:left="420" w:hanging="480" w:hangingChars="200"/>
              <w:jc w:val="center"/>
              <w:rPr>
                <w:snapToGrid w:val="0"/>
                <w:color w:val="auto"/>
                <w:kern w:val="21"/>
                <w:szCs w:val="21"/>
              </w:rPr>
            </w:pPr>
          </w:p>
        </w:tc>
        <w:tc>
          <w:tcPr>
            <w:tcW w:w="353" w:type="pct"/>
            <w:vAlign w:val="center"/>
          </w:tcPr>
          <w:p>
            <w:pPr>
              <w:adjustRightInd w:val="0"/>
              <w:snapToGrid w:val="0"/>
              <w:ind w:left="420" w:hanging="480" w:hangingChars="200"/>
              <w:jc w:val="center"/>
              <w:rPr>
                <w:snapToGrid w:val="0"/>
                <w:color w:val="auto"/>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553" w:type="pct"/>
            <w:vMerge w:val="continue"/>
            <w:vAlign w:val="center"/>
          </w:tcPr>
          <w:p>
            <w:pPr>
              <w:adjustRightInd w:val="0"/>
              <w:snapToGrid w:val="0"/>
              <w:ind w:left="420" w:hanging="480" w:hangingChars="200"/>
              <w:jc w:val="center"/>
              <w:rPr>
                <w:color w:val="auto"/>
              </w:rPr>
            </w:pPr>
          </w:p>
        </w:tc>
        <w:tc>
          <w:tcPr>
            <w:tcW w:w="536" w:type="pct"/>
            <w:vAlign w:val="center"/>
          </w:tcPr>
          <w:p>
            <w:pPr>
              <w:adjustRightInd w:val="0"/>
              <w:snapToGrid w:val="0"/>
              <w:ind w:left="420" w:hanging="480" w:hangingChars="200"/>
              <w:jc w:val="center"/>
              <w:rPr>
                <w:snapToGrid w:val="0"/>
                <w:color w:val="auto"/>
                <w:kern w:val="21"/>
                <w:szCs w:val="21"/>
              </w:rPr>
            </w:pPr>
            <w:r>
              <w:rPr>
                <w:snapToGrid w:val="0"/>
                <w:color w:val="auto"/>
                <w:kern w:val="21"/>
                <w:szCs w:val="21"/>
              </w:rPr>
              <w:t>/</w:t>
            </w:r>
          </w:p>
        </w:tc>
        <w:tc>
          <w:tcPr>
            <w:tcW w:w="616" w:type="pct"/>
            <w:vAlign w:val="center"/>
          </w:tcPr>
          <w:p>
            <w:pPr>
              <w:adjustRightInd w:val="0"/>
              <w:snapToGrid w:val="0"/>
              <w:ind w:left="420" w:hanging="480" w:hangingChars="200"/>
              <w:jc w:val="center"/>
              <w:rPr>
                <w:snapToGrid w:val="0"/>
                <w:color w:val="auto"/>
                <w:kern w:val="21"/>
                <w:szCs w:val="21"/>
              </w:rPr>
            </w:pPr>
          </w:p>
        </w:tc>
        <w:tc>
          <w:tcPr>
            <w:tcW w:w="462" w:type="pct"/>
            <w:vAlign w:val="center"/>
          </w:tcPr>
          <w:p>
            <w:pPr>
              <w:adjustRightInd w:val="0"/>
              <w:snapToGrid w:val="0"/>
              <w:ind w:left="420" w:hanging="480" w:hangingChars="200"/>
              <w:jc w:val="center"/>
              <w:rPr>
                <w:snapToGrid w:val="0"/>
                <w:color w:val="auto"/>
                <w:kern w:val="21"/>
                <w:szCs w:val="21"/>
              </w:rPr>
            </w:pPr>
          </w:p>
        </w:tc>
        <w:tc>
          <w:tcPr>
            <w:tcW w:w="616" w:type="pct"/>
            <w:vAlign w:val="center"/>
          </w:tcPr>
          <w:p>
            <w:pPr>
              <w:adjustRightInd w:val="0"/>
              <w:snapToGrid w:val="0"/>
              <w:ind w:left="420" w:hanging="480" w:hangingChars="200"/>
              <w:jc w:val="center"/>
              <w:rPr>
                <w:snapToGrid w:val="0"/>
                <w:color w:val="auto"/>
                <w:kern w:val="21"/>
                <w:szCs w:val="21"/>
              </w:rPr>
            </w:pPr>
          </w:p>
        </w:tc>
        <w:tc>
          <w:tcPr>
            <w:tcW w:w="565" w:type="pct"/>
            <w:vAlign w:val="center"/>
          </w:tcPr>
          <w:p>
            <w:pPr>
              <w:adjustRightInd w:val="0"/>
              <w:snapToGrid w:val="0"/>
              <w:ind w:left="420" w:hanging="480" w:hangingChars="200"/>
              <w:jc w:val="center"/>
              <w:rPr>
                <w:snapToGrid w:val="0"/>
                <w:color w:val="auto"/>
                <w:kern w:val="21"/>
                <w:szCs w:val="21"/>
              </w:rPr>
            </w:pPr>
          </w:p>
        </w:tc>
        <w:tc>
          <w:tcPr>
            <w:tcW w:w="638" w:type="pct"/>
            <w:vAlign w:val="center"/>
          </w:tcPr>
          <w:p>
            <w:pPr>
              <w:adjustRightInd w:val="0"/>
              <w:snapToGrid w:val="0"/>
              <w:ind w:left="420" w:hanging="480" w:hangingChars="200"/>
              <w:jc w:val="center"/>
              <w:rPr>
                <w:snapToGrid w:val="0"/>
                <w:color w:val="auto"/>
                <w:kern w:val="21"/>
                <w:szCs w:val="21"/>
              </w:rPr>
            </w:pPr>
          </w:p>
        </w:tc>
        <w:tc>
          <w:tcPr>
            <w:tcW w:w="656" w:type="pct"/>
            <w:vAlign w:val="center"/>
          </w:tcPr>
          <w:p>
            <w:pPr>
              <w:adjustRightInd w:val="0"/>
              <w:snapToGrid w:val="0"/>
              <w:ind w:left="420" w:hanging="480" w:hangingChars="200"/>
              <w:jc w:val="center"/>
              <w:rPr>
                <w:snapToGrid w:val="0"/>
                <w:color w:val="auto"/>
                <w:kern w:val="21"/>
                <w:szCs w:val="21"/>
              </w:rPr>
            </w:pPr>
          </w:p>
        </w:tc>
        <w:tc>
          <w:tcPr>
            <w:tcW w:w="353" w:type="pct"/>
            <w:vAlign w:val="center"/>
          </w:tcPr>
          <w:p>
            <w:pPr>
              <w:adjustRightInd w:val="0"/>
              <w:snapToGrid w:val="0"/>
              <w:ind w:left="420" w:hanging="480" w:hangingChars="200"/>
              <w:jc w:val="center"/>
              <w:rPr>
                <w:snapToGrid w:val="0"/>
                <w:color w:val="auto"/>
                <w:kern w:val="21"/>
                <w:szCs w:val="21"/>
              </w:rPr>
            </w:pPr>
          </w:p>
        </w:tc>
      </w:tr>
    </w:tbl>
    <w:p>
      <w:pPr>
        <w:rPr>
          <w:color w:val="auto"/>
        </w:rPr>
      </w:pPr>
      <w:r>
        <w:rPr>
          <w:snapToGrid w:val="0"/>
          <w:color w:val="auto"/>
          <w:kern w:val="21"/>
          <w:szCs w:val="21"/>
        </w:rPr>
        <w:t>注：</w:t>
      </w:r>
      <w:r>
        <w:rPr>
          <w:snapToGrid w:val="0"/>
          <w:color w:val="auto"/>
          <w:spacing w:val="-16"/>
          <w:kern w:val="21"/>
          <w:szCs w:val="21"/>
        </w:rPr>
        <w:fldChar w:fldCharType="begin"/>
      </w:r>
      <w:r>
        <w:rPr>
          <w:snapToGrid w:val="0"/>
          <w:color w:val="auto"/>
          <w:spacing w:val="-16"/>
          <w:kern w:val="21"/>
          <w:szCs w:val="21"/>
        </w:rPr>
        <w:instrText xml:space="preserve"> = 6 \* GB3 \* MERGEFORMAT </w:instrText>
      </w:r>
      <w:r>
        <w:rPr>
          <w:snapToGrid w:val="0"/>
          <w:color w:val="auto"/>
          <w:spacing w:val="-16"/>
          <w:kern w:val="21"/>
          <w:szCs w:val="21"/>
        </w:rPr>
        <w:fldChar w:fldCharType="separate"/>
      </w:r>
      <w:r>
        <w:rPr>
          <w:color w:val="auto"/>
          <w:szCs w:val="21"/>
        </w:rPr>
        <w:t>⑥</w:t>
      </w:r>
      <w:r>
        <w:rPr>
          <w:snapToGrid w:val="0"/>
          <w:color w:val="auto"/>
          <w:spacing w:val="-16"/>
          <w:kern w:val="21"/>
          <w:szCs w:val="21"/>
        </w:rPr>
        <w:fldChar w:fldCharType="end"/>
      </w:r>
      <w:r>
        <w:rPr>
          <w:snapToGrid w:val="0"/>
          <w:color w:val="auto"/>
          <w:spacing w:val="-16"/>
          <w:kern w:val="21"/>
          <w:szCs w:val="21"/>
        </w:rPr>
        <w:t>=</w:t>
      </w:r>
      <w:r>
        <w:rPr>
          <w:snapToGrid w:val="0"/>
          <w:color w:val="auto"/>
          <w:spacing w:val="-6"/>
          <w:kern w:val="21"/>
          <w:szCs w:val="21"/>
        </w:rPr>
        <w:fldChar w:fldCharType="begin"/>
      </w:r>
      <w:r>
        <w:rPr>
          <w:snapToGrid w:val="0"/>
          <w:color w:val="auto"/>
          <w:spacing w:val="-6"/>
          <w:kern w:val="21"/>
          <w:szCs w:val="21"/>
        </w:rPr>
        <w:instrText xml:space="preserve"> = 1 \* GB3 \* MERGEFORMAT </w:instrText>
      </w:r>
      <w:r>
        <w:rPr>
          <w:snapToGrid w:val="0"/>
          <w:color w:val="auto"/>
          <w:spacing w:val="-6"/>
          <w:kern w:val="21"/>
          <w:szCs w:val="21"/>
        </w:rPr>
        <w:fldChar w:fldCharType="separate"/>
      </w:r>
      <w:r>
        <w:rPr>
          <w:color w:val="auto"/>
          <w:szCs w:val="21"/>
        </w:rPr>
        <w:t>①</w:t>
      </w:r>
      <w:r>
        <w:rPr>
          <w:snapToGrid w:val="0"/>
          <w:color w:val="auto"/>
          <w:spacing w:val="-6"/>
          <w:kern w:val="21"/>
          <w:szCs w:val="21"/>
        </w:rPr>
        <w:fldChar w:fldCharType="end"/>
      </w:r>
      <w:r>
        <w:rPr>
          <w:snapToGrid w:val="0"/>
          <w:color w:val="auto"/>
          <w:spacing w:val="-6"/>
          <w:kern w:val="21"/>
          <w:szCs w:val="21"/>
        </w:rPr>
        <w:t>+</w:t>
      </w:r>
      <w:r>
        <w:rPr>
          <w:snapToGrid w:val="0"/>
          <w:color w:val="auto"/>
          <w:spacing w:val="-6"/>
          <w:kern w:val="21"/>
          <w:szCs w:val="21"/>
        </w:rPr>
        <w:fldChar w:fldCharType="begin"/>
      </w:r>
      <w:r>
        <w:rPr>
          <w:snapToGrid w:val="0"/>
          <w:color w:val="auto"/>
          <w:spacing w:val="-6"/>
          <w:kern w:val="21"/>
          <w:szCs w:val="21"/>
        </w:rPr>
        <w:instrText xml:space="preserve"> = 3 \* GB3 \* MERGEFORMAT </w:instrText>
      </w:r>
      <w:r>
        <w:rPr>
          <w:snapToGrid w:val="0"/>
          <w:color w:val="auto"/>
          <w:spacing w:val="-6"/>
          <w:kern w:val="21"/>
          <w:szCs w:val="21"/>
        </w:rPr>
        <w:fldChar w:fldCharType="separate"/>
      </w:r>
      <w:r>
        <w:rPr>
          <w:color w:val="auto"/>
          <w:szCs w:val="21"/>
        </w:rPr>
        <w:t>③</w:t>
      </w:r>
      <w:r>
        <w:rPr>
          <w:snapToGrid w:val="0"/>
          <w:color w:val="auto"/>
          <w:spacing w:val="-6"/>
          <w:kern w:val="21"/>
          <w:szCs w:val="21"/>
        </w:rPr>
        <w:fldChar w:fldCharType="end"/>
      </w:r>
      <w:r>
        <w:rPr>
          <w:snapToGrid w:val="0"/>
          <w:color w:val="auto"/>
          <w:spacing w:val="-6"/>
          <w:kern w:val="21"/>
          <w:szCs w:val="21"/>
        </w:rPr>
        <w:t>+</w:t>
      </w:r>
      <w:r>
        <w:rPr>
          <w:snapToGrid w:val="0"/>
          <w:color w:val="auto"/>
          <w:spacing w:val="-6"/>
          <w:kern w:val="21"/>
          <w:szCs w:val="21"/>
        </w:rPr>
        <w:fldChar w:fldCharType="begin"/>
      </w:r>
      <w:r>
        <w:rPr>
          <w:snapToGrid w:val="0"/>
          <w:color w:val="auto"/>
          <w:spacing w:val="-6"/>
          <w:kern w:val="21"/>
          <w:szCs w:val="21"/>
        </w:rPr>
        <w:instrText xml:space="preserve"> = 4 \* GB3 \* MERGEFORMAT </w:instrText>
      </w:r>
      <w:r>
        <w:rPr>
          <w:snapToGrid w:val="0"/>
          <w:color w:val="auto"/>
          <w:spacing w:val="-6"/>
          <w:kern w:val="21"/>
          <w:szCs w:val="21"/>
        </w:rPr>
        <w:fldChar w:fldCharType="separate"/>
      </w:r>
      <w:r>
        <w:rPr>
          <w:color w:val="auto"/>
          <w:szCs w:val="21"/>
        </w:rPr>
        <w:t>④</w:t>
      </w:r>
      <w:r>
        <w:rPr>
          <w:snapToGrid w:val="0"/>
          <w:color w:val="auto"/>
          <w:spacing w:val="-6"/>
          <w:kern w:val="21"/>
          <w:szCs w:val="21"/>
        </w:rPr>
        <w:fldChar w:fldCharType="end"/>
      </w:r>
      <w:r>
        <w:rPr>
          <w:snapToGrid w:val="0"/>
          <w:color w:val="auto"/>
          <w:spacing w:val="-6"/>
          <w:kern w:val="21"/>
          <w:szCs w:val="21"/>
        </w:rPr>
        <w:t>-</w:t>
      </w:r>
      <w:r>
        <w:rPr>
          <w:snapToGrid w:val="0"/>
          <w:color w:val="auto"/>
          <w:spacing w:val="-16"/>
          <w:kern w:val="21"/>
          <w:szCs w:val="21"/>
        </w:rPr>
        <w:fldChar w:fldCharType="begin"/>
      </w:r>
      <w:r>
        <w:rPr>
          <w:snapToGrid w:val="0"/>
          <w:color w:val="auto"/>
          <w:spacing w:val="-16"/>
          <w:kern w:val="21"/>
          <w:szCs w:val="21"/>
        </w:rPr>
        <w:instrText xml:space="preserve"> = 5 \* GB3 \* MERGEFORMAT </w:instrText>
      </w:r>
      <w:r>
        <w:rPr>
          <w:snapToGrid w:val="0"/>
          <w:color w:val="auto"/>
          <w:spacing w:val="-16"/>
          <w:kern w:val="21"/>
          <w:szCs w:val="21"/>
        </w:rPr>
        <w:fldChar w:fldCharType="separate"/>
      </w:r>
      <w:r>
        <w:rPr>
          <w:color w:val="auto"/>
          <w:szCs w:val="21"/>
        </w:rPr>
        <w:t>⑤</w:t>
      </w:r>
      <w:r>
        <w:rPr>
          <w:snapToGrid w:val="0"/>
          <w:color w:val="auto"/>
          <w:spacing w:val="-16"/>
          <w:kern w:val="21"/>
          <w:szCs w:val="21"/>
        </w:rPr>
        <w:fldChar w:fldCharType="end"/>
      </w:r>
      <w:r>
        <w:rPr>
          <w:snapToGrid w:val="0"/>
          <w:color w:val="auto"/>
          <w:spacing w:val="-16"/>
          <w:kern w:val="21"/>
          <w:szCs w:val="21"/>
        </w:rPr>
        <w:t>；</w:t>
      </w:r>
      <w:r>
        <w:rPr>
          <w:snapToGrid w:val="0"/>
          <w:color w:val="auto"/>
          <w:spacing w:val="-6"/>
          <w:kern w:val="21"/>
          <w:szCs w:val="21"/>
        </w:rPr>
        <w:fldChar w:fldCharType="begin"/>
      </w:r>
      <w:r>
        <w:rPr>
          <w:snapToGrid w:val="0"/>
          <w:color w:val="auto"/>
          <w:spacing w:val="-6"/>
          <w:kern w:val="21"/>
          <w:szCs w:val="21"/>
        </w:rPr>
        <w:instrText xml:space="preserve"> = 7 \* GB3 \* MERGEFORMAT </w:instrText>
      </w:r>
      <w:r>
        <w:rPr>
          <w:snapToGrid w:val="0"/>
          <w:color w:val="auto"/>
          <w:spacing w:val="-6"/>
          <w:kern w:val="21"/>
          <w:szCs w:val="21"/>
        </w:rPr>
        <w:fldChar w:fldCharType="separate"/>
      </w:r>
      <w:r>
        <w:rPr>
          <w:color w:val="auto"/>
          <w:szCs w:val="21"/>
        </w:rPr>
        <w:t>⑦</w:t>
      </w:r>
      <w:r>
        <w:rPr>
          <w:snapToGrid w:val="0"/>
          <w:color w:val="auto"/>
          <w:spacing w:val="-6"/>
          <w:kern w:val="21"/>
          <w:szCs w:val="21"/>
        </w:rPr>
        <w:fldChar w:fldCharType="end"/>
      </w:r>
      <w:r>
        <w:rPr>
          <w:snapToGrid w:val="0"/>
          <w:color w:val="auto"/>
          <w:spacing w:val="-6"/>
          <w:kern w:val="21"/>
          <w:szCs w:val="21"/>
        </w:rPr>
        <w:t>=</w:t>
      </w:r>
      <w:r>
        <w:rPr>
          <w:snapToGrid w:val="0"/>
          <w:color w:val="auto"/>
          <w:spacing w:val="-16"/>
          <w:kern w:val="21"/>
          <w:szCs w:val="21"/>
        </w:rPr>
        <w:fldChar w:fldCharType="begin"/>
      </w:r>
      <w:r>
        <w:rPr>
          <w:snapToGrid w:val="0"/>
          <w:color w:val="auto"/>
          <w:spacing w:val="-16"/>
          <w:kern w:val="21"/>
          <w:szCs w:val="21"/>
        </w:rPr>
        <w:instrText xml:space="preserve"> = 6 \* GB3 \* MERGEFORMAT </w:instrText>
      </w:r>
      <w:r>
        <w:rPr>
          <w:snapToGrid w:val="0"/>
          <w:color w:val="auto"/>
          <w:spacing w:val="-16"/>
          <w:kern w:val="21"/>
          <w:szCs w:val="21"/>
        </w:rPr>
        <w:fldChar w:fldCharType="separate"/>
      </w:r>
      <w:r>
        <w:rPr>
          <w:color w:val="auto"/>
          <w:szCs w:val="21"/>
        </w:rPr>
        <w:t>⑥</w:t>
      </w:r>
      <w:r>
        <w:rPr>
          <w:snapToGrid w:val="0"/>
          <w:color w:val="auto"/>
          <w:spacing w:val="-16"/>
          <w:kern w:val="21"/>
          <w:szCs w:val="21"/>
        </w:rPr>
        <w:fldChar w:fldCharType="end"/>
      </w:r>
      <w:r>
        <w:rPr>
          <w:snapToGrid w:val="0"/>
          <w:color w:val="auto"/>
          <w:spacing w:val="-16"/>
          <w:kern w:val="21"/>
          <w:szCs w:val="21"/>
        </w:rPr>
        <w:t>-</w:t>
      </w:r>
      <w:r>
        <w:rPr>
          <w:snapToGrid w:val="0"/>
          <w:color w:val="auto"/>
          <w:spacing w:val="-6"/>
          <w:kern w:val="21"/>
          <w:szCs w:val="21"/>
        </w:rPr>
        <w:fldChar w:fldCharType="begin"/>
      </w:r>
      <w:r>
        <w:rPr>
          <w:snapToGrid w:val="0"/>
          <w:color w:val="auto"/>
          <w:spacing w:val="-6"/>
          <w:kern w:val="21"/>
          <w:szCs w:val="21"/>
        </w:rPr>
        <w:instrText xml:space="preserve"> = 1 \* GB3 \* MERGEFORMAT </w:instrText>
      </w:r>
      <w:r>
        <w:rPr>
          <w:snapToGrid w:val="0"/>
          <w:color w:val="auto"/>
          <w:spacing w:val="-6"/>
          <w:kern w:val="21"/>
          <w:szCs w:val="21"/>
        </w:rPr>
        <w:fldChar w:fldCharType="separate"/>
      </w:r>
      <w:r>
        <w:rPr>
          <w:color w:val="auto"/>
          <w:szCs w:val="21"/>
        </w:rPr>
        <w:t>①</w:t>
      </w:r>
      <w:r>
        <w:rPr>
          <w:snapToGrid w:val="0"/>
          <w:color w:val="auto"/>
          <w:spacing w:val="-6"/>
          <w:kern w:val="21"/>
          <w:szCs w:val="21"/>
        </w:rPr>
        <w:fldChar w:fldCharType="end"/>
      </w:r>
    </w:p>
    <w:p>
      <w:pPr>
        <w:pStyle w:val="49"/>
        <w:rPr>
          <w:rFonts w:hint="eastAsia"/>
        </w:rPr>
      </w:pPr>
      <w:bookmarkStart w:id="15" w:name="_GoBack"/>
      <w:bookmarkEnd w:id="15"/>
    </w:p>
    <w:sectPr>
      <w:headerReference r:id="rId13" w:type="default"/>
      <w:footerReference r:id="rId14" w:type="default"/>
      <w:pgSz w:w="16838" w:h="11906" w:orient="landscape"/>
      <w:pgMar w:top="1797" w:right="1440" w:bottom="1797" w:left="1440"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34"/>
    <w:family w:val="roman"/>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幼圆">
    <w:panose1 w:val="02010509060101010101"/>
    <w:charset w:val="86"/>
    <w:family w:val="modern"/>
    <w:pitch w:val="default"/>
    <w:sig w:usb0="00000001" w:usb1="080E0000" w:usb2="00000000" w:usb3="00000000" w:csb0="00040000" w:csb1="00000000"/>
  </w:font>
  <w:font w:name="Cambria">
    <w:panose1 w:val="02040503050406030204"/>
    <w:charset w:val="00"/>
    <w:family w:val="roman"/>
    <w:pitch w:val="default"/>
    <w:sig w:usb0="E00006FF" w:usb1="420024FF" w:usb2="02000000" w:usb3="00000000" w:csb0="2000019F" w:csb1="00000000"/>
  </w:font>
  <w:font w:name="TimesNewRomanPSMT">
    <w:altName w:val="Times New Roman"/>
    <w:panose1 w:val="00000000000000000000"/>
    <w:charset w:val="00"/>
    <w:family w:val="roman"/>
    <w:pitch w:val="default"/>
    <w:sig w:usb0="00000000" w:usb1="00000000" w:usb2="00000000" w:usb3="00000000" w:csb0="00040001" w:csb1="00000000"/>
  </w:font>
  <w:font w:name="楷体_GB2312">
    <w:panose1 w:val="02010609030101010101"/>
    <w:charset w:val="86"/>
    <w:family w:val="modern"/>
    <w:pitch w:val="default"/>
    <w:sig w:usb0="00000001" w:usb1="080E0000" w:usb2="00000000" w:usb3="00000000" w:csb0="00040000" w:csb1="00000000"/>
  </w:font>
  <w:font w:name="Courier">
    <w:altName w:val="Courier New"/>
    <w:panose1 w:val="02070409020205020404"/>
    <w:charset w:val="00"/>
    <w:family w:val="modern"/>
    <w:pitch w:val="default"/>
    <w:sig w:usb0="00000000" w:usb1="00000000" w:usb2="00000000" w:usb3="00000000" w:csb0="00000001" w:csb1="00000000"/>
  </w:font>
  <w:font w:name="PMingLiU">
    <w:panose1 w:val="02020500000000000000"/>
    <w:charset w:val="88"/>
    <w:family w:val="roman"/>
    <w:pitch w:val="default"/>
    <w:sig w:usb0="A00002FF" w:usb1="28CFFCFA" w:usb2="00000016" w:usb3="00000000" w:csb0="00100001" w:csb1="00000000"/>
  </w:font>
  <w:font w:name="宋?">
    <w:altName w:val="宋体"/>
    <w:panose1 w:val="00000000000000000000"/>
    <w:charset w:val="81"/>
    <w:family w:val="auto"/>
    <w:pitch w:val="default"/>
    <w:sig w:usb0="00000000" w:usb1="00000000" w:usb2="00000010" w:usb3="00000000" w:csb0="00080000" w:csb1="00000000"/>
  </w:font>
  <w:font w:name="MingLiU">
    <w:panose1 w:val="02020509000000000000"/>
    <w:charset w:val="88"/>
    <w:family w:val="modern"/>
    <w:pitch w:val="default"/>
    <w:sig w:usb0="A00002FF" w:usb1="28CFFCFA" w:usb2="00000016" w:usb3="00000000" w:csb0="00100001" w:csb1="00000000"/>
  </w:font>
  <w:font w:name="华文中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ˎ̥">
    <w:altName w:val="hakuyoxingshu7000"/>
    <w:panose1 w:val="00000000000000000000"/>
    <w:charset w:val="00"/>
    <w:family w:val="roman"/>
    <w:pitch w:val="default"/>
    <w:sig w:usb0="00000000" w:usb1="00000000" w:usb2="00000000" w:usb3="00000000" w:csb0="00040001" w:csb1="00000000"/>
  </w:font>
  <w:font w:name="华文仿宋">
    <w:panose1 w:val="02010600040101010101"/>
    <w:charset w:val="86"/>
    <w:family w:val="auto"/>
    <w:pitch w:val="default"/>
    <w:sig w:usb0="00000287" w:usb1="080F0000" w:usb2="00000000" w:usb3="00000000" w:csb0="0004009F" w:csb1="DFD70000"/>
  </w:font>
  <w:font w:name="Arial Unicode MS">
    <w:panose1 w:val="020B0604020202020204"/>
    <w:charset w:val="86"/>
    <w:family w:val="swiss"/>
    <w:pitch w:val="default"/>
    <w:sig w:usb0="FFFFFFFF" w:usb1="E9FFFFFF" w:usb2="0000003F" w:usb3="00000000" w:csb0="603F01FF" w:csb1="FFFF0000"/>
  </w:font>
  <w:font w:name="方正小标宋_GBK">
    <w:altName w:val="Arial Unicode MS"/>
    <w:panose1 w:val="02000000000000000000"/>
    <w:charset w:val="86"/>
    <w:family w:val="roman"/>
    <w:pitch w:val="default"/>
    <w:sig w:usb0="00000000" w:usb1="00000000" w:usb2="00000000" w:usb3="00000000" w:csb0="00040000" w:csb1="00000000"/>
  </w:font>
  <w:font w:name="Wingdings 2">
    <w:panose1 w:val="05020102010507070707"/>
    <w:charset w:val="02"/>
    <w:family w:val="roman"/>
    <w:pitch w:val="default"/>
    <w:sig w:usb0="00000000" w:usb1="00000000" w:usb2="00000000" w:usb3="00000000" w:csb0="80000000" w:csb1="00000000"/>
  </w:font>
  <w:font w:name="仿宋体">
    <w:altName w:val="宋体"/>
    <w:panose1 w:val="02010600030101010101"/>
    <w:charset w:val="00"/>
    <w:family w:val="roman"/>
    <w:pitch w:val="default"/>
    <w:sig w:usb0="00000000" w:usb1="00000000" w:usb2="00000010" w:usb3="00000000" w:csb0="00040000" w:csb1="00000000"/>
  </w:font>
  <w:font w:name="Helvetica">
    <w:altName w:val="Arial"/>
    <w:panose1 w:val="020B0604020202020204"/>
    <w:charset w:val="00"/>
    <w:family w:val="swiss"/>
    <w:pitch w:val="default"/>
    <w:sig w:usb0="00000000" w:usb1="00000000" w:usb2="00000009" w:usb3="00000000" w:csb0="000001FF" w:csb1="00000000"/>
  </w:font>
  <w:font w:name="Arial">
    <w:panose1 w:val="020B0604020202020204"/>
    <w:charset w:val="00"/>
    <w:family w:val="auto"/>
    <w:pitch w:val="default"/>
    <w:sig w:usb0="E0002EFF" w:usb1="C000785B" w:usb2="00000009" w:usb3="00000000" w:csb0="400001FF" w:csb1="FFFF0000"/>
  </w:font>
  <w:font w:name="Courier New">
    <w:panose1 w:val="02070309020205020404"/>
    <w:charset w:val="00"/>
    <w:family w:val="auto"/>
    <w:pitch w:val="default"/>
    <w:sig w:usb0="E0002EFF" w:usb1="C0007843" w:usb2="00000009" w:usb3="00000000" w:csb0="400001FF" w:csb1="FFFF0000"/>
  </w:font>
  <w:font w:name="hakuyoxingshu7000">
    <w:panose1 w:val="02000600000000000000"/>
    <w:charset w:val="86"/>
    <w:family w:val="auto"/>
    <w:pitch w:val="default"/>
    <w:sig w:usb0="FFFFFFFF" w:usb1="E9FFFFFF" w:usb2="0000003F" w:usb3="00000000" w:csb0="603F00FF" w:csb1="FFFF0000"/>
  </w:font>
  <w:font w:name="等线">
    <w:panose1 w:val="02010600030101010101"/>
    <w:charset w:val="86"/>
    <w:family w:val="auto"/>
    <w:pitch w:val="default"/>
    <w:sig w:usb0="A00002BF" w:usb1="38CF7CFA" w:usb2="00000016" w:usb3="00000000" w:csb0="0004000F" w:csb1="00000000"/>
  </w:font>
  <w:font w:name="楷体">
    <w:panose1 w:val="02010609060101010101"/>
    <w:charset w:val="86"/>
    <w:family w:val="modern"/>
    <w:pitch w:val="default"/>
    <w:sig w:usb0="800002BF" w:usb1="38CF7CFA" w:usb2="00000016" w:usb3="00000000" w:csb0="00040001" w:csb1="00000000"/>
  </w:font>
  <w:font w:name="汉仪大黑简">
    <w:altName w:val="黑体"/>
    <w:panose1 w:val="02010600000101010101"/>
    <w:charset w:val="86"/>
    <w:family w:val="auto"/>
    <w:pitch w:val="default"/>
    <w:sig w:usb0="00000000" w:usb1="00000000" w:usb2="00000002" w:usb3="00000000" w:csb0="00040000" w:csb1="00000000"/>
  </w:font>
  <w:font w:name="汉仪书宋二S">
    <w:altName w:val="宋体"/>
    <w:panose1 w:val="00020600040101010101"/>
    <w:charset w:val="86"/>
    <w:family w:val="auto"/>
    <w:pitch w:val="default"/>
    <w:sig w:usb0="00000000" w:usb1="00000000" w:usb2="00000016" w:usb3="00000000" w:csb0="00040000" w:csb1="00000000"/>
  </w:font>
  <w:font w:name="东文宋体">
    <w:altName w:val="宋体"/>
    <w:panose1 w:val="00000000000000000000"/>
    <w:charset w:val="00"/>
    <w:family w:val="auto"/>
    <w:pitch w:val="default"/>
    <w:sig w:usb0="00000000" w:usb1="00000000" w:usb2="00000000" w:usb3="00000000" w:csb0="00040001" w:csb1="00000000"/>
  </w:font>
  <w:font w:name="汉仪中等线B5">
    <w:altName w:val="宋体"/>
    <w:panose1 w:val="0101010401010101010B"/>
    <w:charset w:val="86"/>
    <w:family w:val="auto"/>
    <w:pitch w:val="default"/>
    <w:sig w:usb0="00000000" w:usb1="00000000" w:usb2="00000000" w:usb3="00000000" w:csb0="00040001" w:csb1="00000000"/>
  </w:font>
  <w:font w:name="汉仪细圆B5">
    <w:altName w:val="Microsoft JhengHei UI"/>
    <w:panose1 w:val="02010600000101010101"/>
    <w:charset w:val="88"/>
    <w:family w:val="auto"/>
    <w:pitch w:val="default"/>
    <w:sig w:usb0="00000000" w:usb1="00000000" w:usb2="00000002" w:usb3="00000000" w:csb0="00100000" w:csb1="00000000"/>
  </w:font>
  <w:font w:name="Microsoft JhengHei UI">
    <w:panose1 w:val="020B0604030504040204"/>
    <w:charset w:val="88"/>
    <w:family w:val="auto"/>
    <w:pitch w:val="default"/>
    <w:sig w:usb0="000002A7" w:usb1="28CF4400" w:usb2="00000016" w:usb3="00000000" w:csb0="00100009" w:csb1="00000000"/>
  </w:font>
  <w:font w:name="Sim Sun">
    <w:altName w:val="仿宋"/>
    <w:panose1 w:val="00000000000000000000"/>
    <w:charset w:val="86"/>
    <w:family w:val="swiss"/>
    <w:pitch w:val="default"/>
    <w:sig w:usb0="00000000" w:usb1="00000000" w:usb2="00000010" w:usb3="00000000" w:csb0="00040000" w:csb1="00000000"/>
  </w:font>
  <w:font w:name="TimesNewRomanPSMT">
    <w:altName w:val="MS Gothic"/>
    <w:panose1 w:val="00000000000000000000"/>
    <w:charset w:val="80"/>
    <w:family w:val="auto"/>
    <w:pitch w:val="default"/>
    <w:sig w:usb0="00000000" w:usb1="0000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jc w:val="right"/>
    </w:pPr>
    <w:r>
      <w:fldChar w:fldCharType="begin"/>
    </w:r>
    <w:r>
      <w:instrText xml:space="preserve"> PAGE   \* MERGEFORMAT </w:instrText>
    </w:r>
    <w:r>
      <w:fldChar w:fldCharType="separate"/>
    </w:r>
    <w:r>
      <w:rPr>
        <w:lang w:val="zh-CN"/>
      </w:rPr>
      <w:t>2</w:t>
    </w:r>
    <w:r>
      <w:fldChar w:fldCharType="end"/>
    </w:r>
  </w:p>
  <w:p>
    <w:pPr>
      <w:pStyle w:val="23"/>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napToGrid w:val="0"/>
      <w:ind w:right="360" w:firstLine="360"/>
      <w:jc w:val="center"/>
      <w:rPr>
        <w:kern w:val="0"/>
        <w:sz w:val="18"/>
        <w:szCs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framePr w:wrap="around" w:vAnchor="text" w:hAnchor="margin" w:xAlign="center" w:y="1"/>
      <w:snapToGrid w:val="0"/>
      <w:jc w:val="left"/>
      <w:rPr>
        <w:rStyle w:val="45"/>
        <w:kern w:val="0"/>
        <w:sz w:val="18"/>
        <w:szCs w:val="20"/>
      </w:rPr>
    </w:pPr>
    <w:r>
      <w:rPr>
        <w:kern w:val="0"/>
        <w:sz w:val="18"/>
        <w:szCs w:val="20"/>
      </w:rPr>
      <w:fldChar w:fldCharType="begin"/>
    </w:r>
    <w:r>
      <w:rPr>
        <w:rStyle w:val="45"/>
        <w:kern w:val="0"/>
        <w:sz w:val="18"/>
        <w:szCs w:val="20"/>
      </w:rPr>
      <w:instrText xml:space="preserve">PAGE  </w:instrText>
    </w:r>
    <w:r>
      <w:rPr>
        <w:kern w:val="0"/>
        <w:sz w:val="18"/>
        <w:szCs w:val="20"/>
      </w:rPr>
      <w:fldChar w:fldCharType="end"/>
    </w:r>
  </w:p>
  <w:p>
    <w:pPr>
      <w:snapToGrid w:val="0"/>
      <w:ind w:right="360" w:firstLine="360"/>
      <w:jc w:val="left"/>
      <w:rPr>
        <w:kern w:val="0"/>
        <w:sz w:val="18"/>
        <w:szCs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napToGrid w:val="0"/>
      <w:jc w:val="left"/>
      <w:rPr>
        <w:kern w:val="0"/>
        <w:sz w:val="18"/>
        <w:szCs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79" name="文本框 1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2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VsIMYzAgAAZwQAAA4AAAAAAAAAAQAgAAAAHwEAAGRycy9lMm9Eb2MueG1sUEsF&#10;BgAAAAAGAAYAWQEAAMQFAAAAAA==&#10;">
              <v:path/>
              <v:fill on="f" focussize="0,0"/>
              <v:stroke on="f" weight="0.5pt" joinstyle="miter"/>
              <v:imagedata o:title=""/>
              <o:lock v:ext="edit"/>
              <v:textbox inset="0mm,0mm,0mm,0mm" style="mso-fit-shape-to-text:t;">
                <w:txbxContent>
                  <w:p>
                    <w:pPr>
                      <w:pStyle w:val="2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jc w:val="right"/>
    </w:pPr>
    <w:r>
      <w:fldChar w:fldCharType="begin"/>
    </w:r>
    <w:r>
      <w:instrText xml:space="preserve"> PAGE   \* MERGEFORMAT </w:instrText>
    </w:r>
    <w:r>
      <w:fldChar w:fldCharType="separate"/>
    </w:r>
    <w:r>
      <w:rPr>
        <w:lang w:val="zh-CN"/>
      </w:rPr>
      <w:t>51</w:t>
    </w:r>
    <w:r>
      <w:fldChar w:fldCharType="end"/>
    </w:r>
  </w:p>
  <w:p>
    <w:pPr>
      <w:pStyle w:val="23"/>
      <w:ind w:right="360" w:firstLine="360"/>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napToGrid w:val="0"/>
      <w:jc w:val="center"/>
      <w:rPr>
        <w:kern w:val="0"/>
        <w:sz w:val="18"/>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6" w:space="1"/>
      </w:pBdr>
      <w:snapToGrid w:val="0"/>
      <w:jc w:val="center"/>
      <w:rPr>
        <w:kern w:val="0"/>
        <w:sz w:val="18"/>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6" w:space="1"/>
      </w:pBdr>
      <w:snapToGrid w:val="0"/>
      <w:jc w:val="center"/>
      <w:rPr>
        <w:kern w:val="0"/>
        <w:sz w:val="18"/>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Bdr>
        <w:bottom w:val="none" w:color="auto" w:sz="0" w:space="0"/>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nThickSmallGap" w:color="auto" w:sz="12" w:space="1"/>
      </w:pBdr>
      <w:tabs>
        <w:tab w:val="center" w:pos="4153"/>
        <w:tab w:val="right" w:pos="8306"/>
      </w:tabs>
      <w:ind w:firstLine="0" w:firstLineChars="0"/>
      <w:jc w:val="left"/>
      <w:rPr>
        <w:sz w:val="24"/>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BEF15BD"/>
    <w:multiLevelType w:val="singleLevel"/>
    <w:tmpl w:val="BBEF15BD"/>
    <w:lvl w:ilvl="0" w:tentative="0">
      <w:start w:val="1"/>
      <w:numFmt w:val="chineseCounting"/>
      <w:suff w:val="nothing"/>
      <w:lvlText w:val="%1、"/>
      <w:lvlJc w:val="left"/>
      <w:rPr>
        <w:rFonts w:hint="eastAsia"/>
      </w:rPr>
    </w:lvl>
  </w:abstractNum>
  <w:abstractNum w:abstractNumId="1">
    <w:nsid w:val="BDF87C0C"/>
    <w:multiLevelType w:val="singleLevel"/>
    <w:tmpl w:val="BDF87C0C"/>
    <w:lvl w:ilvl="0" w:tentative="0">
      <w:start w:val="7"/>
      <w:numFmt w:val="decimal"/>
      <w:suff w:val="nothing"/>
      <w:lvlText w:val="%1、"/>
      <w:lvlJc w:val="left"/>
    </w:lvl>
  </w:abstractNum>
  <w:abstractNum w:abstractNumId="2">
    <w:nsid w:val="C04E5598"/>
    <w:multiLevelType w:val="singleLevel"/>
    <w:tmpl w:val="C04E5598"/>
    <w:lvl w:ilvl="0" w:tentative="0">
      <w:start w:val="1"/>
      <w:numFmt w:val="decimal"/>
      <w:suff w:val="nothing"/>
      <w:lvlText w:val="（%1）"/>
      <w:lvlJc w:val="left"/>
    </w:lvl>
  </w:abstractNum>
  <w:abstractNum w:abstractNumId="3">
    <w:nsid w:val="E7BF60B2"/>
    <w:multiLevelType w:val="singleLevel"/>
    <w:tmpl w:val="E7BF60B2"/>
    <w:lvl w:ilvl="0" w:tentative="0">
      <w:start w:val="2"/>
      <w:numFmt w:val="decimal"/>
      <w:suff w:val="nothing"/>
      <w:lvlText w:val="%1、"/>
      <w:lvlJc w:val="left"/>
    </w:lvl>
  </w:abstractNum>
  <w:abstractNum w:abstractNumId="4">
    <w:nsid w:val="EFBFB0AC"/>
    <w:multiLevelType w:val="singleLevel"/>
    <w:tmpl w:val="EFBFB0AC"/>
    <w:lvl w:ilvl="0" w:tentative="0">
      <w:start w:val="1"/>
      <w:numFmt w:val="decimal"/>
      <w:suff w:val="nothing"/>
      <w:lvlText w:val="%1）"/>
      <w:lvlJc w:val="left"/>
    </w:lvl>
  </w:abstractNum>
  <w:abstractNum w:abstractNumId="5">
    <w:nsid w:val="F9FFB76B"/>
    <w:multiLevelType w:val="singleLevel"/>
    <w:tmpl w:val="F9FFB76B"/>
    <w:lvl w:ilvl="0" w:tentative="0">
      <w:start w:val="4"/>
      <w:numFmt w:val="chineseCounting"/>
      <w:suff w:val="nothing"/>
      <w:lvlText w:val="%1、"/>
      <w:lvlJc w:val="left"/>
      <w:rPr>
        <w:rFonts w:hint="eastAsia"/>
      </w:rPr>
    </w:lvl>
  </w:abstractNum>
  <w:abstractNum w:abstractNumId="6">
    <w:nsid w:val="FFFA185A"/>
    <w:multiLevelType w:val="singleLevel"/>
    <w:tmpl w:val="FFFA185A"/>
    <w:lvl w:ilvl="0" w:tentative="0">
      <w:start w:val="2"/>
      <w:numFmt w:val="decimal"/>
      <w:suff w:val="nothing"/>
      <w:lvlText w:val="（%1）"/>
      <w:lvlJc w:val="left"/>
    </w:lvl>
  </w:abstractNum>
  <w:abstractNum w:abstractNumId="7">
    <w:nsid w:val="0000000F"/>
    <w:multiLevelType w:val="multilevel"/>
    <w:tmpl w:val="0000000F"/>
    <w:lvl w:ilvl="0" w:tentative="0">
      <w:start w:val="1"/>
      <w:numFmt w:val="decimal"/>
      <w:lvlText w:val="%1"/>
      <w:lvlJc w:val="left"/>
      <w:pPr>
        <w:tabs>
          <w:tab w:val="left" w:pos="432"/>
        </w:tabs>
        <w:ind w:left="432"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pStyle w:val="7"/>
      <w:lvlText w:val="%1.%2.%3.%4"/>
      <w:lvlJc w:val="left"/>
      <w:pPr>
        <w:tabs>
          <w:tab w:val="left" w:pos="864"/>
        </w:tabs>
        <w:ind w:left="864" w:hanging="864"/>
      </w:pPr>
      <w:rPr>
        <w:rFonts w:hint="eastAsia"/>
      </w:rPr>
    </w:lvl>
    <w:lvl w:ilvl="4" w:tentative="0">
      <w:start w:val="1"/>
      <w:numFmt w:val="decimal"/>
      <w:lvlText w:val="%1.%2.%3.%4.%5"/>
      <w:lvlJc w:val="left"/>
      <w:pPr>
        <w:tabs>
          <w:tab w:val="left" w:pos="1800"/>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8">
    <w:nsid w:val="456E0C30"/>
    <w:multiLevelType w:val="singleLevel"/>
    <w:tmpl w:val="456E0C30"/>
    <w:lvl w:ilvl="0" w:tentative="0">
      <w:start w:val="3"/>
      <w:numFmt w:val="decimal"/>
      <w:suff w:val="nothing"/>
      <w:lvlText w:val="%1）"/>
      <w:lvlJc w:val="left"/>
    </w:lvl>
  </w:abstractNum>
  <w:abstractNum w:abstractNumId="9">
    <w:nsid w:val="48273669"/>
    <w:multiLevelType w:val="multilevel"/>
    <w:tmpl w:val="48273669"/>
    <w:lvl w:ilvl="0" w:tentative="0">
      <w:start w:val="1"/>
      <w:numFmt w:val="decimal"/>
      <w:pStyle w:val="235"/>
      <w:suff w:val="nothing"/>
      <w:lvlText w:val="%1、"/>
      <w:lvlJc w:val="left"/>
      <w:pPr>
        <w:ind w:left="2121" w:hanging="420"/>
      </w:pPr>
      <w:rPr>
        <w:rFonts w:hint="default"/>
        <w:b/>
        <w:bCs/>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0">
    <w:nsid w:val="590C3712"/>
    <w:multiLevelType w:val="multilevel"/>
    <w:tmpl w:val="590C3712"/>
    <w:lvl w:ilvl="0" w:tentative="0">
      <w:start w:val="0"/>
      <w:numFmt w:val="none"/>
      <w:pStyle w:val="266"/>
      <w:lvlText w:val=""/>
      <w:lvlJc w:val="left"/>
      <w:pPr>
        <w:tabs>
          <w:tab w:val="left" w:pos="360"/>
        </w:tabs>
      </w:pPr>
    </w:lvl>
    <w:lvl w:ilvl="1" w:tentative="0">
      <w:start w:val="1"/>
      <w:numFmt w:val="lowerLetter"/>
      <w:lvlText w:val="%2)"/>
      <w:lvlJc w:val="left"/>
      <w:pPr>
        <w:ind w:left="840" w:hanging="420"/>
      </w:pPr>
      <w:rPr>
        <w:rFonts w:hint="default" w:ascii="宋体" w:hAnsi="宋体" w:eastAsia="宋体" w:cs="宋体"/>
      </w:rPr>
    </w:lvl>
    <w:lvl w:ilvl="2" w:tentative="0">
      <w:start w:val="1"/>
      <w:numFmt w:val="decimal"/>
      <w:lvlText w:val="%3."/>
      <w:lvlJc w:val="right"/>
      <w:pPr>
        <w:ind w:left="1260" w:hanging="420"/>
      </w:pPr>
      <w:rPr>
        <w:rFonts w:hint="default" w:ascii="宋体" w:hAnsi="宋体" w:eastAsia="宋体" w:cs="宋体"/>
      </w:rPr>
    </w:lvl>
    <w:lvl w:ilvl="3" w:tentative="0">
      <w:start w:val="1"/>
      <w:numFmt w:val="decimal"/>
      <w:lvlText w:val="%4."/>
      <w:lvlJc w:val="left"/>
      <w:pPr>
        <w:ind w:left="1680" w:hanging="420"/>
      </w:pPr>
      <w:rPr>
        <w:rFonts w:hint="default" w:ascii="宋体" w:hAnsi="宋体" w:eastAsia="宋体" w:cs="宋体"/>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1">
    <w:nsid w:val="61F03E03"/>
    <w:multiLevelType w:val="singleLevel"/>
    <w:tmpl w:val="61F03E03"/>
    <w:lvl w:ilvl="0" w:tentative="0">
      <w:start w:val="18"/>
      <w:numFmt w:val="chineseCounting"/>
      <w:suff w:val="space"/>
      <w:lvlText w:val="第%1条"/>
      <w:lvlJc w:val="left"/>
      <w:rPr>
        <w:rFonts w:hint="eastAsia"/>
      </w:rPr>
    </w:lvl>
  </w:abstractNum>
  <w:abstractNum w:abstractNumId="12">
    <w:nsid w:val="69262894"/>
    <w:multiLevelType w:val="singleLevel"/>
    <w:tmpl w:val="69262894"/>
    <w:lvl w:ilvl="0" w:tentative="0">
      <w:start w:val="1"/>
      <w:numFmt w:val="decimal"/>
      <w:suff w:val="nothing"/>
      <w:lvlText w:val="%1、"/>
      <w:lvlJc w:val="left"/>
    </w:lvl>
  </w:abstractNum>
  <w:abstractNum w:abstractNumId="13">
    <w:nsid w:val="7ED14685"/>
    <w:multiLevelType w:val="singleLevel"/>
    <w:tmpl w:val="7ED14685"/>
    <w:lvl w:ilvl="0" w:tentative="0">
      <w:start w:val="1"/>
      <w:numFmt w:val="bullet"/>
      <w:pStyle w:val="21"/>
      <w:lvlText w:val=""/>
      <w:lvlJc w:val="left"/>
      <w:pPr>
        <w:tabs>
          <w:tab w:val="left" w:pos="2040"/>
        </w:tabs>
        <w:ind w:left="2040" w:hanging="360"/>
      </w:pPr>
      <w:rPr>
        <w:rFonts w:hint="default" w:ascii="Wingdings" w:hAnsi="Wingdings"/>
      </w:rPr>
    </w:lvl>
  </w:abstractNum>
  <w:abstractNum w:abstractNumId="14">
    <w:nsid w:val="7F80CF0B"/>
    <w:multiLevelType w:val="singleLevel"/>
    <w:tmpl w:val="7F80CF0B"/>
    <w:lvl w:ilvl="0" w:tentative="0">
      <w:start w:val="7"/>
      <w:numFmt w:val="chineseCounting"/>
      <w:suff w:val="space"/>
      <w:lvlText w:val="第%1条"/>
      <w:lvlJc w:val="left"/>
      <w:rPr>
        <w:rFonts w:hint="eastAsia"/>
      </w:rPr>
    </w:lvl>
  </w:abstractNum>
  <w:num w:numId="1">
    <w:abstractNumId w:val="7"/>
  </w:num>
  <w:num w:numId="2">
    <w:abstractNumId w:val="13"/>
  </w:num>
  <w:num w:numId="3">
    <w:abstractNumId w:val="9"/>
  </w:num>
  <w:num w:numId="4">
    <w:abstractNumId w:val="10"/>
  </w:num>
  <w:num w:numId="5">
    <w:abstractNumId w:val="12"/>
  </w:num>
  <w:num w:numId="6">
    <w:abstractNumId w:val="1"/>
  </w:num>
  <w:num w:numId="7">
    <w:abstractNumId w:val="0"/>
  </w:num>
  <w:num w:numId="8">
    <w:abstractNumId w:val="3"/>
  </w:num>
  <w:num w:numId="9">
    <w:abstractNumId w:val="5"/>
  </w:num>
  <w:num w:numId="10">
    <w:abstractNumId w:val="4"/>
  </w:num>
  <w:num w:numId="11">
    <w:abstractNumId w:val="6"/>
  </w:num>
  <w:num w:numId="12">
    <w:abstractNumId w:val="2"/>
  </w:num>
  <w:num w:numId="13">
    <w:abstractNumId w:val="14"/>
  </w:num>
  <w:num w:numId="14">
    <w:abstractNumId w:val="11"/>
  </w:num>
  <w:num w:numId="15">
    <w:abstractNumId w:val="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过客">
    <w15:presenceInfo w15:providerId="None" w15:userId="过客"/>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endnotePr>
    <w:numFmt w:val="decimal"/>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VjOWU3MGM1YjYyNTZiNDkyOGFhMTZjNTVjZDM0NjgifQ=="/>
  </w:docVars>
  <w:rsids>
    <w:rsidRoot w:val="4CC51681"/>
    <w:rsid w:val="00143723"/>
    <w:rsid w:val="00150902"/>
    <w:rsid w:val="0025035E"/>
    <w:rsid w:val="006A2EAD"/>
    <w:rsid w:val="00854F9C"/>
    <w:rsid w:val="00955394"/>
    <w:rsid w:val="00B4697A"/>
    <w:rsid w:val="00CE1CF4"/>
    <w:rsid w:val="00D34727"/>
    <w:rsid w:val="00EA480F"/>
    <w:rsid w:val="00F53CD5"/>
    <w:rsid w:val="01392CC3"/>
    <w:rsid w:val="01594742"/>
    <w:rsid w:val="015E0AA1"/>
    <w:rsid w:val="01962E2B"/>
    <w:rsid w:val="01C74BCA"/>
    <w:rsid w:val="01D62705"/>
    <w:rsid w:val="021F4145"/>
    <w:rsid w:val="024E3BCD"/>
    <w:rsid w:val="02805672"/>
    <w:rsid w:val="02D87096"/>
    <w:rsid w:val="02E2183C"/>
    <w:rsid w:val="0307687D"/>
    <w:rsid w:val="035D21FD"/>
    <w:rsid w:val="03DF2239"/>
    <w:rsid w:val="045D3736"/>
    <w:rsid w:val="04AE0DC8"/>
    <w:rsid w:val="04B97B11"/>
    <w:rsid w:val="04C55C41"/>
    <w:rsid w:val="04E747C2"/>
    <w:rsid w:val="050A70B6"/>
    <w:rsid w:val="05180283"/>
    <w:rsid w:val="055C7BF2"/>
    <w:rsid w:val="05804E48"/>
    <w:rsid w:val="059C7B24"/>
    <w:rsid w:val="06614682"/>
    <w:rsid w:val="067512AC"/>
    <w:rsid w:val="0779268E"/>
    <w:rsid w:val="08195139"/>
    <w:rsid w:val="082D180C"/>
    <w:rsid w:val="08352131"/>
    <w:rsid w:val="083B1DE4"/>
    <w:rsid w:val="084F0D5C"/>
    <w:rsid w:val="08560496"/>
    <w:rsid w:val="087375D9"/>
    <w:rsid w:val="08932046"/>
    <w:rsid w:val="08D07CD7"/>
    <w:rsid w:val="08D609C0"/>
    <w:rsid w:val="09223322"/>
    <w:rsid w:val="093D7238"/>
    <w:rsid w:val="09D23B5C"/>
    <w:rsid w:val="0A300F3E"/>
    <w:rsid w:val="0A690A42"/>
    <w:rsid w:val="0ABA277E"/>
    <w:rsid w:val="0AD304EE"/>
    <w:rsid w:val="0B0D5A73"/>
    <w:rsid w:val="0B100C28"/>
    <w:rsid w:val="0B641641"/>
    <w:rsid w:val="0B737DFC"/>
    <w:rsid w:val="0C1E1312"/>
    <w:rsid w:val="0C266E4F"/>
    <w:rsid w:val="0C7F6F4E"/>
    <w:rsid w:val="0C946F6B"/>
    <w:rsid w:val="0CC777E5"/>
    <w:rsid w:val="0CDB0707"/>
    <w:rsid w:val="0DDD7799"/>
    <w:rsid w:val="0DFD3960"/>
    <w:rsid w:val="0E1657E1"/>
    <w:rsid w:val="0EBF382D"/>
    <w:rsid w:val="0EF0007C"/>
    <w:rsid w:val="0F2A6253"/>
    <w:rsid w:val="10D83537"/>
    <w:rsid w:val="10FB3257"/>
    <w:rsid w:val="1116403C"/>
    <w:rsid w:val="11A744E6"/>
    <w:rsid w:val="11CF60C1"/>
    <w:rsid w:val="1208464E"/>
    <w:rsid w:val="12614BA6"/>
    <w:rsid w:val="128B36DF"/>
    <w:rsid w:val="13707CF2"/>
    <w:rsid w:val="13C51721"/>
    <w:rsid w:val="14521FBF"/>
    <w:rsid w:val="14AE4611"/>
    <w:rsid w:val="150E5154"/>
    <w:rsid w:val="154D01F0"/>
    <w:rsid w:val="159A2B43"/>
    <w:rsid w:val="15AA5CF1"/>
    <w:rsid w:val="16223187"/>
    <w:rsid w:val="170718E6"/>
    <w:rsid w:val="175627CE"/>
    <w:rsid w:val="17A24F79"/>
    <w:rsid w:val="18047AE0"/>
    <w:rsid w:val="18C97015"/>
    <w:rsid w:val="18CA0832"/>
    <w:rsid w:val="192C0E0C"/>
    <w:rsid w:val="194B3136"/>
    <w:rsid w:val="197E6AA6"/>
    <w:rsid w:val="19903300"/>
    <w:rsid w:val="19AB256E"/>
    <w:rsid w:val="19F53607"/>
    <w:rsid w:val="1A1B7E99"/>
    <w:rsid w:val="1A2E4B26"/>
    <w:rsid w:val="1A3E41FA"/>
    <w:rsid w:val="1AA1295A"/>
    <w:rsid w:val="1AF12A44"/>
    <w:rsid w:val="1B1A26E2"/>
    <w:rsid w:val="1B306FCF"/>
    <w:rsid w:val="1B3D691D"/>
    <w:rsid w:val="1B4C7724"/>
    <w:rsid w:val="1BED4E39"/>
    <w:rsid w:val="1C1F0578"/>
    <w:rsid w:val="1C28039D"/>
    <w:rsid w:val="1D4650ED"/>
    <w:rsid w:val="1D753DB0"/>
    <w:rsid w:val="1D915310"/>
    <w:rsid w:val="1D962123"/>
    <w:rsid w:val="1DC70DEC"/>
    <w:rsid w:val="1DDF4CD2"/>
    <w:rsid w:val="1E042A1B"/>
    <w:rsid w:val="1E25248A"/>
    <w:rsid w:val="1E3F2025"/>
    <w:rsid w:val="1F9A238D"/>
    <w:rsid w:val="1FDC1987"/>
    <w:rsid w:val="1FDE7D08"/>
    <w:rsid w:val="203F12C3"/>
    <w:rsid w:val="206146C8"/>
    <w:rsid w:val="20645E17"/>
    <w:rsid w:val="20C71CD9"/>
    <w:rsid w:val="21000432"/>
    <w:rsid w:val="211D50C8"/>
    <w:rsid w:val="216A4C05"/>
    <w:rsid w:val="21863D0D"/>
    <w:rsid w:val="2216046A"/>
    <w:rsid w:val="223B4BFE"/>
    <w:rsid w:val="22644AB9"/>
    <w:rsid w:val="22876AFD"/>
    <w:rsid w:val="23163EB2"/>
    <w:rsid w:val="2427107E"/>
    <w:rsid w:val="245A3DCA"/>
    <w:rsid w:val="24B94350"/>
    <w:rsid w:val="253F118A"/>
    <w:rsid w:val="2578310B"/>
    <w:rsid w:val="25D8356A"/>
    <w:rsid w:val="25E71BEC"/>
    <w:rsid w:val="25EC6ED5"/>
    <w:rsid w:val="25F015C5"/>
    <w:rsid w:val="26571D40"/>
    <w:rsid w:val="266F149F"/>
    <w:rsid w:val="27804D47"/>
    <w:rsid w:val="28145128"/>
    <w:rsid w:val="282838DA"/>
    <w:rsid w:val="28571D32"/>
    <w:rsid w:val="294D084D"/>
    <w:rsid w:val="29933722"/>
    <w:rsid w:val="29AA51F0"/>
    <w:rsid w:val="29DA4EBE"/>
    <w:rsid w:val="2A3253DE"/>
    <w:rsid w:val="2A356872"/>
    <w:rsid w:val="2A546059"/>
    <w:rsid w:val="2A5D2D01"/>
    <w:rsid w:val="2AF27BEF"/>
    <w:rsid w:val="2B0077CF"/>
    <w:rsid w:val="2B01741F"/>
    <w:rsid w:val="2B1C040B"/>
    <w:rsid w:val="2B1F6EF2"/>
    <w:rsid w:val="2B71731C"/>
    <w:rsid w:val="2BB0437F"/>
    <w:rsid w:val="2C3D5164"/>
    <w:rsid w:val="2CD261A7"/>
    <w:rsid w:val="2D321CC8"/>
    <w:rsid w:val="2D6477FE"/>
    <w:rsid w:val="2D833FE8"/>
    <w:rsid w:val="2D85397D"/>
    <w:rsid w:val="2DEE303D"/>
    <w:rsid w:val="2DF7769F"/>
    <w:rsid w:val="2DFF55A7"/>
    <w:rsid w:val="2EAE0106"/>
    <w:rsid w:val="2EC652B2"/>
    <w:rsid w:val="2F344423"/>
    <w:rsid w:val="305212CF"/>
    <w:rsid w:val="30CF1B19"/>
    <w:rsid w:val="30FD7924"/>
    <w:rsid w:val="311E24FD"/>
    <w:rsid w:val="315A5151"/>
    <w:rsid w:val="31746F9C"/>
    <w:rsid w:val="31873AFA"/>
    <w:rsid w:val="31E45D99"/>
    <w:rsid w:val="325B6989"/>
    <w:rsid w:val="32B722E3"/>
    <w:rsid w:val="32E55AEF"/>
    <w:rsid w:val="336C325E"/>
    <w:rsid w:val="34C60C67"/>
    <w:rsid w:val="350E0B57"/>
    <w:rsid w:val="353C3345"/>
    <w:rsid w:val="353C3CAC"/>
    <w:rsid w:val="354B7504"/>
    <w:rsid w:val="35A35FAD"/>
    <w:rsid w:val="36106FD5"/>
    <w:rsid w:val="36B01313"/>
    <w:rsid w:val="36B93809"/>
    <w:rsid w:val="36C631E8"/>
    <w:rsid w:val="371F41A4"/>
    <w:rsid w:val="3788036E"/>
    <w:rsid w:val="37A924CB"/>
    <w:rsid w:val="383F1698"/>
    <w:rsid w:val="38534CB7"/>
    <w:rsid w:val="38A56D41"/>
    <w:rsid w:val="38B54033"/>
    <w:rsid w:val="39212C99"/>
    <w:rsid w:val="39740B10"/>
    <w:rsid w:val="398639BF"/>
    <w:rsid w:val="39A26D13"/>
    <w:rsid w:val="39AE25A1"/>
    <w:rsid w:val="39F914CF"/>
    <w:rsid w:val="3A147AAC"/>
    <w:rsid w:val="3A2E248B"/>
    <w:rsid w:val="3AFE72DB"/>
    <w:rsid w:val="3B2565A9"/>
    <w:rsid w:val="3B993EB6"/>
    <w:rsid w:val="3BE15BA1"/>
    <w:rsid w:val="3C1B6DEE"/>
    <w:rsid w:val="3CAD29AD"/>
    <w:rsid w:val="3CCF454A"/>
    <w:rsid w:val="3CE25A6A"/>
    <w:rsid w:val="3D6852CB"/>
    <w:rsid w:val="3D9D1094"/>
    <w:rsid w:val="3E3D6F14"/>
    <w:rsid w:val="3E576F63"/>
    <w:rsid w:val="3E6A3F16"/>
    <w:rsid w:val="3E7E1783"/>
    <w:rsid w:val="3F0223F3"/>
    <w:rsid w:val="3F281E38"/>
    <w:rsid w:val="3FC6242C"/>
    <w:rsid w:val="3FD35A41"/>
    <w:rsid w:val="3FDC4DBB"/>
    <w:rsid w:val="40061E82"/>
    <w:rsid w:val="405E0770"/>
    <w:rsid w:val="40616FB3"/>
    <w:rsid w:val="40722C94"/>
    <w:rsid w:val="40994365"/>
    <w:rsid w:val="40C8628A"/>
    <w:rsid w:val="40FF6E50"/>
    <w:rsid w:val="41104488"/>
    <w:rsid w:val="414A56C0"/>
    <w:rsid w:val="4162197F"/>
    <w:rsid w:val="41722AF1"/>
    <w:rsid w:val="41DD508C"/>
    <w:rsid w:val="425303BA"/>
    <w:rsid w:val="428E3330"/>
    <w:rsid w:val="42AB7666"/>
    <w:rsid w:val="42BB005F"/>
    <w:rsid w:val="42BC36B5"/>
    <w:rsid w:val="42C72DDD"/>
    <w:rsid w:val="441F2B8F"/>
    <w:rsid w:val="444B7C62"/>
    <w:rsid w:val="44B5606C"/>
    <w:rsid w:val="454113CA"/>
    <w:rsid w:val="456316C1"/>
    <w:rsid w:val="459A4837"/>
    <w:rsid w:val="45F770A4"/>
    <w:rsid w:val="463A687E"/>
    <w:rsid w:val="465E7AF3"/>
    <w:rsid w:val="46756B4D"/>
    <w:rsid w:val="467B7704"/>
    <w:rsid w:val="467E26A2"/>
    <w:rsid w:val="468A57EA"/>
    <w:rsid w:val="46CC0674"/>
    <w:rsid w:val="472C7DB9"/>
    <w:rsid w:val="473B76F4"/>
    <w:rsid w:val="478A6064"/>
    <w:rsid w:val="47DB3EB5"/>
    <w:rsid w:val="47DD5A16"/>
    <w:rsid w:val="47F30BAC"/>
    <w:rsid w:val="489F51E6"/>
    <w:rsid w:val="49033AA7"/>
    <w:rsid w:val="49053025"/>
    <w:rsid w:val="49605F29"/>
    <w:rsid w:val="496A1820"/>
    <w:rsid w:val="49AE2C09"/>
    <w:rsid w:val="49F03E63"/>
    <w:rsid w:val="4A4302F3"/>
    <w:rsid w:val="4A9D7730"/>
    <w:rsid w:val="4A9F4ED2"/>
    <w:rsid w:val="4AEB31A1"/>
    <w:rsid w:val="4B35253D"/>
    <w:rsid w:val="4B3F5B3D"/>
    <w:rsid w:val="4B484E83"/>
    <w:rsid w:val="4BAC2D11"/>
    <w:rsid w:val="4BF55372"/>
    <w:rsid w:val="4C2F4549"/>
    <w:rsid w:val="4C3E3B1C"/>
    <w:rsid w:val="4C4A104E"/>
    <w:rsid w:val="4C756707"/>
    <w:rsid w:val="4CA11C08"/>
    <w:rsid w:val="4CB730C8"/>
    <w:rsid w:val="4CC51681"/>
    <w:rsid w:val="4D886208"/>
    <w:rsid w:val="4DAB0432"/>
    <w:rsid w:val="4DCA4FE5"/>
    <w:rsid w:val="4DCE2983"/>
    <w:rsid w:val="4E0232B1"/>
    <w:rsid w:val="4E9F2A5D"/>
    <w:rsid w:val="4F38594F"/>
    <w:rsid w:val="4F515FE9"/>
    <w:rsid w:val="4F9414B9"/>
    <w:rsid w:val="4FA12AF2"/>
    <w:rsid w:val="4FD16792"/>
    <w:rsid w:val="502425D9"/>
    <w:rsid w:val="50BA4FC9"/>
    <w:rsid w:val="50BC6D86"/>
    <w:rsid w:val="50E02679"/>
    <w:rsid w:val="50FA58BC"/>
    <w:rsid w:val="51382F51"/>
    <w:rsid w:val="51A92E83"/>
    <w:rsid w:val="51C31DA4"/>
    <w:rsid w:val="523650DE"/>
    <w:rsid w:val="52912564"/>
    <w:rsid w:val="52DE77D4"/>
    <w:rsid w:val="52E96F1C"/>
    <w:rsid w:val="52EF4BF8"/>
    <w:rsid w:val="532A43C2"/>
    <w:rsid w:val="533E09D9"/>
    <w:rsid w:val="534A733C"/>
    <w:rsid w:val="53702B43"/>
    <w:rsid w:val="54467018"/>
    <w:rsid w:val="54B92662"/>
    <w:rsid w:val="550D2678"/>
    <w:rsid w:val="5586388A"/>
    <w:rsid w:val="55DA22E2"/>
    <w:rsid w:val="563B3990"/>
    <w:rsid w:val="568360A8"/>
    <w:rsid w:val="568B2EA3"/>
    <w:rsid w:val="56A277AC"/>
    <w:rsid w:val="56C660B4"/>
    <w:rsid w:val="56CB1DE5"/>
    <w:rsid w:val="575D3FBB"/>
    <w:rsid w:val="57C06D11"/>
    <w:rsid w:val="57D263DD"/>
    <w:rsid w:val="58107F8D"/>
    <w:rsid w:val="581C7926"/>
    <w:rsid w:val="584A7F36"/>
    <w:rsid w:val="587A1A63"/>
    <w:rsid w:val="587A54B2"/>
    <w:rsid w:val="59074BA6"/>
    <w:rsid w:val="592D7C8F"/>
    <w:rsid w:val="594D7F0C"/>
    <w:rsid w:val="598835F0"/>
    <w:rsid w:val="59E978B5"/>
    <w:rsid w:val="5AC121E6"/>
    <w:rsid w:val="5AF13DA4"/>
    <w:rsid w:val="5B82786A"/>
    <w:rsid w:val="5B8B5CB2"/>
    <w:rsid w:val="5C3C7AB7"/>
    <w:rsid w:val="5C8F3A65"/>
    <w:rsid w:val="5CF45604"/>
    <w:rsid w:val="5D467400"/>
    <w:rsid w:val="5DAA141C"/>
    <w:rsid w:val="5DDB1CC1"/>
    <w:rsid w:val="5E491B7D"/>
    <w:rsid w:val="5EC1721C"/>
    <w:rsid w:val="5ED04E54"/>
    <w:rsid w:val="5EDF2450"/>
    <w:rsid w:val="5F5373F4"/>
    <w:rsid w:val="5F8B122C"/>
    <w:rsid w:val="5F9D7EB8"/>
    <w:rsid w:val="5FEB54B0"/>
    <w:rsid w:val="60130582"/>
    <w:rsid w:val="60432D29"/>
    <w:rsid w:val="608C29D5"/>
    <w:rsid w:val="60BA0BE9"/>
    <w:rsid w:val="61157D57"/>
    <w:rsid w:val="616E3CD7"/>
    <w:rsid w:val="61755907"/>
    <w:rsid w:val="61926F26"/>
    <w:rsid w:val="61E20692"/>
    <w:rsid w:val="62995E01"/>
    <w:rsid w:val="62CF0CE3"/>
    <w:rsid w:val="62ED2CC5"/>
    <w:rsid w:val="63334C22"/>
    <w:rsid w:val="636276DD"/>
    <w:rsid w:val="637D16D3"/>
    <w:rsid w:val="639867C6"/>
    <w:rsid w:val="64286496"/>
    <w:rsid w:val="6442109A"/>
    <w:rsid w:val="644F43BE"/>
    <w:rsid w:val="646A5445"/>
    <w:rsid w:val="648C47B0"/>
    <w:rsid w:val="649E470F"/>
    <w:rsid w:val="64A47949"/>
    <w:rsid w:val="64E03700"/>
    <w:rsid w:val="655A2533"/>
    <w:rsid w:val="656761A5"/>
    <w:rsid w:val="65CD7172"/>
    <w:rsid w:val="65D67186"/>
    <w:rsid w:val="66157F1F"/>
    <w:rsid w:val="666A4FEF"/>
    <w:rsid w:val="66A12197"/>
    <w:rsid w:val="671E5E43"/>
    <w:rsid w:val="67AA3780"/>
    <w:rsid w:val="685052AC"/>
    <w:rsid w:val="685755C8"/>
    <w:rsid w:val="69BA63AE"/>
    <w:rsid w:val="69CE253D"/>
    <w:rsid w:val="69F11EE7"/>
    <w:rsid w:val="6A12081F"/>
    <w:rsid w:val="6A1D516C"/>
    <w:rsid w:val="6A4F3A38"/>
    <w:rsid w:val="6A9E1BFD"/>
    <w:rsid w:val="6B8F0760"/>
    <w:rsid w:val="6BD21C54"/>
    <w:rsid w:val="6BEE2099"/>
    <w:rsid w:val="6C25268D"/>
    <w:rsid w:val="6C6A4035"/>
    <w:rsid w:val="6D0C615C"/>
    <w:rsid w:val="6D1E1452"/>
    <w:rsid w:val="6D36105C"/>
    <w:rsid w:val="6E403CB0"/>
    <w:rsid w:val="6E636184"/>
    <w:rsid w:val="6EDB28FB"/>
    <w:rsid w:val="6F186B7B"/>
    <w:rsid w:val="6F5F241C"/>
    <w:rsid w:val="6F931BF6"/>
    <w:rsid w:val="6FBE275D"/>
    <w:rsid w:val="700B3E3B"/>
    <w:rsid w:val="707A0433"/>
    <w:rsid w:val="708E3E12"/>
    <w:rsid w:val="71F73062"/>
    <w:rsid w:val="71FB7042"/>
    <w:rsid w:val="722C4FFE"/>
    <w:rsid w:val="727D3B15"/>
    <w:rsid w:val="728C6699"/>
    <w:rsid w:val="72B2437C"/>
    <w:rsid w:val="73051FF0"/>
    <w:rsid w:val="735A50DF"/>
    <w:rsid w:val="73A05C9A"/>
    <w:rsid w:val="73CB008F"/>
    <w:rsid w:val="7406705E"/>
    <w:rsid w:val="748C52D0"/>
    <w:rsid w:val="748D2974"/>
    <w:rsid w:val="74BE4E6C"/>
    <w:rsid w:val="75784937"/>
    <w:rsid w:val="75956B13"/>
    <w:rsid w:val="75F37958"/>
    <w:rsid w:val="76394AFB"/>
    <w:rsid w:val="76A1624D"/>
    <w:rsid w:val="76EF20B0"/>
    <w:rsid w:val="776275E7"/>
    <w:rsid w:val="776F0544"/>
    <w:rsid w:val="7774199C"/>
    <w:rsid w:val="77AF4A80"/>
    <w:rsid w:val="781B2AFE"/>
    <w:rsid w:val="7835040A"/>
    <w:rsid w:val="78692CD8"/>
    <w:rsid w:val="78A2151A"/>
    <w:rsid w:val="790C7AD8"/>
    <w:rsid w:val="79474801"/>
    <w:rsid w:val="79E562A1"/>
    <w:rsid w:val="7AAD61DE"/>
    <w:rsid w:val="7AD711F4"/>
    <w:rsid w:val="7ADA12B7"/>
    <w:rsid w:val="7B603DFE"/>
    <w:rsid w:val="7D397C15"/>
    <w:rsid w:val="7E62389E"/>
    <w:rsid w:val="7E623D4C"/>
    <w:rsid w:val="7E6A5CE2"/>
    <w:rsid w:val="7E942C4C"/>
    <w:rsid w:val="7EAD0578"/>
    <w:rsid w:val="7FF31989"/>
    <w:rsid w:val="7FFEF811"/>
    <w:rsid w:val="97F6AAFE"/>
    <w:rsid w:val="BFFF2AFE"/>
    <w:rsid w:val="FB9EEC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0"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nhideWhenUsed="0" w:uiPriority="0" w:semiHidden="0" w:name="caption"/>
    <w:lsdException w:qFormat="1" w:unhideWhenUsed="0" w:uiPriority="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qFormat="1" w:unhideWhenUsed="0" w:uiPriority="99"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59"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4"/>
      <w:szCs w:val="24"/>
      <w:lang w:val="en-US" w:eastAsia="zh-CN" w:bidi="ar-SA"/>
    </w:rPr>
  </w:style>
  <w:style w:type="paragraph" w:styleId="3">
    <w:name w:val="heading 1"/>
    <w:basedOn w:val="4"/>
    <w:next w:val="1"/>
    <w:link w:val="88"/>
    <w:qFormat/>
    <w:uiPriority w:val="0"/>
    <w:pPr>
      <w:keepNext/>
      <w:keepLines/>
      <w:adjustRightInd w:val="0"/>
      <w:snapToGrid w:val="0"/>
      <w:spacing w:before="50" w:beforeLines="50" w:after="50" w:afterLines="50" w:line="360" w:lineRule="auto"/>
      <w:jc w:val="center"/>
      <w:outlineLvl w:val="0"/>
    </w:pPr>
    <w:rPr>
      <w:rFonts w:ascii="黑体" w:hAnsi="黑体" w:eastAsia="黑体"/>
      <w:snapToGrid w:val="0"/>
      <w:color w:val="000000"/>
      <w:sz w:val="32"/>
    </w:rPr>
  </w:style>
  <w:style w:type="paragraph" w:styleId="5">
    <w:name w:val="heading 2"/>
    <w:basedOn w:val="1"/>
    <w:next w:val="1"/>
    <w:link w:val="183"/>
    <w:qFormat/>
    <w:uiPriority w:val="0"/>
    <w:pPr>
      <w:keepNext/>
      <w:keepLines/>
      <w:adjustRightInd w:val="0"/>
      <w:snapToGrid w:val="0"/>
      <w:spacing w:line="360" w:lineRule="auto"/>
      <w:outlineLvl w:val="1"/>
    </w:pPr>
    <w:rPr>
      <w:rFonts w:ascii="黑体" w:hAnsi="宋体" w:eastAsia="Times New Roman"/>
      <w:b/>
      <w:bCs/>
      <w:snapToGrid w:val="0"/>
      <w:kern w:val="0"/>
      <w:szCs w:val="20"/>
    </w:rPr>
  </w:style>
  <w:style w:type="paragraph" w:styleId="6">
    <w:name w:val="heading 3"/>
    <w:basedOn w:val="1"/>
    <w:next w:val="1"/>
    <w:link w:val="275"/>
    <w:qFormat/>
    <w:uiPriority w:val="0"/>
    <w:pPr>
      <w:keepNext/>
      <w:keepLines/>
      <w:spacing w:line="360" w:lineRule="auto"/>
      <w:outlineLvl w:val="2"/>
    </w:pPr>
    <w:rPr>
      <w:rFonts w:ascii="黑体" w:hAnsi="宋体" w:eastAsia="Times New Roman"/>
      <w:bCs/>
      <w:snapToGrid w:val="0"/>
      <w:kern w:val="0"/>
      <w:szCs w:val="20"/>
    </w:rPr>
  </w:style>
  <w:style w:type="paragraph" w:styleId="7">
    <w:name w:val="heading 4"/>
    <w:basedOn w:val="1"/>
    <w:next w:val="1"/>
    <w:link w:val="255"/>
    <w:qFormat/>
    <w:uiPriority w:val="0"/>
    <w:pPr>
      <w:keepNext/>
      <w:keepLines/>
      <w:numPr>
        <w:ilvl w:val="3"/>
        <w:numId w:val="1"/>
      </w:numPr>
      <w:snapToGrid w:val="0"/>
      <w:spacing w:line="460" w:lineRule="atLeast"/>
      <w:outlineLvl w:val="3"/>
    </w:pPr>
    <w:rPr>
      <w:b/>
      <w:szCs w:val="20"/>
    </w:rPr>
  </w:style>
  <w:style w:type="paragraph" w:styleId="8">
    <w:name w:val="heading 5"/>
    <w:basedOn w:val="1"/>
    <w:next w:val="1"/>
    <w:link w:val="99"/>
    <w:qFormat/>
    <w:uiPriority w:val="0"/>
    <w:pPr>
      <w:ind w:firstLine="482" w:firstLineChars="0"/>
      <w:jc w:val="center"/>
      <w:outlineLvl w:val="4"/>
    </w:pPr>
    <w:rPr>
      <w:b/>
      <w:bCs/>
      <w:sz w:val="21"/>
      <w:szCs w:val="28"/>
    </w:rPr>
  </w:style>
  <w:style w:type="character" w:default="1" w:styleId="43">
    <w:name w:val="Default Paragraph Font"/>
    <w:semiHidden/>
    <w:unhideWhenUsed/>
    <w:qFormat/>
    <w:uiPriority w:val="1"/>
  </w:style>
  <w:style w:type="table" w:default="1" w:styleId="41">
    <w:name w:val="Normal Table"/>
    <w:semiHidden/>
    <w:unhideWhenUsed/>
    <w:qFormat/>
    <w:uiPriority w:val="99"/>
    <w:tblPr>
      <w:tblCellMar>
        <w:top w:w="0" w:type="dxa"/>
        <w:left w:w="108" w:type="dxa"/>
        <w:bottom w:w="0" w:type="dxa"/>
        <w:right w:w="108" w:type="dxa"/>
      </w:tblCellMar>
    </w:tblPr>
  </w:style>
  <w:style w:type="paragraph" w:styleId="2">
    <w:name w:val="Body Text Indent 2"/>
    <w:basedOn w:val="1"/>
    <w:next w:val="1"/>
    <w:qFormat/>
    <w:uiPriority w:val="0"/>
    <w:pPr>
      <w:adjustRightInd w:val="0"/>
      <w:snapToGrid w:val="0"/>
      <w:spacing w:line="360" w:lineRule="auto"/>
      <w:ind w:firstLine="480" w:firstLineChars="200"/>
    </w:pPr>
    <w:rPr>
      <w:rFonts w:ascii="宋体" w:hAnsi="宋体"/>
      <w:snapToGrid w:val="0"/>
      <w:color w:val="339966"/>
      <w:kern w:val="0"/>
    </w:rPr>
  </w:style>
  <w:style w:type="paragraph" w:styleId="4">
    <w:name w:val="Title"/>
    <w:basedOn w:val="1"/>
    <w:next w:val="1"/>
    <w:qFormat/>
    <w:uiPriority w:val="0"/>
    <w:pPr>
      <w:spacing w:before="240" w:after="60"/>
      <w:jc w:val="center"/>
      <w:outlineLvl w:val="0"/>
    </w:pPr>
    <w:rPr>
      <w:rFonts w:ascii="Cambria" w:hAnsi="Cambria"/>
      <w:b/>
      <w:bCs/>
      <w:sz w:val="32"/>
      <w:szCs w:val="32"/>
    </w:rPr>
  </w:style>
  <w:style w:type="paragraph" w:styleId="9">
    <w:name w:val="Normal Indent"/>
    <w:basedOn w:val="1"/>
    <w:next w:val="1"/>
    <w:link w:val="74"/>
    <w:qFormat/>
    <w:uiPriority w:val="0"/>
    <w:pPr>
      <w:ind w:firstLine="420"/>
    </w:pPr>
    <w:rPr>
      <w:szCs w:val="20"/>
    </w:rPr>
  </w:style>
  <w:style w:type="paragraph" w:styleId="10">
    <w:name w:val="caption"/>
    <w:basedOn w:val="1"/>
    <w:next w:val="1"/>
    <w:qFormat/>
    <w:uiPriority w:val="0"/>
    <w:pPr>
      <w:adjustRightInd w:val="0"/>
      <w:spacing w:before="152" w:after="160" w:line="240" w:lineRule="exact"/>
      <w:jc w:val="center"/>
      <w:textAlignment w:val="baseline"/>
    </w:pPr>
    <w:rPr>
      <w:kern w:val="0"/>
    </w:rPr>
  </w:style>
  <w:style w:type="paragraph" w:styleId="11">
    <w:name w:val="toa heading"/>
    <w:basedOn w:val="1"/>
    <w:next w:val="1"/>
    <w:qFormat/>
    <w:uiPriority w:val="0"/>
    <w:pPr>
      <w:spacing w:before="120"/>
    </w:pPr>
    <w:rPr>
      <w:rFonts w:ascii="Arial" w:hAnsi="Arial" w:cs="Arial"/>
    </w:rPr>
  </w:style>
  <w:style w:type="paragraph" w:styleId="12">
    <w:name w:val="annotation text"/>
    <w:basedOn w:val="1"/>
    <w:link w:val="83"/>
    <w:qFormat/>
    <w:uiPriority w:val="0"/>
    <w:pPr>
      <w:jc w:val="left"/>
    </w:pPr>
  </w:style>
  <w:style w:type="paragraph" w:styleId="13">
    <w:name w:val="Salutation"/>
    <w:basedOn w:val="1"/>
    <w:next w:val="1"/>
    <w:qFormat/>
    <w:uiPriority w:val="0"/>
    <w:pPr>
      <w:jc w:val="left"/>
    </w:pPr>
    <w:rPr>
      <w:rFonts w:ascii="Times New Roman" w:hAnsi="Times New Roman" w:eastAsia="仿宋_GB2312"/>
      <w:sz w:val="32"/>
    </w:rPr>
  </w:style>
  <w:style w:type="paragraph" w:styleId="14">
    <w:name w:val="Body Text 3"/>
    <w:basedOn w:val="1"/>
    <w:qFormat/>
    <w:uiPriority w:val="0"/>
    <w:pPr>
      <w:spacing w:line="360" w:lineRule="auto"/>
    </w:pPr>
    <w:rPr>
      <w:rFonts w:ascii="仿宋_GB2312" w:eastAsia="仿宋_GB2312"/>
      <w:sz w:val="24"/>
    </w:rPr>
  </w:style>
  <w:style w:type="paragraph" w:styleId="15">
    <w:name w:val="Body Text"/>
    <w:basedOn w:val="1"/>
    <w:next w:val="1"/>
    <w:qFormat/>
    <w:uiPriority w:val="0"/>
    <w:pPr>
      <w:spacing w:after="120"/>
    </w:pPr>
  </w:style>
  <w:style w:type="paragraph" w:styleId="16">
    <w:name w:val="Body Text Indent"/>
    <w:basedOn w:val="1"/>
    <w:next w:val="1"/>
    <w:qFormat/>
    <w:uiPriority w:val="0"/>
    <w:pPr>
      <w:adjustRightInd w:val="0"/>
      <w:snapToGrid w:val="0"/>
      <w:spacing w:line="360" w:lineRule="auto"/>
      <w:ind w:firstLine="480"/>
    </w:pPr>
    <w:rPr>
      <w:bCs/>
      <w:kern w:val="0"/>
    </w:rPr>
  </w:style>
  <w:style w:type="paragraph" w:styleId="17">
    <w:name w:val="Block Text"/>
    <w:basedOn w:val="1"/>
    <w:qFormat/>
    <w:uiPriority w:val="0"/>
    <w:pPr>
      <w:spacing w:after="120"/>
      <w:ind w:left="1440" w:leftChars="700" w:right="700" w:rightChars="700"/>
    </w:pPr>
    <w:rPr>
      <w:rFonts w:ascii="Calibri" w:hAnsi="Calibri"/>
      <w:szCs w:val="20"/>
    </w:rPr>
  </w:style>
  <w:style w:type="paragraph" w:styleId="18">
    <w:name w:val="toc 3"/>
    <w:basedOn w:val="1"/>
    <w:next w:val="1"/>
    <w:qFormat/>
    <w:uiPriority w:val="0"/>
    <w:pPr>
      <w:ind w:left="840" w:leftChars="400"/>
    </w:pPr>
  </w:style>
  <w:style w:type="paragraph" w:styleId="19">
    <w:name w:val="Plain Text"/>
    <w:basedOn w:val="1"/>
    <w:next w:val="20"/>
    <w:qFormat/>
    <w:uiPriority w:val="0"/>
    <w:rPr>
      <w:rFonts w:ascii="宋体" w:hAnsi="Courier New"/>
      <w:szCs w:val="20"/>
    </w:rPr>
  </w:style>
  <w:style w:type="paragraph" w:customStyle="1" w:styleId="20">
    <w:name w:val="正本"/>
    <w:basedOn w:val="1"/>
    <w:qFormat/>
    <w:uiPriority w:val="0"/>
    <w:pPr>
      <w:adjustRightInd w:val="0"/>
      <w:snapToGrid w:val="0"/>
      <w:spacing w:line="360" w:lineRule="auto"/>
      <w:ind w:firstLine="200" w:firstLineChars="200"/>
    </w:pPr>
    <w:rPr>
      <w:kern w:val="2"/>
      <w:sz w:val="24"/>
      <w:szCs w:val="24"/>
      <w:lang w:val="en-US" w:bidi="ar-SA"/>
    </w:rPr>
  </w:style>
  <w:style w:type="paragraph" w:styleId="21">
    <w:name w:val="List Bullet 5"/>
    <w:basedOn w:val="1"/>
    <w:qFormat/>
    <w:uiPriority w:val="0"/>
    <w:pPr>
      <w:numPr>
        <w:ilvl w:val="0"/>
        <w:numId w:val="2"/>
      </w:numPr>
    </w:pPr>
  </w:style>
  <w:style w:type="paragraph" w:styleId="22">
    <w:name w:val="Date"/>
    <w:basedOn w:val="1"/>
    <w:next w:val="1"/>
    <w:qFormat/>
    <w:uiPriority w:val="0"/>
    <w:rPr>
      <w:szCs w:val="20"/>
    </w:rPr>
  </w:style>
  <w:style w:type="paragraph" w:styleId="23">
    <w:name w:val="footer"/>
    <w:basedOn w:val="1"/>
    <w:qFormat/>
    <w:uiPriority w:val="0"/>
    <w:pPr>
      <w:tabs>
        <w:tab w:val="center" w:pos="4153"/>
        <w:tab w:val="right" w:pos="8306"/>
      </w:tabs>
      <w:snapToGrid w:val="0"/>
      <w:jc w:val="left"/>
    </w:pPr>
    <w:rPr>
      <w:sz w:val="18"/>
      <w:szCs w:val="18"/>
    </w:rPr>
  </w:style>
  <w:style w:type="paragraph" w:styleId="24">
    <w:name w:val="header"/>
    <w:basedOn w:val="1"/>
    <w:next w:val="25"/>
    <w:qFormat/>
    <w:uiPriority w:val="0"/>
    <w:pPr>
      <w:pBdr>
        <w:bottom w:val="single" w:color="auto" w:sz="6" w:space="1"/>
      </w:pBdr>
      <w:tabs>
        <w:tab w:val="center" w:pos="4153"/>
        <w:tab w:val="right" w:pos="8306"/>
      </w:tabs>
      <w:snapToGrid w:val="0"/>
      <w:spacing w:line="240" w:lineRule="atLeast"/>
      <w:jc w:val="center"/>
    </w:pPr>
    <w:rPr>
      <w:rFonts w:ascii="幼圆" w:eastAsia="幼圆"/>
      <w:sz w:val="18"/>
      <w:szCs w:val="18"/>
    </w:rPr>
  </w:style>
  <w:style w:type="paragraph" w:customStyle="1" w:styleId="25">
    <w:name w:val="样式5"/>
    <w:basedOn w:val="26"/>
    <w:link w:val="269"/>
    <w:qFormat/>
    <w:uiPriority w:val="0"/>
    <w:pPr>
      <w:spacing w:line="360" w:lineRule="auto"/>
      <w:ind w:firstLine="1446" w:firstLineChars="200"/>
      <w:jc w:val="both"/>
    </w:pPr>
    <w:rPr>
      <w:sz w:val="24"/>
    </w:rPr>
  </w:style>
  <w:style w:type="paragraph" w:customStyle="1" w:styleId="26">
    <w:name w:val="样式3"/>
    <w:basedOn w:val="9"/>
    <w:qFormat/>
    <w:uiPriority w:val="0"/>
    <w:pPr>
      <w:snapToGrid/>
      <w:spacing w:line="520" w:lineRule="atLeast"/>
      <w:ind w:firstLine="560"/>
      <w:jc w:val="left"/>
    </w:pPr>
    <w:rPr>
      <w:kern w:val="0"/>
      <w:sz w:val="28"/>
    </w:rPr>
  </w:style>
  <w:style w:type="paragraph" w:styleId="27">
    <w:name w:val="toc 1"/>
    <w:basedOn w:val="1"/>
    <w:next w:val="1"/>
    <w:qFormat/>
    <w:uiPriority w:val="39"/>
    <w:pPr>
      <w:spacing w:before="120" w:after="120"/>
      <w:jc w:val="left"/>
    </w:pPr>
    <w:rPr>
      <w:rFonts w:ascii="Calibri" w:hAnsi="Calibri" w:cs="Calibri"/>
      <w:b/>
      <w:bCs/>
      <w:caps/>
      <w:sz w:val="20"/>
      <w:szCs w:val="20"/>
    </w:rPr>
  </w:style>
  <w:style w:type="paragraph" w:styleId="28">
    <w:name w:val="toc 4"/>
    <w:basedOn w:val="1"/>
    <w:next w:val="1"/>
    <w:qFormat/>
    <w:uiPriority w:val="0"/>
    <w:pPr>
      <w:ind w:left="1260" w:leftChars="600"/>
    </w:pPr>
  </w:style>
  <w:style w:type="paragraph" w:styleId="29">
    <w:name w:val="index heading"/>
    <w:basedOn w:val="1"/>
    <w:next w:val="30"/>
    <w:qFormat/>
    <w:uiPriority w:val="0"/>
    <w:rPr>
      <w:szCs w:val="20"/>
    </w:rPr>
  </w:style>
  <w:style w:type="paragraph" w:styleId="30">
    <w:name w:val="index 1"/>
    <w:basedOn w:val="1"/>
    <w:next w:val="1"/>
    <w:qFormat/>
    <w:uiPriority w:val="0"/>
    <w:pPr>
      <w:adjustRightInd w:val="0"/>
      <w:spacing w:before="60"/>
      <w:textAlignment w:val="baseline"/>
    </w:pPr>
    <w:rPr>
      <w:sz w:val="24"/>
      <w:szCs w:val="20"/>
    </w:rPr>
  </w:style>
  <w:style w:type="paragraph" w:styleId="31">
    <w:name w:val="List"/>
    <w:basedOn w:val="1"/>
    <w:next w:val="1"/>
    <w:qFormat/>
    <w:uiPriority w:val="99"/>
    <w:pPr>
      <w:ind w:left="200" w:hanging="200" w:hangingChars="200"/>
    </w:pPr>
    <w:rPr>
      <w:szCs w:val="20"/>
    </w:rPr>
  </w:style>
  <w:style w:type="paragraph" w:styleId="32">
    <w:name w:val="Body Text Indent 3"/>
    <w:basedOn w:val="1"/>
    <w:qFormat/>
    <w:uiPriority w:val="0"/>
    <w:pPr>
      <w:spacing w:line="360" w:lineRule="auto"/>
      <w:ind w:firstLine="480" w:firstLineChars="200"/>
    </w:pPr>
    <w:rPr>
      <w:rFonts w:ascii="宋体"/>
      <w:sz w:val="24"/>
    </w:rPr>
  </w:style>
  <w:style w:type="paragraph" w:styleId="33">
    <w:name w:val="table of figures"/>
    <w:basedOn w:val="1"/>
    <w:next w:val="1"/>
    <w:semiHidden/>
    <w:qFormat/>
    <w:uiPriority w:val="0"/>
    <w:pPr>
      <w:ind w:left="200" w:leftChars="200" w:hanging="200" w:hangingChars="200"/>
    </w:pPr>
  </w:style>
  <w:style w:type="paragraph" w:styleId="34">
    <w:name w:val="toc 2"/>
    <w:basedOn w:val="1"/>
    <w:next w:val="1"/>
    <w:qFormat/>
    <w:uiPriority w:val="39"/>
    <w:pPr>
      <w:ind w:left="240"/>
      <w:jc w:val="left"/>
    </w:pPr>
    <w:rPr>
      <w:rFonts w:ascii="Calibri" w:hAnsi="Calibri" w:cs="Calibri"/>
      <w:smallCaps/>
      <w:sz w:val="20"/>
      <w:szCs w:val="20"/>
    </w:rPr>
  </w:style>
  <w:style w:type="paragraph" w:styleId="35">
    <w:name w:val="Body Text 2"/>
    <w:basedOn w:val="1"/>
    <w:next w:val="1"/>
    <w:qFormat/>
    <w:uiPriority w:val="0"/>
    <w:pPr>
      <w:spacing w:after="120" w:line="480" w:lineRule="auto"/>
    </w:pPr>
  </w:style>
  <w:style w:type="paragraph" w:styleId="36">
    <w:name w:val="HTML Preformatted"/>
    <w:basedOn w:val="1"/>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rPr>
  </w:style>
  <w:style w:type="paragraph" w:styleId="37">
    <w:name w:val="Normal (Web)"/>
    <w:basedOn w:val="1"/>
    <w:next w:val="1"/>
    <w:qFormat/>
    <w:uiPriority w:val="99"/>
  </w:style>
  <w:style w:type="paragraph" w:styleId="38">
    <w:name w:val="annotation subject"/>
    <w:basedOn w:val="12"/>
    <w:next w:val="12"/>
    <w:link w:val="84"/>
    <w:qFormat/>
    <w:uiPriority w:val="0"/>
    <w:rPr>
      <w:b/>
      <w:bCs/>
    </w:rPr>
  </w:style>
  <w:style w:type="paragraph" w:styleId="39">
    <w:name w:val="Body Text First Indent"/>
    <w:basedOn w:val="15"/>
    <w:next w:val="1"/>
    <w:qFormat/>
    <w:uiPriority w:val="0"/>
    <w:pPr>
      <w:ind w:firstLine="420" w:firstLineChars="100"/>
    </w:pPr>
    <w:rPr>
      <w:rFonts w:ascii="黑体" w:hAnsi="黑体"/>
      <w:spacing w:val="10"/>
      <w:sz w:val="21"/>
    </w:rPr>
  </w:style>
  <w:style w:type="paragraph" w:styleId="40">
    <w:name w:val="Body Text First Indent 2"/>
    <w:basedOn w:val="16"/>
    <w:next w:val="1"/>
    <w:qFormat/>
    <w:uiPriority w:val="0"/>
    <w:pPr>
      <w:adjustRightInd/>
      <w:snapToGrid/>
      <w:spacing w:after="120" w:line="240" w:lineRule="auto"/>
      <w:ind w:left="420" w:leftChars="200" w:firstLine="420" w:firstLineChars="200"/>
    </w:pPr>
    <w:rPr>
      <w:bCs w:val="0"/>
      <w:kern w:val="2"/>
      <w:sz w:val="21"/>
    </w:rPr>
  </w:style>
  <w:style w:type="table" w:styleId="42">
    <w:name w:val="Table Grid"/>
    <w:basedOn w:val="4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4">
    <w:name w:val="Strong"/>
    <w:basedOn w:val="43"/>
    <w:qFormat/>
    <w:uiPriority w:val="0"/>
    <w:rPr>
      <w:b/>
    </w:rPr>
  </w:style>
  <w:style w:type="character" w:styleId="45">
    <w:name w:val="page number"/>
    <w:basedOn w:val="43"/>
    <w:qFormat/>
    <w:uiPriority w:val="0"/>
    <w:rPr>
      <w:rFonts w:ascii="宋体" w:hAnsi="宋体" w:eastAsia="宋体" w:cs="宋体"/>
      <w:kern w:val="2"/>
      <w:sz w:val="24"/>
      <w:szCs w:val="24"/>
      <w:lang w:val="en-US" w:eastAsia="zh-CN" w:bidi="ar-SA"/>
    </w:rPr>
  </w:style>
  <w:style w:type="character" w:styleId="46">
    <w:name w:val="Emphasis"/>
    <w:basedOn w:val="43"/>
    <w:qFormat/>
    <w:uiPriority w:val="0"/>
    <w:rPr>
      <w:i/>
      <w:iCs/>
    </w:rPr>
  </w:style>
  <w:style w:type="character" w:styleId="47">
    <w:name w:val="Hyperlink"/>
    <w:basedOn w:val="43"/>
    <w:qFormat/>
    <w:uiPriority w:val="99"/>
    <w:rPr>
      <w:rFonts w:ascii="宋体" w:hAnsi="宋体" w:eastAsia="宋体" w:cs="宋体"/>
      <w:color w:val="0000FF"/>
      <w:kern w:val="2"/>
      <w:sz w:val="24"/>
      <w:szCs w:val="24"/>
      <w:u w:val="single"/>
      <w:lang w:val="en-US" w:eastAsia="zh-CN" w:bidi="ar-SA"/>
    </w:rPr>
  </w:style>
  <w:style w:type="character" w:styleId="48">
    <w:name w:val="annotation reference"/>
    <w:basedOn w:val="43"/>
    <w:qFormat/>
    <w:uiPriority w:val="0"/>
    <w:rPr>
      <w:sz w:val="21"/>
      <w:szCs w:val="21"/>
    </w:rPr>
  </w:style>
  <w:style w:type="paragraph" w:customStyle="1" w:styleId="49">
    <w:name w:val="Default1"/>
    <w:qFormat/>
    <w:uiPriority w:val="0"/>
    <w:pPr>
      <w:widowControl w:val="0"/>
      <w:autoSpaceDE w:val="0"/>
      <w:autoSpaceDN w:val="0"/>
      <w:adjustRightInd w:val="0"/>
      <w:jc w:val="center"/>
    </w:pPr>
    <w:rPr>
      <w:rFonts w:ascii="Times New Roman" w:hAnsi="Times New Roman" w:eastAsia="宋体" w:cs="宋体"/>
      <w:b/>
      <w:color w:val="000000"/>
      <w:sz w:val="21"/>
      <w:szCs w:val="24"/>
      <w:lang w:val="en-US" w:eastAsia="zh-CN" w:bidi="ar-SA"/>
    </w:rPr>
  </w:style>
  <w:style w:type="paragraph" w:customStyle="1" w:styleId="50">
    <w:name w:val="简单回函地址"/>
    <w:basedOn w:val="1"/>
    <w:next w:val="51"/>
    <w:qFormat/>
    <w:uiPriority w:val="0"/>
    <w:rPr>
      <w:szCs w:val="20"/>
    </w:rPr>
  </w:style>
  <w:style w:type="paragraph" w:customStyle="1" w:styleId="51">
    <w:name w:val="正文2"/>
    <w:basedOn w:val="1"/>
    <w:next w:val="1"/>
    <w:qFormat/>
    <w:uiPriority w:val="0"/>
    <w:pPr>
      <w:ind w:firstLine="200"/>
    </w:pPr>
  </w:style>
  <w:style w:type="paragraph" w:customStyle="1" w:styleId="52">
    <w:name w:val="Char4 Char Char Char Char Char Char1"/>
    <w:basedOn w:val="1"/>
    <w:qFormat/>
    <w:uiPriority w:val="0"/>
    <w:pPr>
      <w:spacing w:line="360" w:lineRule="auto"/>
      <w:ind w:firstLine="200" w:firstLineChars="200"/>
    </w:pPr>
    <w:rPr>
      <w:rFonts w:ascii="宋体" w:cs="宋体"/>
      <w:sz w:val="24"/>
    </w:rPr>
  </w:style>
  <w:style w:type="paragraph" w:customStyle="1" w:styleId="53">
    <w:name w:val="0正文"/>
    <w:basedOn w:val="16"/>
    <w:unhideWhenUsed/>
    <w:qFormat/>
    <w:uiPriority w:val="0"/>
    <w:pPr>
      <w:ind w:firstLine="720"/>
    </w:pPr>
  </w:style>
  <w:style w:type="paragraph" w:customStyle="1" w:styleId="54">
    <w:name w:val="Default"/>
    <w:basedOn w:val="55"/>
    <w:next w:val="1"/>
    <w:link w:val="213"/>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55">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56">
    <w:name w:val="纯文本1"/>
    <w:basedOn w:val="1"/>
    <w:qFormat/>
    <w:uiPriority w:val="0"/>
    <w:rPr>
      <w:rFonts w:ascii="宋体" w:hAnsi="Courier New"/>
      <w:kern w:val="0"/>
      <w:sz w:val="20"/>
      <w:szCs w:val="20"/>
    </w:rPr>
  </w:style>
  <w:style w:type="paragraph" w:customStyle="1" w:styleId="57">
    <w:name w:val="1 表头"/>
    <w:basedOn w:val="1"/>
    <w:qFormat/>
    <w:uiPriority w:val="0"/>
    <w:pPr>
      <w:adjustRightInd w:val="0"/>
      <w:snapToGrid w:val="0"/>
      <w:spacing w:line="240" w:lineRule="auto"/>
      <w:ind w:firstLine="0" w:firstLineChars="0"/>
      <w:jc w:val="center"/>
    </w:pPr>
    <w:rPr>
      <w:b/>
      <w:color w:val="000000"/>
      <w:sz w:val="21"/>
      <w:szCs w:val="21"/>
    </w:rPr>
  </w:style>
  <w:style w:type="paragraph" w:customStyle="1" w:styleId="58">
    <w:name w:val="表文"/>
    <w:basedOn w:val="1"/>
    <w:next w:val="1"/>
    <w:qFormat/>
    <w:uiPriority w:val="0"/>
    <w:pPr>
      <w:overflowPunct w:val="0"/>
      <w:topLinePunct/>
      <w:spacing w:line="320" w:lineRule="exact"/>
      <w:jc w:val="center"/>
      <w:outlineLvl w:val="6"/>
    </w:pPr>
    <w:rPr>
      <w:kern w:val="0"/>
      <w:sz w:val="18"/>
      <w:szCs w:val="18"/>
    </w:rPr>
  </w:style>
  <w:style w:type="paragraph" w:customStyle="1" w:styleId="59">
    <w:name w:val="报告"/>
    <w:basedOn w:val="1"/>
    <w:qFormat/>
    <w:uiPriority w:val="0"/>
    <w:pPr>
      <w:adjustRightInd w:val="0"/>
      <w:spacing w:line="360" w:lineRule="auto"/>
      <w:ind w:firstLine="505"/>
      <w:textAlignment w:val="baseline"/>
    </w:pPr>
    <w:rPr>
      <w:kern w:val="0"/>
      <w:szCs w:val="20"/>
    </w:rPr>
  </w:style>
  <w:style w:type="paragraph" w:customStyle="1" w:styleId="60">
    <w:name w:val="主体"/>
    <w:qFormat/>
    <w:uiPriority w:val="0"/>
    <w:pPr>
      <w:widowControl w:val="0"/>
      <w:autoSpaceDE w:val="0"/>
      <w:autoSpaceDN w:val="0"/>
      <w:spacing w:line="440" w:lineRule="exact"/>
      <w:ind w:firstLine="480" w:firstLineChars="200"/>
      <w:jc w:val="both"/>
    </w:pPr>
    <w:rPr>
      <w:rFonts w:ascii="Times New Roman" w:hAnsi="Times New Roman" w:eastAsia="仿宋_GB2312" w:cs="Times New Roman"/>
      <w:bCs/>
      <w:kern w:val="2"/>
      <w:sz w:val="24"/>
      <w:szCs w:val="24"/>
      <w:lang w:val="en-US" w:eastAsia="zh-CN" w:bidi="ar-SA"/>
    </w:rPr>
  </w:style>
  <w:style w:type="character" w:customStyle="1" w:styleId="61">
    <w:name w:val="fontstyle11"/>
    <w:qFormat/>
    <w:uiPriority w:val="0"/>
    <w:rPr>
      <w:rFonts w:ascii="TimesNewRomanPSMT" w:hAnsi="TimesNewRomanPSMT" w:eastAsia="TimesNewRomanPSMT" w:cs="TimesNewRomanPSMT"/>
      <w:color w:val="000000"/>
      <w:kern w:val="0"/>
      <w:sz w:val="24"/>
      <w:szCs w:val="24"/>
    </w:rPr>
  </w:style>
  <w:style w:type="table" w:customStyle="1" w:styleId="62">
    <w:name w:val="报告表格式新建"/>
    <w:basedOn w:val="41"/>
    <w:qFormat/>
    <w:uiPriority w:val="99"/>
    <w:pPr>
      <w:jc w:val="center"/>
    </w:pPr>
    <w:rPr>
      <w:sz w:val="18"/>
    </w:rPr>
    <w:tblPr>
      <w:tblBorders>
        <w:top w:val="single" w:color="auto" w:sz="12" w:space="0"/>
        <w:bottom w:val="single" w:color="auto" w:sz="12" w:space="0"/>
        <w:insideH w:val="single" w:color="auto" w:sz="8" w:space="0"/>
        <w:insideV w:val="single" w:color="auto" w:sz="8" w:space="0"/>
      </w:tblBorders>
    </w:tblPr>
    <w:tcPr>
      <w:vAlign w:val="center"/>
    </w:tcPr>
  </w:style>
  <w:style w:type="paragraph" w:customStyle="1" w:styleId="63">
    <w:name w:val="样式 首行缩进:  2 字符"/>
    <w:basedOn w:val="1"/>
    <w:qFormat/>
    <w:uiPriority w:val="0"/>
    <w:pPr>
      <w:ind w:right="11" w:firstLine="480" w:firstLineChars="200"/>
    </w:pPr>
    <w:rPr>
      <w:bCs/>
    </w:rPr>
  </w:style>
  <w:style w:type="paragraph" w:customStyle="1" w:styleId="64">
    <w:name w:val="1文章"/>
    <w:basedOn w:val="1"/>
    <w:qFormat/>
    <w:uiPriority w:val="0"/>
    <w:pPr>
      <w:snapToGrid w:val="0"/>
      <w:spacing w:line="360" w:lineRule="auto"/>
      <w:ind w:firstLine="573"/>
    </w:pPr>
    <w:rPr>
      <w:rFonts w:eastAsia="仿宋_GB2312"/>
      <w:sz w:val="28"/>
    </w:rPr>
  </w:style>
  <w:style w:type="paragraph" w:customStyle="1" w:styleId="65">
    <w:name w:val="报告书"/>
    <w:basedOn w:val="1"/>
    <w:qFormat/>
    <w:uiPriority w:val="0"/>
    <w:pPr>
      <w:autoSpaceDE w:val="0"/>
      <w:autoSpaceDN w:val="0"/>
      <w:adjustRightInd w:val="0"/>
      <w:spacing w:line="360" w:lineRule="auto"/>
      <w:ind w:firstLine="480" w:firstLineChars="200"/>
      <w:textAlignment w:val="bottom"/>
    </w:pPr>
    <w:rPr>
      <w:rFonts w:hAnsi="宋体"/>
      <w:bCs/>
      <w:kern w:val="0"/>
    </w:rPr>
  </w:style>
  <w:style w:type="paragraph" w:customStyle="1" w:styleId="66">
    <w:name w:val="填表内容"/>
    <w:basedOn w:val="1"/>
    <w:qFormat/>
    <w:uiPriority w:val="0"/>
    <w:pPr>
      <w:adjustRightInd w:val="0"/>
      <w:jc w:val="center"/>
    </w:pPr>
    <w:rPr>
      <w:kern w:val="0"/>
      <w:sz w:val="21"/>
      <w:szCs w:val="20"/>
    </w:rPr>
  </w:style>
  <w:style w:type="character" w:customStyle="1" w:styleId="67">
    <w:name w:val="fontstyle01"/>
    <w:basedOn w:val="43"/>
    <w:qFormat/>
    <w:uiPriority w:val="0"/>
    <w:rPr>
      <w:rFonts w:ascii="宋体" w:hAnsi="宋体" w:eastAsia="宋体" w:cs="宋体"/>
      <w:color w:val="000000"/>
      <w:kern w:val="0"/>
      <w:sz w:val="24"/>
      <w:szCs w:val="24"/>
    </w:rPr>
  </w:style>
  <w:style w:type="paragraph" w:customStyle="1" w:styleId="68">
    <w:name w:val="xyb自建正文"/>
    <w:basedOn w:val="1"/>
    <w:qFormat/>
    <w:uiPriority w:val="0"/>
    <w:pPr>
      <w:adjustRightInd w:val="0"/>
      <w:snapToGrid w:val="0"/>
      <w:spacing w:line="360" w:lineRule="auto"/>
      <w:ind w:firstLine="480" w:firstLineChars="200"/>
      <w:textAlignment w:val="baseline"/>
    </w:pPr>
    <w:rPr>
      <w:snapToGrid w:val="0"/>
      <w:kern w:val="0"/>
    </w:rPr>
  </w:style>
  <w:style w:type="paragraph" w:customStyle="1" w:styleId="69">
    <w:name w:val="列表段落1"/>
    <w:basedOn w:val="1"/>
    <w:qFormat/>
    <w:uiPriority w:val="0"/>
    <w:pPr>
      <w:ind w:firstLine="420" w:firstLineChars="200"/>
    </w:pPr>
    <w:rPr>
      <w:rFonts w:ascii="Calibri" w:hAnsi="Calibri"/>
      <w:szCs w:val="22"/>
    </w:rPr>
  </w:style>
  <w:style w:type="paragraph" w:customStyle="1" w:styleId="70">
    <w:name w:val="Zw"/>
    <w:basedOn w:val="1"/>
    <w:next w:val="1"/>
    <w:qFormat/>
    <w:uiPriority w:val="0"/>
    <w:pPr>
      <w:spacing w:line="360" w:lineRule="auto"/>
      <w:ind w:firstLine="200" w:firstLineChars="200"/>
    </w:pPr>
    <w:rPr>
      <w:rFonts w:ascii="宋体" w:hAnsi="宋体" w:cs="宋体"/>
    </w:rPr>
  </w:style>
  <w:style w:type="character" w:customStyle="1" w:styleId="71">
    <w:name w:val="fontstyle21"/>
    <w:basedOn w:val="43"/>
    <w:qFormat/>
    <w:uiPriority w:val="0"/>
    <w:rPr>
      <w:rFonts w:ascii="TimesNewRomanPSMT" w:hAnsi="TimesNewRomanPSMT" w:eastAsia="TimesNewRomanPSMT" w:cs="TimesNewRomanPSMT"/>
      <w:color w:val="000000"/>
      <w:kern w:val="0"/>
      <w:sz w:val="24"/>
      <w:szCs w:val="24"/>
    </w:rPr>
  </w:style>
  <w:style w:type="paragraph" w:customStyle="1" w:styleId="72">
    <w:name w:val="样式2"/>
    <w:basedOn w:val="5"/>
    <w:qFormat/>
    <w:uiPriority w:val="0"/>
    <w:pPr>
      <w:tabs>
        <w:tab w:val="left" w:pos="567"/>
      </w:tabs>
      <w:snapToGrid/>
      <w:spacing w:before="156" w:beforeLines="50" w:line="400" w:lineRule="atLeast"/>
      <w:ind w:left="567" w:hanging="567"/>
      <w:jc w:val="left"/>
      <w:textAlignment w:val="baseline"/>
    </w:pPr>
    <w:rPr>
      <w:rFonts w:ascii="Times New Roman" w:hAnsi="Times New Roman" w:eastAsia="宋体"/>
      <w:b w:val="0"/>
      <w:bCs w:val="0"/>
      <w:snapToGrid/>
      <w:kern w:val="2"/>
      <w:szCs w:val="28"/>
    </w:rPr>
  </w:style>
  <w:style w:type="paragraph" w:customStyle="1" w:styleId="73">
    <w:name w:val="报告表格"/>
    <w:basedOn w:val="1"/>
    <w:qFormat/>
    <w:uiPriority w:val="0"/>
    <w:pPr>
      <w:autoSpaceDE w:val="0"/>
      <w:autoSpaceDN w:val="0"/>
      <w:adjustRightInd w:val="0"/>
      <w:spacing w:before="40" w:after="40"/>
      <w:jc w:val="center"/>
      <w:textAlignment w:val="bottom"/>
    </w:pPr>
    <w:rPr>
      <w:kern w:val="0"/>
      <w:sz w:val="21"/>
      <w:szCs w:val="20"/>
    </w:rPr>
  </w:style>
  <w:style w:type="character" w:customStyle="1" w:styleId="74">
    <w:name w:val="正文缩进 字符"/>
    <w:link w:val="9"/>
    <w:qFormat/>
    <w:uiPriority w:val="0"/>
    <w:rPr>
      <w:szCs w:val="20"/>
    </w:rPr>
  </w:style>
  <w:style w:type="paragraph" w:customStyle="1" w:styleId="75">
    <w:name w:val="表格标题"/>
    <w:basedOn w:val="76"/>
    <w:next w:val="77"/>
    <w:qFormat/>
    <w:uiPriority w:val="0"/>
    <w:pPr>
      <w:spacing w:before="120"/>
    </w:pPr>
    <w:rPr>
      <w:rFonts w:eastAsia="仿宋_GB2312"/>
    </w:rPr>
  </w:style>
  <w:style w:type="paragraph" w:customStyle="1" w:styleId="76">
    <w:name w:val="表格内容"/>
    <w:basedOn w:val="9"/>
    <w:next w:val="9"/>
    <w:link w:val="264"/>
    <w:qFormat/>
    <w:uiPriority w:val="0"/>
    <w:pPr>
      <w:spacing w:line="360" w:lineRule="auto"/>
      <w:jc w:val="center"/>
    </w:pPr>
    <w:rPr>
      <w:color w:val="000000"/>
    </w:rPr>
  </w:style>
  <w:style w:type="paragraph" w:customStyle="1" w:styleId="77">
    <w:name w:val="表格文字"/>
    <w:basedOn w:val="75"/>
    <w:next w:val="1"/>
    <w:qFormat/>
    <w:uiPriority w:val="99"/>
    <w:pPr>
      <w:tabs>
        <w:tab w:val="left" w:pos="7590"/>
      </w:tabs>
      <w:snapToGrid w:val="0"/>
      <w:jc w:val="center"/>
    </w:pPr>
    <w:rPr>
      <w:sz w:val="21"/>
      <w:lang w:val="zh-CN"/>
    </w:rPr>
  </w:style>
  <w:style w:type="paragraph" w:customStyle="1" w:styleId="78">
    <w:name w:val="表格文字2"/>
    <w:basedOn w:val="77"/>
    <w:qFormat/>
    <w:uiPriority w:val="0"/>
    <w:pPr>
      <w:spacing w:before="60"/>
    </w:pPr>
  </w:style>
  <w:style w:type="paragraph" w:customStyle="1" w:styleId="79">
    <w:name w:val="标题1"/>
    <w:basedOn w:val="1"/>
    <w:next w:val="1"/>
    <w:qFormat/>
    <w:uiPriority w:val="0"/>
    <w:pPr>
      <w:spacing w:line="500" w:lineRule="exact"/>
    </w:pPr>
    <w:rPr>
      <w:rFonts w:eastAsia="楷体_GB2312"/>
      <w:b/>
      <w:color w:val="000000"/>
      <w:spacing w:val="10"/>
      <w:sz w:val="28"/>
    </w:rPr>
  </w:style>
  <w:style w:type="paragraph" w:customStyle="1" w:styleId="80">
    <w:name w:val="正文-蓝色"/>
    <w:basedOn w:val="81"/>
    <w:qFormat/>
    <w:uiPriority w:val="0"/>
    <w:pPr>
      <w:ind w:firstLine="480"/>
    </w:pPr>
    <w:rPr>
      <w:color w:val="0000FF"/>
    </w:rPr>
  </w:style>
  <w:style w:type="paragraph" w:customStyle="1" w:styleId="81">
    <w:name w:val="正文-欣欣"/>
    <w:basedOn w:val="1"/>
    <w:next w:val="1"/>
    <w:qFormat/>
    <w:uiPriority w:val="0"/>
    <w:pPr>
      <w:ind w:firstLine="200" w:firstLineChars="200"/>
    </w:pPr>
    <w:rPr>
      <w:rFonts w:cs="Courier New"/>
      <w:szCs w:val="21"/>
    </w:rPr>
  </w:style>
  <w:style w:type="paragraph" w:customStyle="1" w:styleId="82">
    <w:name w:val="表格中文字"/>
    <w:basedOn w:val="1"/>
    <w:qFormat/>
    <w:uiPriority w:val="0"/>
    <w:pPr>
      <w:adjustRightInd w:val="0"/>
      <w:snapToGrid w:val="0"/>
      <w:spacing w:line="360" w:lineRule="atLeast"/>
      <w:jc w:val="center"/>
      <w:textAlignment w:val="baseline"/>
    </w:pPr>
    <w:rPr>
      <w:kern w:val="18"/>
      <w:sz w:val="21"/>
    </w:rPr>
  </w:style>
  <w:style w:type="character" w:customStyle="1" w:styleId="83">
    <w:name w:val="批注文字 字符"/>
    <w:basedOn w:val="43"/>
    <w:link w:val="12"/>
    <w:qFormat/>
    <w:uiPriority w:val="0"/>
    <w:rPr>
      <w:kern w:val="2"/>
      <w:sz w:val="24"/>
      <w:szCs w:val="24"/>
    </w:rPr>
  </w:style>
  <w:style w:type="character" w:customStyle="1" w:styleId="84">
    <w:name w:val="批注主题 字符"/>
    <w:basedOn w:val="83"/>
    <w:link w:val="38"/>
    <w:qFormat/>
    <w:uiPriority w:val="0"/>
    <w:rPr>
      <w:b/>
      <w:bCs/>
      <w:kern w:val="2"/>
      <w:sz w:val="24"/>
      <w:szCs w:val="24"/>
    </w:rPr>
  </w:style>
  <w:style w:type="paragraph" w:customStyle="1" w:styleId="85">
    <w:name w:val="WPSOffice手动目录 1"/>
    <w:qFormat/>
    <w:uiPriority w:val="0"/>
    <w:pPr>
      <w:ind w:leftChars="0"/>
    </w:pPr>
    <w:rPr>
      <w:rFonts w:ascii="Times New Roman" w:hAnsi="Times New Roman" w:eastAsia="宋体" w:cs="Times New Roman"/>
      <w:sz w:val="20"/>
      <w:szCs w:val="20"/>
    </w:rPr>
  </w:style>
  <w:style w:type="paragraph" w:customStyle="1" w:styleId="86">
    <w:name w:val="WPSOffice手动目录 2"/>
    <w:qFormat/>
    <w:uiPriority w:val="0"/>
    <w:pPr>
      <w:ind w:leftChars="200"/>
    </w:pPr>
    <w:rPr>
      <w:rFonts w:ascii="Times New Roman" w:hAnsi="Times New Roman" w:eastAsia="宋体" w:cs="Times New Roman"/>
      <w:sz w:val="20"/>
      <w:szCs w:val="20"/>
    </w:rPr>
  </w:style>
  <w:style w:type="paragraph" w:customStyle="1" w:styleId="87">
    <w:name w:val="正文文本缩进1"/>
    <w:basedOn w:val="1"/>
    <w:qFormat/>
    <w:uiPriority w:val="0"/>
    <w:pPr>
      <w:spacing w:after="120"/>
      <w:ind w:left="420" w:leftChars="200"/>
    </w:pPr>
    <w:rPr>
      <w:kern w:val="0"/>
      <w:sz w:val="20"/>
    </w:rPr>
  </w:style>
  <w:style w:type="character" w:customStyle="1" w:styleId="88">
    <w:name w:val="标题 1 Char"/>
    <w:link w:val="3"/>
    <w:qFormat/>
    <w:uiPriority w:val="0"/>
    <w:rPr>
      <w:rFonts w:ascii="黑体" w:hAnsi="黑体" w:eastAsia="黑体"/>
      <w:b/>
      <w:snapToGrid w:val="0"/>
      <w:color w:val="000000"/>
      <w:sz w:val="32"/>
    </w:rPr>
  </w:style>
  <w:style w:type="paragraph" w:customStyle="1" w:styleId="89">
    <w:name w:val="No Spacing1"/>
    <w:qFormat/>
    <w:uiPriority w:val="0"/>
    <w:pPr>
      <w:widowControl w:val="0"/>
      <w:contextualSpacing/>
      <w:jc w:val="center"/>
    </w:pPr>
    <w:rPr>
      <w:rFonts w:ascii="Times New Roman" w:hAnsi="Times New Roman" w:eastAsia="宋体" w:cs="Times New Roman"/>
      <w:sz w:val="21"/>
      <w:szCs w:val="24"/>
      <w:lang w:val="en-US" w:eastAsia="zh-CN" w:bidi="ar-SA"/>
    </w:rPr>
  </w:style>
  <w:style w:type="paragraph" w:styleId="90">
    <w:name w:val="No Spacing"/>
    <w:basedOn w:val="14"/>
    <w:next w:val="19"/>
    <w:qFormat/>
    <w:uiPriority w:val="1"/>
    <w:pPr>
      <w:widowControl w:val="0"/>
      <w:spacing w:line="340" w:lineRule="exact"/>
      <w:jc w:val="center"/>
    </w:pPr>
    <w:rPr>
      <w:rFonts w:ascii="Times New Roman" w:hAnsi="Times New Roman" w:eastAsia="宋体" w:cs="Times New Roman"/>
      <w:kern w:val="2"/>
      <w:sz w:val="21"/>
      <w:szCs w:val="24"/>
      <w:lang w:val="en-US" w:eastAsia="zh-CN" w:bidi="ar-SA"/>
    </w:rPr>
  </w:style>
  <w:style w:type="paragraph" w:customStyle="1" w:styleId="91">
    <w:name w:val="书正文"/>
    <w:basedOn w:val="1"/>
    <w:qFormat/>
    <w:uiPriority w:val="0"/>
    <w:pPr>
      <w:ind w:firstLine="480"/>
      <w:jc w:val="both"/>
    </w:pPr>
    <w:rPr>
      <w:rFonts w:ascii="Times New Roman" w:hAnsi="Times New Roman" w:eastAsia="宋体"/>
      <w:color w:val="000000"/>
      <w:sz w:val="24"/>
      <w:szCs w:val="22"/>
      <w:shd w:val="clear" w:color="auto" w:fill="FFFFFF"/>
    </w:rPr>
  </w:style>
  <w:style w:type="character" w:customStyle="1" w:styleId="92">
    <w:name w:val="font61"/>
    <w:basedOn w:val="43"/>
    <w:qFormat/>
    <w:uiPriority w:val="0"/>
    <w:rPr>
      <w:rFonts w:hint="eastAsia" w:ascii="宋体" w:hAnsi="宋体" w:eastAsia="宋体" w:cs="宋体"/>
      <w:color w:val="000000"/>
      <w:sz w:val="20"/>
      <w:szCs w:val="20"/>
      <w:u w:val="none"/>
    </w:rPr>
  </w:style>
  <w:style w:type="paragraph" w:customStyle="1" w:styleId="93">
    <w:name w:val="表头"/>
    <w:basedOn w:val="94"/>
    <w:next w:val="94"/>
    <w:qFormat/>
    <w:uiPriority w:val="0"/>
    <w:pPr>
      <w:widowControl/>
      <w:ind w:firstLine="0" w:firstLineChars="0"/>
      <w:jc w:val="center"/>
    </w:pPr>
    <w:rPr>
      <w:b/>
      <w:kern w:val="0"/>
      <w:sz w:val="20"/>
      <w:szCs w:val="20"/>
    </w:rPr>
  </w:style>
  <w:style w:type="paragraph" w:customStyle="1" w:styleId="94">
    <w:name w:val="表格"/>
    <w:basedOn w:val="33"/>
    <w:next w:val="1"/>
    <w:qFormat/>
    <w:uiPriority w:val="0"/>
    <w:pPr>
      <w:autoSpaceDE w:val="0"/>
      <w:autoSpaceDN w:val="0"/>
      <w:adjustRightInd w:val="0"/>
      <w:snapToGrid w:val="0"/>
      <w:spacing w:line="280" w:lineRule="exact"/>
      <w:jc w:val="center"/>
    </w:pPr>
    <w:rPr>
      <w:rFonts w:ascii="仿宋_GB2312" w:eastAsia="仿宋_GB2312"/>
      <w:kern w:val="0"/>
      <w:szCs w:val="20"/>
    </w:rPr>
  </w:style>
  <w:style w:type="paragraph" w:customStyle="1" w:styleId="95">
    <w:name w:val="表格式"/>
    <w:basedOn w:val="96"/>
    <w:qFormat/>
    <w:uiPriority w:val="0"/>
    <w:pPr>
      <w:spacing w:before="156" w:beforeLines="50" w:after="156" w:afterLines="50" w:line="240" w:lineRule="exact"/>
      <w:jc w:val="center"/>
    </w:pPr>
    <w:rPr>
      <w:rFonts w:ascii="Times New Roman" w:hAnsi="Times New Roman" w:eastAsia="宋体" w:cs="Times New Roman"/>
      <w:lang w:val="en-US" w:eastAsia="zh-CN" w:bidi="ar-SA"/>
    </w:rPr>
  </w:style>
  <w:style w:type="paragraph" w:customStyle="1" w:styleId="96">
    <w:name w:val="列表1"/>
    <w:basedOn w:val="1"/>
    <w:qFormat/>
    <w:uiPriority w:val="0"/>
    <w:pPr>
      <w:ind w:left="200" w:hanging="200" w:hangingChars="200"/>
    </w:pPr>
  </w:style>
  <w:style w:type="paragraph" w:customStyle="1" w:styleId="97">
    <w:name w:val="正文d"/>
    <w:basedOn w:val="1"/>
    <w:qFormat/>
    <w:uiPriority w:val="0"/>
    <w:pPr>
      <w:autoSpaceDE w:val="0"/>
      <w:autoSpaceDN w:val="0"/>
      <w:adjustRightInd w:val="0"/>
      <w:snapToGrid w:val="0"/>
      <w:spacing w:line="360" w:lineRule="auto"/>
      <w:ind w:firstLine="200" w:firstLineChars="200"/>
    </w:pPr>
    <w:rPr>
      <w:rFonts w:cs="宋体"/>
      <w:kern w:val="0"/>
      <w:szCs w:val="21"/>
    </w:rPr>
  </w:style>
  <w:style w:type="paragraph" w:customStyle="1" w:styleId="98">
    <w:name w:val="0表格"/>
    <w:basedOn w:val="1"/>
    <w:qFormat/>
    <w:uiPriority w:val="0"/>
    <w:pPr>
      <w:widowControl/>
      <w:jc w:val="center"/>
    </w:pPr>
    <w:rPr>
      <w:kern w:val="0"/>
      <w:szCs w:val="21"/>
    </w:rPr>
  </w:style>
  <w:style w:type="character" w:customStyle="1" w:styleId="99">
    <w:name w:val="标题 5 Char"/>
    <w:link w:val="8"/>
    <w:qFormat/>
    <w:uiPriority w:val="0"/>
    <w:rPr>
      <w:b/>
      <w:bCs/>
      <w:sz w:val="21"/>
      <w:szCs w:val="28"/>
    </w:rPr>
  </w:style>
  <w:style w:type="paragraph" w:customStyle="1" w:styleId="100">
    <w:name w:val="【表头】"/>
    <w:basedOn w:val="1"/>
    <w:qFormat/>
    <w:uiPriority w:val="0"/>
    <w:pPr>
      <w:snapToGrid w:val="0"/>
      <w:jc w:val="center"/>
    </w:pPr>
    <w:rPr>
      <w:rFonts w:ascii="Times New Roman" w:hAnsi="Times New Roman" w:eastAsia="黑体"/>
      <w:b/>
      <w:spacing w:val="4"/>
      <w:kern w:val="0"/>
      <w:sz w:val="24"/>
      <w:szCs w:val="24"/>
      <w:lang w:val="zh-CN"/>
    </w:rPr>
  </w:style>
  <w:style w:type="paragraph" w:customStyle="1" w:styleId="101">
    <w:name w:val="【表中文字】"/>
    <w:basedOn w:val="1"/>
    <w:qFormat/>
    <w:uiPriority w:val="0"/>
    <w:pPr>
      <w:adjustRightInd w:val="0"/>
      <w:snapToGrid w:val="0"/>
      <w:jc w:val="center"/>
    </w:pPr>
    <w:rPr>
      <w:kern w:val="0"/>
      <w:sz w:val="20"/>
      <w:szCs w:val="20"/>
    </w:rPr>
  </w:style>
  <w:style w:type="paragraph" w:customStyle="1" w:styleId="102">
    <w:name w:val="报告表正文"/>
    <w:basedOn w:val="1"/>
    <w:qFormat/>
    <w:uiPriority w:val="0"/>
    <w:pPr>
      <w:adjustRightInd w:val="0"/>
      <w:spacing w:line="312" w:lineRule="auto"/>
      <w:ind w:left="113" w:right="113" w:firstLine="482"/>
      <w:jc w:val="left"/>
      <w:textAlignment w:val="baseline"/>
    </w:pPr>
    <w:rPr>
      <w:kern w:val="0"/>
      <w:szCs w:val="20"/>
    </w:rPr>
  </w:style>
  <w:style w:type="paragraph" w:customStyle="1" w:styleId="103">
    <w:name w:val="p0"/>
    <w:basedOn w:val="1"/>
    <w:qFormat/>
    <w:uiPriority w:val="0"/>
    <w:pPr>
      <w:widowControl/>
      <w:spacing w:before="100" w:beforeAutospacing="1" w:after="100" w:afterAutospacing="1"/>
      <w:jc w:val="left"/>
    </w:pPr>
    <w:rPr>
      <w:rFonts w:ascii="宋体" w:hAnsi="宋体" w:cs="宋体"/>
      <w:kern w:val="0"/>
    </w:rPr>
  </w:style>
  <w:style w:type="paragraph" w:customStyle="1" w:styleId="104">
    <w:name w:val="表头样式"/>
    <w:basedOn w:val="1"/>
    <w:qFormat/>
    <w:uiPriority w:val="0"/>
    <w:pPr>
      <w:spacing w:beforeLines="50" w:afterLines="50"/>
      <w:jc w:val="center"/>
    </w:pPr>
    <w:rPr>
      <w:b/>
      <w:szCs w:val="21"/>
    </w:rPr>
  </w:style>
  <w:style w:type="paragraph" w:customStyle="1" w:styleId="105">
    <w:name w:val="正文01"/>
    <w:basedOn w:val="1"/>
    <w:link w:val="128"/>
    <w:qFormat/>
    <w:uiPriority w:val="0"/>
    <w:pPr>
      <w:ind w:firstLine="482"/>
    </w:pPr>
    <w:rPr>
      <w:szCs w:val="20"/>
    </w:rPr>
  </w:style>
  <w:style w:type="paragraph" w:customStyle="1" w:styleId="106">
    <w:name w:val="【正文】"/>
    <w:basedOn w:val="1"/>
    <w:qFormat/>
    <w:uiPriority w:val="0"/>
    <w:pPr>
      <w:spacing w:line="440" w:lineRule="exact"/>
      <w:ind w:firstLine="544" w:firstLineChars="200"/>
    </w:pPr>
    <w:rPr>
      <w:sz w:val="24"/>
      <w:szCs w:val="20"/>
    </w:rPr>
  </w:style>
  <w:style w:type="paragraph" w:customStyle="1" w:styleId="107">
    <w:name w:val="fcc正文"/>
    <w:basedOn w:val="1"/>
    <w:qFormat/>
    <w:uiPriority w:val="0"/>
    <w:pPr>
      <w:ind w:firstLine="200" w:firstLineChars="200"/>
    </w:pPr>
    <w:rPr>
      <w:rFonts w:ascii="Calibri" w:hAnsi="Calibri" w:cs="Times New Roman"/>
      <w:szCs w:val="20"/>
      <w:lang w:val="zh-CN"/>
    </w:rPr>
  </w:style>
  <w:style w:type="character" w:customStyle="1" w:styleId="108">
    <w:name w:val="页码1"/>
    <w:basedOn w:val="43"/>
    <w:qFormat/>
    <w:uiPriority w:val="0"/>
  </w:style>
  <w:style w:type="paragraph" w:customStyle="1" w:styleId="109">
    <w:name w:val="样式 样式 (西文) 宋体 (中文) 仿宋_GB2312 小四 + 首行缩进:  2 字符 行距: 最小值 12 磅"/>
    <w:basedOn w:val="1"/>
    <w:qFormat/>
    <w:uiPriority w:val="0"/>
    <w:pPr>
      <w:spacing w:line="240" w:lineRule="atLeast"/>
      <w:ind w:firstLine="640" w:firstLineChars="200"/>
      <w:jc w:val="left"/>
    </w:pPr>
    <w:rPr>
      <w:rFonts w:ascii="仿宋_GB2312" w:eastAsia="仿宋_GB2312"/>
      <w:b/>
      <w:color w:val="000000"/>
      <w:sz w:val="30"/>
      <w:szCs w:val="28"/>
    </w:rPr>
  </w:style>
  <w:style w:type="paragraph" w:customStyle="1" w:styleId="110">
    <w:name w:val="Normal (Web)"/>
    <w:basedOn w:val="1"/>
    <w:qFormat/>
    <w:uiPriority w:val="0"/>
    <w:pPr>
      <w:spacing w:before="100" w:beforeAutospacing="1" w:after="100" w:afterAutospacing="1"/>
    </w:pPr>
    <w:rPr>
      <w:rFonts w:ascii="宋体" w:hAnsi="宋体" w:cs="宋体"/>
      <w:sz w:val="24"/>
    </w:rPr>
  </w:style>
  <w:style w:type="paragraph" w:customStyle="1" w:styleId="111">
    <w:name w:val="List Paragraph"/>
    <w:basedOn w:val="1"/>
    <w:next w:val="1"/>
    <w:qFormat/>
    <w:uiPriority w:val="0"/>
    <w:pPr>
      <w:autoSpaceDE w:val="0"/>
      <w:autoSpaceDN w:val="0"/>
      <w:jc w:val="center"/>
    </w:pPr>
    <w:rPr>
      <w:szCs w:val="20"/>
    </w:rPr>
  </w:style>
  <w:style w:type="paragraph" w:customStyle="1" w:styleId="112">
    <w:name w:val="正文-1"/>
    <w:link w:val="182"/>
    <w:qFormat/>
    <w:uiPriority w:val="0"/>
    <w:pPr>
      <w:spacing w:line="480" w:lineRule="exact"/>
      <w:ind w:firstLine="200" w:firstLineChars="200"/>
      <w:jc w:val="both"/>
    </w:pPr>
    <w:rPr>
      <w:rFonts w:ascii="Times New Roman" w:hAnsi="Times New Roman" w:eastAsia="宋体" w:cs="宋体"/>
      <w:kern w:val="2"/>
      <w:sz w:val="24"/>
      <w:lang w:val="en-US" w:eastAsia="zh-CN" w:bidi="ar-SA"/>
    </w:rPr>
  </w:style>
  <w:style w:type="paragraph" w:customStyle="1" w:styleId="113">
    <w:name w:val="表题"/>
    <w:basedOn w:val="31"/>
    <w:next w:val="114"/>
    <w:link w:val="179"/>
    <w:qFormat/>
    <w:uiPriority w:val="0"/>
    <w:pPr>
      <w:spacing w:line="480" w:lineRule="exact"/>
      <w:jc w:val="center"/>
    </w:pPr>
    <w:rPr>
      <w:rFonts w:ascii="Times New Roman" w:hAnsi="宋体" w:eastAsia="宋体" w:cs="Times New Roman"/>
      <w:b/>
      <w:kern w:val="2"/>
      <w:sz w:val="21"/>
      <w:szCs w:val="24"/>
      <w:lang w:val="en-US" w:eastAsia="zh-CN" w:bidi="ar-SA"/>
    </w:rPr>
  </w:style>
  <w:style w:type="paragraph" w:customStyle="1" w:styleId="114">
    <w:name w:val="-正文"/>
    <w:basedOn w:val="1"/>
    <w:link w:val="180"/>
    <w:qFormat/>
    <w:uiPriority w:val="0"/>
    <w:pPr>
      <w:widowControl w:val="0"/>
      <w:spacing w:line="480" w:lineRule="exact"/>
      <w:ind w:firstLine="200" w:firstLineChars="200"/>
      <w:jc w:val="both"/>
    </w:pPr>
    <w:rPr>
      <w:rFonts w:cs="宋体"/>
      <w:kern w:val="2"/>
      <w:sz w:val="24"/>
    </w:rPr>
  </w:style>
  <w:style w:type="paragraph" w:customStyle="1" w:styleId="115">
    <w:name w:val="-表格"/>
    <w:basedOn w:val="94"/>
    <w:next w:val="1"/>
    <w:qFormat/>
    <w:uiPriority w:val="0"/>
    <w:pPr>
      <w:widowControl/>
      <w:tabs>
        <w:tab w:val="left" w:pos="3696"/>
      </w:tabs>
      <w:jc w:val="center"/>
    </w:pPr>
    <w:rPr>
      <w:rFonts w:ascii="宋体" w:hAnsi="宋体" w:cs="宋体"/>
      <w:snapToGrid w:val="0"/>
      <w:szCs w:val="20"/>
    </w:rPr>
  </w:style>
  <w:style w:type="paragraph" w:customStyle="1" w:styleId="116">
    <w:name w:val="GTR报告书表头"/>
    <w:basedOn w:val="1"/>
    <w:qFormat/>
    <w:uiPriority w:val="0"/>
    <w:pPr>
      <w:spacing w:line="500" w:lineRule="exact"/>
      <w:jc w:val="center"/>
    </w:pPr>
    <w:rPr>
      <w:rFonts w:eastAsia="黑体"/>
    </w:rPr>
  </w:style>
  <w:style w:type="paragraph" w:customStyle="1" w:styleId="117">
    <w:name w:val="GTR表格内容"/>
    <w:basedOn w:val="116"/>
    <w:qFormat/>
    <w:uiPriority w:val="0"/>
    <w:pPr>
      <w:spacing w:line="240" w:lineRule="auto"/>
    </w:pPr>
    <w:rPr>
      <w:rFonts w:eastAsia="宋体"/>
    </w:rPr>
  </w:style>
  <w:style w:type="paragraph" w:customStyle="1" w:styleId="118">
    <w:name w:val="小四正文格式"/>
    <w:basedOn w:val="1"/>
    <w:qFormat/>
    <w:uiPriority w:val="0"/>
    <w:pPr>
      <w:spacing w:line="360" w:lineRule="auto"/>
      <w:ind w:firstLine="200" w:firstLineChars="200"/>
    </w:pPr>
    <w:rPr>
      <w:rFonts w:ascii="宋体" w:hAnsi="宋体"/>
      <w:sz w:val="24"/>
    </w:rPr>
  </w:style>
  <w:style w:type="paragraph" w:customStyle="1" w:styleId="119">
    <w:name w:val="表中正文居中"/>
    <w:semiHidden/>
    <w:qFormat/>
    <w:uiPriority w:val="0"/>
    <w:pPr>
      <w:spacing w:before="120" w:after="156" w:line="240" w:lineRule="exact"/>
      <w:jc w:val="center"/>
    </w:pPr>
    <w:rPr>
      <w:rFonts w:ascii="宋体" w:hAnsi="Times New Roman" w:eastAsia="宋体" w:cs="Times New Roman"/>
      <w:kern w:val="2"/>
      <w:sz w:val="21"/>
      <w:lang w:val="en-US" w:eastAsia="zh-CN" w:bidi="ar-SA"/>
    </w:rPr>
  </w:style>
  <w:style w:type="paragraph" w:customStyle="1" w:styleId="120">
    <w:name w:val="表标题"/>
    <w:basedOn w:val="1"/>
    <w:next w:val="1"/>
    <w:semiHidden/>
    <w:qFormat/>
    <w:uiPriority w:val="0"/>
    <w:pPr>
      <w:adjustRightInd w:val="0"/>
      <w:jc w:val="center"/>
      <w:textAlignment w:val="baseline"/>
    </w:pPr>
    <w:rPr>
      <w:b/>
      <w:bCs/>
      <w:sz w:val="24"/>
      <w:szCs w:val="20"/>
    </w:rPr>
  </w:style>
  <w:style w:type="paragraph" w:customStyle="1" w:styleId="121">
    <w:name w:val=" Char Char Char Char Char Char Char Char Char1 Char Char Char Char"/>
    <w:basedOn w:val="1"/>
    <w:qFormat/>
    <w:uiPriority w:val="0"/>
    <w:rPr>
      <w:sz w:val="24"/>
    </w:rPr>
  </w:style>
  <w:style w:type="paragraph" w:customStyle="1" w:styleId="122">
    <w:name w:val="报告正文"/>
    <w:basedOn w:val="1"/>
    <w:link w:val="137"/>
    <w:semiHidden/>
    <w:qFormat/>
    <w:uiPriority w:val="0"/>
    <w:pPr>
      <w:adjustRightInd w:val="0"/>
      <w:snapToGrid w:val="0"/>
      <w:spacing w:line="480" w:lineRule="exact"/>
      <w:ind w:firstLine="560" w:firstLineChars="200"/>
    </w:pPr>
    <w:rPr>
      <w:sz w:val="28"/>
    </w:rPr>
  </w:style>
  <w:style w:type="paragraph" w:customStyle="1" w:styleId="123">
    <w:name w:val="常用正文样式"/>
    <w:basedOn w:val="1"/>
    <w:qFormat/>
    <w:uiPriority w:val="0"/>
    <w:pPr>
      <w:spacing w:line="360" w:lineRule="auto"/>
      <w:ind w:firstLine="480" w:firstLineChars="200"/>
    </w:pPr>
    <w:rPr>
      <w:rFonts w:ascii="宋体" w:hAnsi="宋体" w:eastAsia="仿宋_GB2312" w:cs="宋体"/>
      <w:bCs/>
      <w:kern w:val="28"/>
      <w:sz w:val="24"/>
    </w:rPr>
  </w:style>
  <w:style w:type="paragraph" w:customStyle="1" w:styleId="124">
    <w:name w:val="样式4"/>
    <w:basedOn w:val="1"/>
    <w:next w:val="1"/>
    <w:qFormat/>
    <w:uiPriority w:val="0"/>
    <w:pPr>
      <w:spacing w:line="440" w:lineRule="exact"/>
    </w:pPr>
    <w:rPr>
      <w:sz w:val="24"/>
      <w:szCs w:val="20"/>
    </w:rPr>
  </w:style>
  <w:style w:type="paragraph" w:customStyle="1" w:styleId="125">
    <w:name w:val="表格头"/>
    <w:basedOn w:val="1"/>
    <w:qFormat/>
    <w:uiPriority w:val="0"/>
    <w:pPr>
      <w:widowControl w:val="0"/>
      <w:jc w:val="center"/>
    </w:pPr>
    <w:rPr>
      <w:rFonts w:ascii="黑体" w:hAnsi="黑体"/>
      <w:b/>
      <w:sz w:val="21"/>
      <w:szCs w:val="24"/>
    </w:rPr>
  </w:style>
  <w:style w:type="paragraph" w:customStyle="1" w:styleId="126">
    <w:name w:val="-表题"/>
    <w:next w:val="114"/>
    <w:qFormat/>
    <w:uiPriority w:val="0"/>
    <w:pPr>
      <w:spacing w:line="480" w:lineRule="exact"/>
      <w:jc w:val="center"/>
    </w:pPr>
    <w:rPr>
      <w:rFonts w:ascii="Times New Roman" w:hAnsi="Times New Roman" w:eastAsia="宋体" w:cs="Times New Roman"/>
      <w:b/>
      <w:kern w:val="2"/>
      <w:sz w:val="21"/>
      <w:szCs w:val="24"/>
      <w:lang w:val="en-US" w:eastAsia="zh-CN" w:bidi="ar-SA"/>
    </w:rPr>
  </w:style>
  <w:style w:type="paragraph" w:customStyle="1" w:styleId="127">
    <w:name w:val="表中文字"/>
    <w:basedOn w:val="1"/>
    <w:qFormat/>
    <w:uiPriority w:val="0"/>
    <w:pPr>
      <w:widowControl w:val="0"/>
      <w:spacing w:line="300" w:lineRule="exact"/>
      <w:jc w:val="center"/>
    </w:pPr>
    <w:rPr>
      <w:color w:val="000000"/>
      <w:kern w:val="2"/>
      <w:sz w:val="21"/>
      <w:szCs w:val="24"/>
    </w:rPr>
  </w:style>
  <w:style w:type="character" w:customStyle="1" w:styleId="128">
    <w:name w:val="正文01 Char"/>
    <w:link w:val="105"/>
    <w:qFormat/>
    <w:uiPriority w:val="0"/>
    <w:rPr>
      <w:szCs w:val="20"/>
    </w:rPr>
  </w:style>
  <w:style w:type="paragraph" w:customStyle="1" w:styleId="129">
    <w:name w:val="表内容"/>
    <w:basedOn w:val="1"/>
    <w:next w:val="1"/>
    <w:qFormat/>
    <w:uiPriority w:val="0"/>
    <w:pPr>
      <w:jc w:val="center"/>
    </w:pPr>
    <w:rPr>
      <w:sz w:val="21"/>
      <w:szCs w:val="21"/>
    </w:rPr>
  </w:style>
  <w:style w:type="paragraph" w:customStyle="1" w:styleId="130">
    <w:name w:val="表格文字内容"/>
    <w:basedOn w:val="1"/>
    <w:qFormat/>
    <w:uiPriority w:val="0"/>
    <w:pPr>
      <w:spacing w:line="240" w:lineRule="exact"/>
      <w:jc w:val="center"/>
    </w:pPr>
    <w:rPr>
      <w:rFonts w:hAnsi="宋体"/>
      <w:sz w:val="18"/>
    </w:rPr>
  </w:style>
  <w:style w:type="paragraph" w:customStyle="1" w:styleId="131">
    <w:name w:val="报告正文scu"/>
    <w:qFormat/>
    <w:uiPriority w:val="0"/>
    <w:pPr>
      <w:widowControl w:val="0"/>
      <w:adjustRightInd w:val="0"/>
      <w:snapToGrid w:val="0"/>
      <w:spacing w:line="500" w:lineRule="exact"/>
      <w:ind w:firstLine="200" w:firstLineChars="200"/>
      <w:jc w:val="both"/>
    </w:pPr>
    <w:rPr>
      <w:rFonts w:ascii="Times New Roman" w:hAnsi="Times New Roman" w:eastAsia="宋体" w:cs="Times New Roman"/>
      <w:sz w:val="24"/>
      <w:szCs w:val="24"/>
      <w:lang w:val="en-US" w:eastAsia="zh-CN" w:bidi="ar-SA"/>
    </w:rPr>
  </w:style>
  <w:style w:type="paragraph" w:customStyle="1" w:styleId="132">
    <w:name w:val="_Style 1"/>
    <w:qFormat/>
    <w:uiPriority w:val="99"/>
    <w:pPr>
      <w:widowControl w:val="0"/>
      <w:jc w:val="both"/>
    </w:pPr>
    <w:rPr>
      <w:rFonts w:ascii="Times New Roman" w:hAnsi="Times New Roman" w:eastAsia="宋体" w:cs="Times New Roman"/>
      <w:bCs/>
      <w:sz w:val="24"/>
      <w:szCs w:val="24"/>
      <w:lang w:val="en-US" w:eastAsia="zh-CN" w:bidi="ar-SA"/>
    </w:rPr>
  </w:style>
  <w:style w:type="paragraph" w:customStyle="1" w:styleId="133">
    <w:name w:val="CM13"/>
    <w:basedOn w:val="54"/>
    <w:qFormat/>
    <w:uiPriority w:val="0"/>
    <w:rPr>
      <w:color w:val="auto"/>
    </w:rPr>
  </w:style>
  <w:style w:type="paragraph" w:customStyle="1" w:styleId="134">
    <w:name w:val="表格字体"/>
    <w:qFormat/>
    <w:uiPriority w:val="0"/>
    <w:pPr>
      <w:keepNext/>
      <w:keepLines/>
      <w:jc w:val="center"/>
    </w:pPr>
    <w:rPr>
      <w:rFonts w:ascii="Times New Roman" w:hAnsi="Times New Roman" w:eastAsia="宋体" w:cs="Times New Roman"/>
      <w:kern w:val="2"/>
      <w:sz w:val="21"/>
      <w:szCs w:val="24"/>
      <w:lang w:val="en-US" w:eastAsia="zh-CN" w:bidi="ar-SA"/>
    </w:rPr>
  </w:style>
  <w:style w:type="paragraph" w:customStyle="1" w:styleId="135">
    <w:name w:val="4"/>
    <w:basedOn w:val="1"/>
    <w:next w:val="16"/>
    <w:qFormat/>
    <w:uiPriority w:val="0"/>
    <w:pPr>
      <w:ind w:firstLine="540"/>
    </w:pPr>
    <w:rPr>
      <w:rFonts w:ascii="宋体"/>
      <w:sz w:val="28"/>
      <w:szCs w:val="20"/>
    </w:rPr>
  </w:style>
  <w:style w:type="paragraph" w:customStyle="1" w:styleId="136">
    <w:name w:val="CM3"/>
    <w:qFormat/>
    <w:uiPriority w:val="0"/>
    <w:pPr>
      <w:widowControl w:val="0"/>
      <w:autoSpaceDE w:val="0"/>
      <w:autoSpaceDN w:val="0"/>
      <w:adjustRightInd w:val="0"/>
      <w:spacing w:line="500" w:lineRule="atLeast"/>
    </w:pPr>
    <w:rPr>
      <w:rFonts w:hint="eastAsia" w:ascii="宋体" w:hAnsi="Calibri" w:eastAsia="宋体" w:cs="Times New Roman"/>
      <w:sz w:val="24"/>
      <w:szCs w:val="24"/>
      <w:lang w:val="en-US" w:eastAsia="zh-CN" w:bidi="ar-SA"/>
    </w:rPr>
  </w:style>
  <w:style w:type="character" w:customStyle="1" w:styleId="137">
    <w:name w:val="报告正文 Char"/>
    <w:link w:val="122"/>
    <w:qFormat/>
    <w:uiPriority w:val="0"/>
    <w:rPr>
      <w:sz w:val="28"/>
    </w:rPr>
  </w:style>
  <w:style w:type="paragraph" w:customStyle="1" w:styleId="138">
    <w:name w:val="正文文本报告（报告）"/>
    <w:basedOn w:val="1"/>
    <w:qFormat/>
    <w:uiPriority w:val="0"/>
    <w:pPr>
      <w:spacing w:line="440" w:lineRule="exact"/>
      <w:ind w:firstLine="200" w:firstLineChars="200"/>
    </w:pPr>
    <w:rPr>
      <w:sz w:val="24"/>
    </w:rPr>
  </w:style>
  <w:style w:type="character" w:customStyle="1" w:styleId="139">
    <w:name w:val="font21"/>
    <w:basedOn w:val="43"/>
    <w:qFormat/>
    <w:uiPriority w:val="0"/>
    <w:rPr>
      <w:rFonts w:hint="eastAsia" w:ascii="宋体" w:hAnsi="宋体" w:eastAsia="宋体" w:cs="宋体"/>
      <w:color w:val="000000"/>
      <w:sz w:val="22"/>
      <w:szCs w:val="22"/>
      <w:u w:val="none"/>
    </w:rPr>
  </w:style>
  <w:style w:type="paragraph" w:customStyle="1" w:styleId="140">
    <w:name w:val="章节目录"/>
    <w:basedOn w:val="1"/>
    <w:qFormat/>
    <w:uiPriority w:val="0"/>
    <w:pPr>
      <w:spacing w:line="360" w:lineRule="auto"/>
      <w:outlineLvl w:val="0"/>
    </w:pPr>
    <w:rPr>
      <w:b/>
      <w:sz w:val="28"/>
      <w:szCs w:val="28"/>
    </w:rPr>
  </w:style>
  <w:style w:type="paragraph" w:customStyle="1" w:styleId="141">
    <w:name w:val="报告表"/>
    <w:basedOn w:val="1"/>
    <w:qFormat/>
    <w:uiPriority w:val="0"/>
    <w:pPr>
      <w:autoSpaceDE w:val="0"/>
      <w:autoSpaceDN w:val="0"/>
      <w:spacing w:line="360" w:lineRule="auto"/>
      <w:ind w:firstLine="480" w:firstLineChars="200"/>
    </w:pPr>
    <w:rPr>
      <w:kern w:val="0"/>
      <w:sz w:val="24"/>
      <w:lang w:bidi="zh-CN"/>
    </w:rPr>
  </w:style>
  <w:style w:type="paragraph" w:customStyle="1" w:styleId="142">
    <w:name w:val="01表格"/>
    <w:basedOn w:val="1"/>
    <w:next w:val="1"/>
    <w:qFormat/>
    <w:uiPriority w:val="0"/>
    <w:pPr>
      <w:overflowPunct w:val="0"/>
      <w:topLinePunct/>
      <w:adjustRightInd w:val="0"/>
      <w:snapToGrid w:val="0"/>
      <w:spacing w:line="240" w:lineRule="auto"/>
      <w:jc w:val="center"/>
    </w:pPr>
    <w:rPr>
      <w:snapToGrid w:val="0"/>
      <w:kern w:val="0"/>
      <w:sz w:val="21"/>
      <w:szCs w:val="21"/>
    </w:rPr>
  </w:style>
  <w:style w:type="paragraph" w:customStyle="1" w:styleId="143">
    <w:name w:val="表字"/>
    <w:basedOn w:val="1"/>
    <w:qFormat/>
    <w:uiPriority w:val="0"/>
    <w:pPr>
      <w:spacing w:line="240" w:lineRule="auto"/>
      <w:jc w:val="center"/>
    </w:pPr>
    <w:rPr>
      <w:sz w:val="21"/>
      <w:szCs w:val="20"/>
    </w:rPr>
  </w:style>
  <w:style w:type="paragraph" w:customStyle="1" w:styleId="144">
    <w:name w:val="正文格式"/>
    <w:next w:val="1"/>
    <w:qFormat/>
    <w:uiPriority w:val="0"/>
    <w:pPr>
      <w:spacing w:before="156" w:beforeLines="50" w:line="440" w:lineRule="exact"/>
      <w:ind w:firstLine="560" w:firstLineChars="200"/>
    </w:pPr>
    <w:rPr>
      <w:rFonts w:ascii="Times New Roman" w:hAnsi="Times New Roman" w:eastAsia="仿宋_GB2312" w:cs="Times New Roman"/>
      <w:kern w:val="2"/>
      <w:sz w:val="28"/>
      <w:szCs w:val="28"/>
      <w:lang w:val="en-US" w:eastAsia="zh-CN" w:bidi="ar-SA"/>
    </w:rPr>
  </w:style>
  <w:style w:type="paragraph" w:customStyle="1" w:styleId="145">
    <w:name w:val="样式 小四 首行缩进:  0.85 厘米 行距: 1.5 倍行距"/>
    <w:basedOn w:val="1"/>
    <w:qFormat/>
    <w:uiPriority w:val="0"/>
    <w:pPr>
      <w:adjustRightInd w:val="0"/>
      <w:spacing w:line="360" w:lineRule="auto"/>
      <w:ind w:firstLine="480"/>
      <w:textAlignment w:val="baseline"/>
    </w:pPr>
    <w:rPr>
      <w:sz w:val="24"/>
    </w:rPr>
  </w:style>
  <w:style w:type="paragraph" w:customStyle="1" w:styleId="146">
    <w:name w:val="3"/>
    <w:basedOn w:val="147"/>
    <w:qFormat/>
    <w:uiPriority w:val="0"/>
    <w:pPr>
      <w:keepNext w:val="0"/>
      <w:keepLines w:val="0"/>
      <w:widowControl w:val="0"/>
      <w:suppressLineNumbers w:val="0"/>
      <w:spacing w:before="0" w:beforeAutospacing="0" w:after="0" w:afterAutospacing="0" w:line="312" w:lineRule="auto"/>
      <w:ind w:left="0" w:right="0" w:firstLine="200" w:firstLineChars="200"/>
      <w:jc w:val="both"/>
    </w:pPr>
    <w:rPr>
      <w:rFonts w:hint="default" w:ascii="Times New Roman" w:hAnsi="Times New Roman" w:eastAsia="黑体" w:cs="Times New Roman"/>
      <w:kern w:val="2"/>
      <w:sz w:val="24"/>
      <w:szCs w:val="24"/>
      <w:lang w:val="en-US" w:eastAsia="zh-CN" w:bidi="ar"/>
    </w:rPr>
  </w:style>
  <w:style w:type="paragraph" w:customStyle="1" w:styleId="147">
    <w:name w:val="正正"/>
    <w:basedOn w:val="1"/>
    <w:qFormat/>
    <w:uiPriority w:val="0"/>
    <w:pPr>
      <w:keepNext w:val="0"/>
      <w:keepLines w:val="0"/>
      <w:widowControl w:val="0"/>
      <w:suppressLineNumbers w:val="0"/>
      <w:spacing w:before="0" w:beforeAutospacing="0" w:after="0" w:afterAutospacing="0" w:line="312" w:lineRule="auto"/>
      <w:ind w:left="0" w:right="0" w:firstLine="200" w:firstLineChars="200"/>
      <w:jc w:val="both"/>
    </w:pPr>
    <w:rPr>
      <w:rFonts w:hint="default" w:ascii="Times New Roman" w:hAnsi="Times New Roman" w:eastAsia="宋体" w:cs="Times New Roman"/>
      <w:kern w:val="2"/>
      <w:sz w:val="24"/>
      <w:szCs w:val="24"/>
      <w:lang w:val="en-US" w:eastAsia="zh-CN" w:bidi="ar"/>
    </w:rPr>
  </w:style>
  <w:style w:type="paragraph" w:customStyle="1" w:styleId="148">
    <w:name w:val="样式 样式 样式 表头 + 段前: 0.5 行 段后: 0.5 行 + 段后: 0.5 行 + 段前: 0.5 行"/>
    <w:basedOn w:val="1"/>
    <w:qFormat/>
    <w:uiPriority w:val="0"/>
    <w:pPr>
      <w:keepNext w:val="0"/>
      <w:keepLines w:val="0"/>
      <w:widowControl w:val="0"/>
      <w:suppressLineNumbers w:val="0"/>
      <w:adjustRightInd w:val="0"/>
      <w:snapToGrid w:val="0"/>
      <w:spacing w:before="120" w:beforeAutospacing="0" w:after="0" w:afterAutospacing="0" w:line="312" w:lineRule="auto"/>
      <w:ind w:left="0" w:right="0" w:firstLine="200" w:firstLineChars="200"/>
      <w:jc w:val="center"/>
    </w:pPr>
    <w:rPr>
      <w:rFonts w:hint="default" w:ascii="Times New Roman" w:hAnsi="Times New Roman" w:eastAsia="宋体" w:cs="宋体"/>
      <w:b/>
      <w:kern w:val="2"/>
      <w:sz w:val="24"/>
      <w:szCs w:val="20"/>
      <w:lang w:val="en-US" w:eastAsia="zh-CN" w:bidi="ar"/>
    </w:rPr>
  </w:style>
  <w:style w:type="paragraph" w:customStyle="1" w:styleId="149">
    <w:name w:val="单晶硅项目正文"/>
    <w:basedOn w:val="1"/>
    <w:qFormat/>
    <w:uiPriority w:val="0"/>
    <w:pPr>
      <w:keepNext w:val="0"/>
      <w:keepLines w:val="0"/>
      <w:widowControl w:val="0"/>
      <w:suppressLineNumbers w:val="0"/>
      <w:spacing w:before="0" w:beforeAutospacing="0" w:after="0" w:afterAutospacing="0" w:line="560" w:lineRule="exact"/>
      <w:ind w:left="0" w:right="0" w:firstLine="480" w:firstLineChars="200"/>
      <w:jc w:val="both"/>
    </w:pPr>
    <w:rPr>
      <w:rFonts w:hint="eastAsia" w:ascii="宋体" w:hAnsi="宋体" w:eastAsia="宋体" w:cs="Times New Roman"/>
      <w:color w:val="000000"/>
      <w:kern w:val="0"/>
      <w:sz w:val="24"/>
      <w:szCs w:val="24"/>
      <w:lang w:val="en-US" w:eastAsia="zh-CN" w:bidi="ar"/>
    </w:rPr>
  </w:style>
  <w:style w:type="paragraph" w:customStyle="1" w:styleId="150">
    <w:name w:val="p"/>
    <w:basedOn w:val="151"/>
    <w:link w:val="225"/>
    <w:qFormat/>
    <w:uiPriority w:val="0"/>
    <w:pPr>
      <w:adjustRightInd w:val="0"/>
      <w:snapToGrid w:val="0"/>
      <w:spacing w:line="360" w:lineRule="auto"/>
      <w:ind w:firstLine="1446" w:firstLineChars="200"/>
      <w:jc w:val="left"/>
    </w:pPr>
    <w:rPr>
      <w:kern w:val="0"/>
      <w:sz w:val="20"/>
      <w:szCs w:val="20"/>
    </w:rPr>
  </w:style>
  <w:style w:type="paragraph" w:customStyle="1" w:styleId="151">
    <w:name w:val="样式1"/>
    <w:basedOn w:val="1"/>
    <w:next w:val="17"/>
    <w:qFormat/>
    <w:uiPriority w:val="0"/>
    <w:pPr>
      <w:ind w:left="90" w:leftChars="32"/>
    </w:pPr>
    <w:rPr>
      <w:rFonts w:ascii="宋体" w:hAnsi="宋体"/>
      <w:sz w:val="23"/>
      <w:szCs w:val="20"/>
    </w:rPr>
  </w:style>
  <w:style w:type="paragraph" w:customStyle="1" w:styleId="152">
    <w:name w:val="样式 行距: 固定值 24 磅 首行缩进:  2 字符"/>
    <w:basedOn w:val="1"/>
    <w:qFormat/>
    <w:uiPriority w:val="0"/>
    <w:pPr>
      <w:spacing w:line="480" w:lineRule="exact"/>
      <w:ind w:firstLine="480" w:firstLineChars="200"/>
    </w:pPr>
    <w:rPr>
      <w:sz w:val="24"/>
      <w:szCs w:val="20"/>
    </w:rPr>
  </w:style>
  <w:style w:type="paragraph" w:customStyle="1" w:styleId="153">
    <w:name w:val="正文样式"/>
    <w:basedOn w:val="1"/>
    <w:qFormat/>
    <w:uiPriority w:val="0"/>
    <w:pPr>
      <w:adjustRightInd w:val="0"/>
      <w:snapToGrid w:val="0"/>
      <w:spacing w:line="360" w:lineRule="auto"/>
      <w:ind w:firstLine="200" w:firstLineChars="200"/>
      <w:jc w:val="left"/>
    </w:pPr>
    <w:rPr>
      <w:rFonts w:cs="宋体"/>
      <w:sz w:val="24"/>
    </w:rPr>
  </w:style>
  <w:style w:type="table" w:customStyle="1" w:styleId="154">
    <w:name w:val="网格型1"/>
    <w:basedOn w:val="41"/>
    <w:unhideWhenUsed/>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55">
    <w:name w:val="p17"/>
    <w:basedOn w:val="1"/>
    <w:qFormat/>
    <w:uiPriority w:val="0"/>
    <w:pPr>
      <w:widowControl/>
      <w:spacing w:line="360" w:lineRule="auto"/>
      <w:ind w:firstLine="420"/>
    </w:pPr>
    <w:rPr>
      <w:rFonts w:ascii="宋体" w:hAnsi="宋体" w:cs="宋体"/>
      <w:color w:val="FF0000"/>
      <w:kern w:val="0"/>
      <w:sz w:val="24"/>
    </w:rPr>
  </w:style>
  <w:style w:type="paragraph" w:customStyle="1" w:styleId="156">
    <w:name w:val="p16"/>
    <w:basedOn w:val="1"/>
    <w:qFormat/>
    <w:uiPriority w:val="0"/>
    <w:pPr>
      <w:widowControl/>
      <w:snapToGrid w:val="0"/>
      <w:spacing w:line="360" w:lineRule="auto"/>
      <w:ind w:firstLine="420"/>
    </w:pPr>
    <w:rPr>
      <w:kern w:val="0"/>
      <w:sz w:val="24"/>
    </w:rPr>
  </w:style>
  <w:style w:type="paragraph" w:customStyle="1" w:styleId="157">
    <w:name w:val="正本文字"/>
    <w:basedOn w:val="1"/>
    <w:qFormat/>
    <w:uiPriority w:val="0"/>
    <w:pPr>
      <w:widowControl/>
      <w:adjustRightInd w:val="0"/>
      <w:snapToGrid w:val="0"/>
      <w:spacing w:line="360" w:lineRule="auto"/>
      <w:ind w:firstLine="480" w:firstLineChars="200"/>
      <w:jc w:val="left"/>
    </w:pPr>
    <w:rPr>
      <w:rFonts w:ascii="Calibri" w:hAnsi="Courier" w:eastAsia="PMingLiU" w:cs="宋体"/>
      <w:kern w:val="18"/>
      <w:sz w:val="24"/>
      <w:szCs w:val="20"/>
      <w:lang w:eastAsia="zh-TW"/>
    </w:rPr>
  </w:style>
  <w:style w:type="paragraph" w:customStyle="1" w:styleId="158">
    <w:name w:val="Table Paragraph"/>
    <w:basedOn w:val="1"/>
    <w:qFormat/>
    <w:uiPriority w:val="1"/>
    <w:pPr>
      <w:widowControl/>
      <w:jc w:val="left"/>
    </w:pPr>
    <w:rPr>
      <w:rFonts w:ascii="Calibri" w:hAnsi="Calibri" w:cs="宋体"/>
      <w:kern w:val="0"/>
      <w:sz w:val="22"/>
      <w:szCs w:val="22"/>
    </w:rPr>
  </w:style>
  <w:style w:type="paragraph" w:customStyle="1" w:styleId="159">
    <w:name w:val="1表格"/>
    <w:basedOn w:val="1"/>
    <w:qFormat/>
    <w:uiPriority w:val="0"/>
    <w:pPr>
      <w:snapToGrid w:val="0"/>
      <w:spacing w:line="160" w:lineRule="atLeast"/>
      <w:jc w:val="center"/>
    </w:pPr>
    <w:rPr>
      <w:rFonts w:eastAsia="仿宋_GB2312"/>
      <w:szCs w:val="20"/>
    </w:rPr>
  </w:style>
  <w:style w:type="paragraph" w:customStyle="1" w:styleId="160">
    <w:name w:val="标题 41"/>
    <w:basedOn w:val="1"/>
    <w:qFormat/>
    <w:uiPriority w:val="99"/>
    <w:pPr>
      <w:autoSpaceDE w:val="0"/>
      <w:autoSpaceDN w:val="0"/>
      <w:spacing w:before="2"/>
      <w:ind w:left="920"/>
      <w:jc w:val="left"/>
      <w:outlineLvl w:val="4"/>
    </w:pPr>
    <w:rPr>
      <w:rFonts w:ascii="宋体" w:hAnsi="宋体" w:cs="宋体"/>
      <w:b/>
      <w:bCs/>
      <w:kern w:val="0"/>
      <w:sz w:val="24"/>
      <w:lang w:val="zh-CN"/>
    </w:rPr>
  </w:style>
  <w:style w:type="paragraph" w:customStyle="1" w:styleId="161">
    <w:name w:val="标题 11"/>
    <w:basedOn w:val="1"/>
    <w:qFormat/>
    <w:uiPriority w:val="99"/>
    <w:pPr>
      <w:autoSpaceDE w:val="0"/>
      <w:autoSpaceDN w:val="0"/>
      <w:spacing w:before="49"/>
      <w:ind w:left="455"/>
      <w:jc w:val="center"/>
      <w:outlineLvl w:val="1"/>
    </w:pPr>
    <w:rPr>
      <w:rFonts w:ascii="宋体" w:hAnsi="宋体" w:cs="宋体"/>
      <w:b/>
      <w:bCs/>
      <w:kern w:val="0"/>
      <w:sz w:val="36"/>
      <w:szCs w:val="36"/>
      <w:lang w:val="zh-CN"/>
    </w:rPr>
  </w:style>
  <w:style w:type="paragraph" w:customStyle="1" w:styleId="162">
    <w:name w:val="正文粗"/>
    <w:basedOn w:val="1"/>
    <w:next w:val="91"/>
    <w:qFormat/>
    <w:uiPriority w:val="0"/>
    <w:pPr>
      <w:ind w:firstLine="482"/>
      <w:jc w:val="both"/>
    </w:pPr>
    <w:rPr>
      <w:rFonts w:ascii="Times New Roman" w:hAnsi="Times New Roman" w:eastAsia="宋体"/>
      <w:b/>
      <w:color w:val="000000"/>
      <w:sz w:val="24"/>
      <w:szCs w:val="20"/>
    </w:rPr>
  </w:style>
  <w:style w:type="paragraph" w:customStyle="1" w:styleId="163">
    <w:name w:val="表格粗"/>
    <w:basedOn w:val="91"/>
    <w:qFormat/>
    <w:uiPriority w:val="0"/>
    <w:pPr>
      <w:adjustRightInd w:val="0"/>
      <w:snapToGrid w:val="0"/>
      <w:spacing w:line="240" w:lineRule="auto"/>
      <w:ind w:firstLine="0" w:firstLineChars="0"/>
      <w:jc w:val="center"/>
    </w:pPr>
    <w:rPr>
      <w:b/>
      <w:sz w:val="21"/>
      <w:shd w:val="clear" w:color="auto" w:fill="auto"/>
    </w:rPr>
  </w:style>
  <w:style w:type="paragraph" w:customStyle="1" w:styleId="164">
    <w:name w:val="_Style 10"/>
    <w:basedOn w:val="1"/>
    <w:qFormat/>
    <w:uiPriority w:val="0"/>
    <w:rPr>
      <w:szCs w:val="20"/>
    </w:rPr>
  </w:style>
  <w:style w:type="paragraph" w:customStyle="1" w:styleId="165">
    <w:name w:val="表格1"/>
    <w:basedOn w:val="1"/>
    <w:qFormat/>
    <w:uiPriority w:val="99"/>
    <w:pPr>
      <w:spacing w:line="360" w:lineRule="exact"/>
    </w:pPr>
    <w:rPr>
      <w:rFonts w:hAnsi="宋?"/>
    </w:rPr>
  </w:style>
  <w:style w:type="paragraph" w:customStyle="1" w:styleId="166">
    <w:name w:val="zly-图表"/>
    <w:basedOn w:val="9"/>
    <w:qFormat/>
    <w:uiPriority w:val="0"/>
    <w:pPr>
      <w:jc w:val="center"/>
    </w:pPr>
    <w:rPr>
      <w:rFonts w:ascii="Calibri" w:hAnsi="Calibri"/>
    </w:rPr>
  </w:style>
  <w:style w:type="paragraph" w:customStyle="1" w:styleId="167">
    <w:name w:val="zly-正文"/>
    <w:basedOn w:val="1"/>
    <w:qFormat/>
    <w:uiPriority w:val="99"/>
    <w:pPr>
      <w:spacing w:line="360" w:lineRule="auto"/>
      <w:ind w:firstLine="200" w:firstLineChars="200"/>
    </w:pPr>
    <w:rPr>
      <w:rFonts w:ascii="Calibri" w:hAnsi="Calibri"/>
      <w:kern w:val="0"/>
      <w:sz w:val="24"/>
    </w:rPr>
  </w:style>
  <w:style w:type="paragraph" w:customStyle="1" w:styleId="168">
    <w:name w:val="正文文本 (2)"/>
    <w:basedOn w:val="1"/>
    <w:qFormat/>
    <w:uiPriority w:val="0"/>
    <w:pPr>
      <w:shd w:val="clear" w:color="auto" w:fill="FFFFFF"/>
      <w:spacing w:line="466" w:lineRule="exact"/>
      <w:ind w:hanging="520"/>
      <w:jc w:val="distribute"/>
    </w:pPr>
    <w:rPr>
      <w:rFonts w:ascii="MingLiU" w:hAnsi="MingLiU" w:eastAsia="MingLiU"/>
      <w:kern w:val="0"/>
      <w:sz w:val="22"/>
      <w:szCs w:val="22"/>
    </w:rPr>
  </w:style>
  <w:style w:type="paragraph" w:customStyle="1" w:styleId="169">
    <w:name w:val="妇幼正文"/>
    <w:basedOn w:val="1"/>
    <w:qFormat/>
    <w:uiPriority w:val="0"/>
    <w:pPr>
      <w:adjustRightInd w:val="0"/>
      <w:spacing w:line="360" w:lineRule="auto"/>
      <w:ind w:firstLine="480" w:firstLineChars="200"/>
    </w:pPr>
    <w:rPr>
      <w:color w:val="000000"/>
      <w:sz w:val="24"/>
    </w:rPr>
  </w:style>
  <w:style w:type="paragraph" w:customStyle="1" w:styleId="170">
    <w:name w:val="样式 小四 首行缩进:  0.95 厘米 行距: 多倍行距 1.25 字行"/>
    <w:basedOn w:val="1"/>
    <w:qFormat/>
    <w:uiPriority w:val="0"/>
    <w:pPr>
      <w:spacing w:line="360" w:lineRule="auto"/>
      <w:ind w:firstLine="539"/>
    </w:pPr>
    <w:rPr>
      <w:rFonts w:ascii="Times New Roman" w:hAnsi="Times New Roman" w:cs="宋体"/>
      <w:sz w:val="24"/>
      <w:szCs w:val="20"/>
      <w:lang w:bidi="ar-SA"/>
    </w:rPr>
  </w:style>
  <w:style w:type="paragraph" w:customStyle="1" w:styleId="171">
    <w:name w:val="文本正文3"/>
    <w:qFormat/>
    <w:uiPriority w:val="0"/>
    <w:pPr>
      <w:spacing w:line="360" w:lineRule="auto"/>
      <w:ind w:firstLine="177" w:firstLineChars="177"/>
    </w:pPr>
    <w:rPr>
      <w:rFonts w:ascii="Calibri" w:hAnsi="Calibri" w:eastAsia="宋体" w:cs="Times New Roman"/>
      <w:kern w:val="2"/>
      <w:sz w:val="24"/>
      <w:szCs w:val="21"/>
      <w:lang w:val="en-US" w:eastAsia="zh-CN" w:bidi="ar-SA"/>
    </w:rPr>
  </w:style>
  <w:style w:type="paragraph" w:customStyle="1" w:styleId="172">
    <w:name w:val="样式7"/>
    <w:basedOn w:val="124"/>
    <w:qFormat/>
    <w:uiPriority w:val="0"/>
    <w:pPr>
      <w:spacing w:before="0" w:beforeLines="0" w:after="0" w:afterLines="0"/>
      <w:ind w:firstLine="420" w:firstLineChars="200"/>
    </w:pPr>
    <w:rPr>
      <w:rFonts w:ascii="Times New Roman" w:eastAsia="华文中宋"/>
      <w:sz w:val="21"/>
      <w:szCs w:val="21"/>
    </w:rPr>
  </w:style>
  <w:style w:type="character" w:customStyle="1" w:styleId="173">
    <w:name w:val="font31"/>
    <w:basedOn w:val="43"/>
    <w:qFormat/>
    <w:uiPriority w:val="0"/>
    <w:rPr>
      <w:rFonts w:hint="default" w:ascii="Times New Roman" w:hAnsi="Times New Roman" w:cs="Times New Roman"/>
      <w:color w:val="000000"/>
      <w:sz w:val="21"/>
      <w:szCs w:val="21"/>
      <w:u w:val="none"/>
    </w:rPr>
  </w:style>
  <w:style w:type="character" w:customStyle="1" w:styleId="174">
    <w:name w:val="font11"/>
    <w:basedOn w:val="43"/>
    <w:qFormat/>
    <w:uiPriority w:val="0"/>
    <w:rPr>
      <w:rFonts w:hint="default" w:ascii="Calibri" w:hAnsi="Calibri" w:cs="Calibri"/>
      <w:color w:val="000000"/>
      <w:sz w:val="21"/>
      <w:szCs w:val="21"/>
      <w:u w:val="none"/>
    </w:rPr>
  </w:style>
  <w:style w:type="paragraph" w:customStyle="1" w:styleId="175">
    <w:name w:val="正文文本1"/>
    <w:basedOn w:val="1"/>
    <w:qFormat/>
    <w:uiPriority w:val="0"/>
    <w:pPr>
      <w:spacing w:line="480" w:lineRule="exact"/>
      <w:ind w:firstLine="200" w:firstLineChars="200"/>
    </w:pPr>
    <w:rPr>
      <w:color w:val="000000"/>
      <w:sz w:val="24"/>
    </w:rPr>
  </w:style>
  <w:style w:type="paragraph" w:customStyle="1" w:styleId="176">
    <w:name w:val="Char4 Char Char Char"/>
    <w:basedOn w:val="1"/>
    <w:qFormat/>
    <w:uiPriority w:val="0"/>
    <w:pPr>
      <w:adjustRightInd w:val="0"/>
      <w:snapToGrid w:val="0"/>
      <w:spacing w:line="360" w:lineRule="auto"/>
      <w:ind w:firstLine="200" w:firstLineChars="200"/>
    </w:pPr>
    <w:rPr>
      <w:sz w:val="24"/>
      <w:szCs w:val="20"/>
    </w:rPr>
  </w:style>
  <w:style w:type="paragraph" w:customStyle="1" w:styleId="177">
    <w:name w:val="大标题"/>
    <w:basedOn w:val="1"/>
    <w:qFormat/>
    <w:uiPriority w:val="0"/>
    <w:pPr>
      <w:spacing w:line="360" w:lineRule="auto"/>
    </w:pPr>
    <w:rPr>
      <w:rFonts w:ascii="宋体" w:hAnsi="宋体"/>
      <w:b/>
      <w:sz w:val="30"/>
      <w:szCs w:val="24"/>
    </w:rPr>
  </w:style>
  <w:style w:type="paragraph" w:customStyle="1" w:styleId="178">
    <w:name w:val="表格01"/>
    <w:qFormat/>
    <w:uiPriority w:val="0"/>
    <w:pPr>
      <w:jc w:val="center"/>
    </w:pPr>
    <w:rPr>
      <w:rFonts w:ascii="Times New Roman" w:hAnsi="Times New Roman" w:eastAsia="宋体" w:cs="宋体"/>
      <w:kern w:val="2"/>
      <w:sz w:val="21"/>
      <w:szCs w:val="21"/>
      <w:lang w:val="en-US" w:eastAsia="zh-CN" w:bidi="ar-SA"/>
    </w:rPr>
  </w:style>
  <w:style w:type="character" w:customStyle="1" w:styleId="179">
    <w:name w:val="表题 Char"/>
    <w:link w:val="113"/>
    <w:qFormat/>
    <w:uiPriority w:val="0"/>
    <w:rPr>
      <w:rFonts w:ascii="Times New Roman" w:hAnsi="宋体" w:eastAsia="宋体" w:cs="Times New Roman"/>
      <w:b/>
      <w:kern w:val="2"/>
      <w:sz w:val="21"/>
      <w:szCs w:val="24"/>
      <w:lang w:val="en-US" w:eastAsia="zh-CN" w:bidi="ar-SA"/>
    </w:rPr>
  </w:style>
  <w:style w:type="character" w:customStyle="1" w:styleId="180">
    <w:name w:val="-正文 Char"/>
    <w:link w:val="114"/>
    <w:qFormat/>
    <w:uiPriority w:val="0"/>
    <w:rPr>
      <w:rFonts w:cs="宋体"/>
      <w:kern w:val="2"/>
      <w:sz w:val="24"/>
    </w:rPr>
  </w:style>
  <w:style w:type="paragraph" w:customStyle="1" w:styleId="181">
    <w:name w:val="标题-3"/>
    <w:basedOn w:val="1"/>
    <w:qFormat/>
    <w:uiPriority w:val="0"/>
    <w:pPr>
      <w:spacing w:line="480" w:lineRule="exact"/>
      <w:ind w:firstLine="482" w:firstLineChars="200"/>
    </w:pPr>
    <w:rPr>
      <w:rFonts w:cs="宋体"/>
      <w:b/>
      <w:bCs/>
      <w:sz w:val="24"/>
      <w:szCs w:val="20"/>
    </w:rPr>
  </w:style>
  <w:style w:type="character" w:customStyle="1" w:styleId="182">
    <w:name w:val="正文-1 Char"/>
    <w:link w:val="112"/>
    <w:qFormat/>
    <w:uiPriority w:val="0"/>
    <w:rPr>
      <w:rFonts w:ascii="Times New Roman" w:hAnsi="Times New Roman" w:eastAsia="宋体" w:cs="宋体"/>
      <w:kern w:val="2"/>
      <w:sz w:val="24"/>
      <w:lang w:val="en-US" w:eastAsia="zh-CN" w:bidi="ar-SA"/>
    </w:rPr>
  </w:style>
  <w:style w:type="character" w:customStyle="1" w:styleId="183">
    <w:name w:val="标题 2 Char"/>
    <w:link w:val="5"/>
    <w:qFormat/>
    <w:uiPriority w:val="0"/>
    <w:rPr>
      <w:rFonts w:ascii="黑体" w:hAnsi="宋体" w:eastAsia="Times New Roman"/>
      <w:b/>
      <w:bCs/>
      <w:snapToGrid w:val="0"/>
      <w:kern w:val="0"/>
      <w:szCs w:val="20"/>
    </w:rPr>
  </w:style>
  <w:style w:type="paragraph" w:customStyle="1" w:styleId="184">
    <w:name w:val="13"/>
    <w:basedOn w:val="1"/>
    <w:qFormat/>
    <w:uiPriority w:val="0"/>
    <w:pPr>
      <w:wordWrap w:val="0"/>
      <w:autoSpaceDE w:val="0"/>
      <w:autoSpaceDN w:val="0"/>
      <w:adjustRightInd w:val="0"/>
      <w:jc w:val="center"/>
    </w:pPr>
    <w:rPr>
      <w:rFonts w:ascii="Calibri" w:hAnsi="Calibri" w:eastAsia="宋体" w:cs="Times New Roman"/>
      <w:kern w:val="0"/>
      <w:szCs w:val="21"/>
    </w:rPr>
  </w:style>
  <w:style w:type="paragraph" w:customStyle="1" w:styleId="185">
    <w:name w:val="12"/>
    <w:basedOn w:val="1"/>
    <w:link w:val="188"/>
    <w:qFormat/>
    <w:uiPriority w:val="0"/>
    <w:pPr>
      <w:wordWrap w:val="0"/>
      <w:topLinePunct/>
      <w:adjustRightInd w:val="0"/>
      <w:snapToGrid w:val="0"/>
      <w:spacing w:line="360" w:lineRule="auto"/>
      <w:ind w:firstLine="200" w:firstLineChars="200"/>
      <w:jc w:val="left"/>
    </w:pPr>
    <w:rPr>
      <w:sz w:val="24"/>
    </w:rPr>
  </w:style>
  <w:style w:type="paragraph" w:customStyle="1" w:styleId="186">
    <w:name w:val="14"/>
    <w:basedOn w:val="1"/>
    <w:qFormat/>
    <w:uiPriority w:val="0"/>
    <w:pPr>
      <w:tabs>
        <w:tab w:val="right" w:pos="8306"/>
      </w:tabs>
      <w:spacing w:line="360" w:lineRule="auto"/>
      <w:jc w:val="center"/>
    </w:pPr>
    <w:rPr>
      <w:b/>
      <w:bCs/>
      <w:color w:val="000000"/>
      <w:szCs w:val="21"/>
    </w:rPr>
  </w:style>
  <w:style w:type="paragraph" w:customStyle="1" w:styleId="187">
    <w:name w:val="表格内容-龙池"/>
    <w:basedOn w:val="1"/>
    <w:qFormat/>
    <w:uiPriority w:val="0"/>
    <w:pPr>
      <w:autoSpaceDE w:val="0"/>
      <w:autoSpaceDN w:val="0"/>
      <w:adjustRightInd w:val="0"/>
      <w:contextualSpacing/>
      <w:jc w:val="center"/>
    </w:pPr>
    <w:rPr>
      <w:kern w:val="0"/>
      <w:szCs w:val="21"/>
    </w:rPr>
  </w:style>
  <w:style w:type="character" w:customStyle="1" w:styleId="188">
    <w:name w:val="12 Char"/>
    <w:basedOn w:val="43"/>
    <w:link w:val="185"/>
    <w:qFormat/>
    <w:uiPriority w:val="0"/>
    <w:rPr>
      <w:sz w:val="24"/>
    </w:rPr>
  </w:style>
  <w:style w:type="paragraph" w:customStyle="1" w:styleId="189">
    <w:name w:val="正文-龙池"/>
    <w:basedOn w:val="1"/>
    <w:qFormat/>
    <w:uiPriority w:val="0"/>
    <w:pPr>
      <w:autoSpaceDE w:val="0"/>
      <w:autoSpaceDN w:val="0"/>
      <w:adjustRightInd w:val="0"/>
      <w:spacing w:line="360" w:lineRule="auto"/>
      <w:ind w:firstLine="480" w:firstLineChars="200"/>
      <w:contextualSpacing/>
    </w:pPr>
    <w:rPr>
      <w:kern w:val="0"/>
      <w:sz w:val="24"/>
    </w:rPr>
  </w:style>
  <w:style w:type="paragraph" w:customStyle="1" w:styleId="190">
    <w:name w:val="标题-龙池"/>
    <w:basedOn w:val="1"/>
    <w:qFormat/>
    <w:uiPriority w:val="0"/>
    <w:pPr>
      <w:tabs>
        <w:tab w:val="left" w:pos="841"/>
      </w:tabs>
      <w:kinsoku w:val="0"/>
      <w:overflowPunct w:val="0"/>
      <w:autoSpaceDE w:val="0"/>
      <w:autoSpaceDN w:val="0"/>
      <w:adjustRightInd w:val="0"/>
      <w:spacing w:line="360" w:lineRule="auto"/>
      <w:contextualSpacing/>
      <w:jc w:val="center"/>
    </w:pPr>
    <w:rPr>
      <w:b/>
      <w:kern w:val="0"/>
      <w:szCs w:val="21"/>
    </w:rPr>
  </w:style>
  <w:style w:type="paragraph" w:customStyle="1" w:styleId="191">
    <w:name w:val="Body Text Indent"/>
    <w:basedOn w:val="1"/>
    <w:qFormat/>
    <w:uiPriority w:val="0"/>
    <w:pPr>
      <w:spacing w:line="360" w:lineRule="auto"/>
      <w:ind w:firstLine="480"/>
    </w:pPr>
    <w:rPr>
      <w:rFonts w:ascii="宋体"/>
      <w:sz w:val="24"/>
    </w:rPr>
  </w:style>
  <w:style w:type="paragraph" w:customStyle="1" w:styleId="192">
    <w:name w:val="Normal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character" w:customStyle="1" w:styleId="193">
    <w:name w:val="font01"/>
    <w:basedOn w:val="43"/>
    <w:qFormat/>
    <w:uiPriority w:val="0"/>
    <w:rPr>
      <w:rFonts w:hint="eastAsia" w:ascii="宋体" w:hAnsi="宋体" w:eastAsia="宋体" w:cs="宋体"/>
      <w:color w:val="000000"/>
      <w:sz w:val="24"/>
      <w:szCs w:val="24"/>
      <w:u w:val="none"/>
      <w:vertAlign w:val="superscript"/>
    </w:rPr>
  </w:style>
  <w:style w:type="paragraph" w:customStyle="1" w:styleId="194">
    <w:name w:val="表格题目"/>
    <w:basedOn w:val="10"/>
    <w:next w:val="195"/>
    <w:qFormat/>
    <w:uiPriority w:val="0"/>
    <w:pPr>
      <w:keepNext/>
    </w:pPr>
    <w:rPr>
      <w:rFonts w:ascii="黑体" w:hAnsi="黑体" w:eastAsia="黑体"/>
      <w:szCs w:val="24"/>
    </w:rPr>
  </w:style>
  <w:style w:type="paragraph" w:customStyle="1" w:styleId="195">
    <w:name w:val="表名、图名"/>
    <w:basedOn w:val="1"/>
    <w:next w:val="1"/>
    <w:qFormat/>
    <w:uiPriority w:val="0"/>
    <w:pPr>
      <w:ind w:firstLine="0" w:firstLineChars="0"/>
      <w:jc w:val="center"/>
    </w:pPr>
    <w:rPr>
      <w:rFonts w:eastAsia="黑体"/>
    </w:rPr>
  </w:style>
  <w:style w:type="character" w:customStyle="1" w:styleId="196">
    <w:name w:val="font51"/>
    <w:basedOn w:val="43"/>
    <w:qFormat/>
    <w:uiPriority w:val="0"/>
    <w:rPr>
      <w:rFonts w:hint="default" w:ascii="Times New Roman" w:hAnsi="Times New Roman" w:cs="Times New Roman"/>
      <w:color w:val="000000"/>
      <w:sz w:val="21"/>
      <w:szCs w:val="21"/>
      <w:u w:val="none"/>
      <w:vertAlign w:val="superscript"/>
    </w:rPr>
  </w:style>
  <w:style w:type="character" w:customStyle="1" w:styleId="197">
    <w:name w:val="font71"/>
    <w:qFormat/>
    <w:uiPriority w:val="0"/>
    <w:rPr>
      <w:rFonts w:hint="eastAsia" w:ascii="宋体" w:hAnsi="宋体" w:eastAsia="宋体" w:cs="宋体"/>
      <w:b/>
      <w:color w:val="000000"/>
      <w:sz w:val="21"/>
      <w:szCs w:val="21"/>
      <w:u w:val="none"/>
    </w:rPr>
  </w:style>
  <w:style w:type="character" w:customStyle="1" w:styleId="198">
    <w:name w:val="font41"/>
    <w:qFormat/>
    <w:uiPriority w:val="0"/>
    <w:rPr>
      <w:rFonts w:hint="eastAsia" w:ascii="宋体" w:hAnsi="宋体" w:eastAsia="宋体" w:cs="宋体"/>
      <w:color w:val="000000"/>
      <w:sz w:val="21"/>
      <w:szCs w:val="21"/>
      <w:u w:val="none"/>
    </w:rPr>
  </w:style>
  <w:style w:type="character" w:customStyle="1" w:styleId="199">
    <w:name w:val="font81"/>
    <w:basedOn w:val="43"/>
    <w:qFormat/>
    <w:uiPriority w:val="0"/>
    <w:rPr>
      <w:rFonts w:hint="eastAsia" w:ascii="宋体" w:hAnsi="宋体" w:eastAsia="宋体" w:cs="宋体"/>
      <w:color w:val="000000"/>
      <w:sz w:val="24"/>
      <w:szCs w:val="24"/>
      <w:u w:val="none"/>
    </w:rPr>
  </w:style>
  <w:style w:type="character" w:customStyle="1" w:styleId="200">
    <w:name w:val="font101"/>
    <w:basedOn w:val="43"/>
    <w:qFormat/>
    <w:uiPriority w:val="0"/>
    <w:rPr>
      <w:rFonts w:hint="default" w:ascii="Times New Roman" w:hAnsi="Times New Roman" w:cs="Times New Roman"/>
      <w:color w:val="000000"/>
      <w:sz w:val="21"/>
      <w:szCs w:val="21"/>
      <w:u w:val="none"/>
      <w:vertAlign w:val="superscript"/>
    </w:rPr>
  </w:style>
  <w:style w:type="paragraph" w:customStyle="1" w:styleId="201">
    <w:name w:val="Normal_0_0"/>
    <w:qFormat/>
    <w:uiPriority w:val="0"/>
    <w:pPr>
      <w:widowControl w:val="0"/>
      <w:spacing w:line="360" w:lineRule="auto"/>
      <w:ind w:firstLine="200" w:firstLineChars="200"/>
      <w:jc w:val="both"/>
    </w:pPr>
    <w:rPr>
      <w:rFonts w:ascii="Times New Roman" w:hAnsi="Times New Roman" w:eastAsia="仿宋" w:cs="Times New Roman"/>
      <w:kern w:val="2"/>
      <w:sz w:val="28"/>
      <w:szCs w:val="21"/>
      <w:lang w:bidi="ar-SA"/>
    </w:rPr>
  </w:style>
  <w:style w:type="table" w:customStyle="1" w:styleId="202">
    <w:name w:val="Table Grid_0"/>
    <w:basedOn w:val="41"/>
    <w:qFormat/>
    <w:uiPriority w:val="0"/>
    <w:rPr>
      <w:rFonts w:ascii="Times New Roman" w:hAnsi="Times New Roman" w:eastAsia="仿宋"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03">
    <w:name w:val="正文(首行缩进)宋旭峰"/>
    <w:basedOn w:val="9"/>
    <w:qFormat/>
    <w:uiPriority w:val="0"/>
    <w:pPr>
      <w:spacing w:line="360" w:lineRule="auto"/>
      <w:ind w:firstLine="480" w:firstLineChars="200"/>
    </w:pPr>
    <w:rPr>
      <w:snapToGrid w:val="0"/>
      <w:color w:val="0000FF"/>
      <w:kern w:val="0"/>
      <w:sz w:val="24"/>
      <w:szCs w:val="24"/>
    </w:rPr>
  </w:style>
  <w:style w:type="paragraph" w:customStyle="1" w:styleId="204">
    <w:name w:val="content"/>
    <w:basedOn w:val="1"/>
    <w:qFormat/>
    <w:uiPriority w:val="0"/>
    <w:pPr>
      <w:widowControl/>
      <w:spacing w:before="100" w:beforeAutospacing="1" w:after="100" w:afterAutospacing="1" w:line="360" w:lineRule="auto"/>
    </w:pPr>
    <w:rPr>
      <w:rFonts w:ascii="宋体" w:hAnsi="宋体"/>
      <w:kern w:val="0"/>
      <w:sz w:val="18"/>
      <w:szCs w:val="18"/>
    </w:rPr>
  </w:style>
  <w:style w:type="paragraph" w:customStyle="1" w:styleId="205">
    <w:name w:val="a正文"/>
    <w:basedOn w:val="1"/>
    <w:qFormat/>
    <w:uiPriority w:val="0"/>
    <w:pPr>
      <w:spacing w:line="360" w:lineRule="auto"/>
      <w:ind w:firstLine="200" w:firstLineChars="200"/>
    </w:pPr>
    <w:rPr>
      <w:rFonts w:ascii="Times New Roman" w:hAnsi="Times New Roman"/>
      <w:sz w:val="24"/>
      <w:szCs w:val="28"/>
    </w:rPr>
  </w:style>
  <w:style w:type="character" w:customStyle="1" w:styleId="206">
    <w:name w:val="nr1"/>
    <w:qFormat/>
    <w:uiPriority w:val="0"/>
    <w:rPr>
      <w:rFonts w:hint="default" w:ascii="ˎ̥" w:hAnsi="ˎ̥"/>
      <w:color w:val="000000"/>
      <w:sz w:val="21"/>
      <w:szCs w:val="21"/>
      <w:u w:val="none"/>
    </w:rPr>
  </w:style>
  <w:style w:type="paragraph" w:customStyle="1" w:styleId="207">
    <w:name w:val="1表内字"/>
    <w:next w:val="1"/>
    <w:qFormat/>
    <w:uiPriority w:val="0"/>
    <w:pPr>
      <w:shd w:val="clear" w:color="auto" w:fill="FFFFFF"/>
      <w:jc w:val="center"/>
    </w:pPr>
    <w:rPr>
      <w:rFonts w:ascii="Times New Roman" w:hAnsi="Times New Roman" w:eastAsia="宋体" w:cs="Times New Roman"/>
      <w:bCs/>
      <w:color w:val="000000"/>
      <w:kern w:val="2"/>
      <w:sz w:val="21"/>
      <w:szCs w:val="21"/>
      <w:lang w:val="en-US" w:eastAsia="zh-CN" w:bidi="ar-SA"/>
    </w:rPr>
  </w:style>
  <w:style w:type="paragraph" w:customStyle="1" w:styleId="208">
    <w:name w:val="TOC Heading"/>
    <w:basedOn w:val="3"/>
    <w:next w:val="1"/>
    <w:semiHidden/>
    <w:unhideWhenUsed/>
    <w:qFormat/>
    <w:uiPriority w:val="39"/>
    <w:pPr>
      <w:keepLines/>
      <w:widowControl/>
      <w:overflowPunct/>
      <w:snapToGrid/>
      <w:spacing w:before="480" w:after="0" w:line="276" w:lineRule="auto"/>
      <w:ind w:left="0" w:firstLine="0"/>
      <w:jc w:val="left"/>
      <w:outlineLvl w:val="9"/>
    </w:pPr>
    <w:rPr>
      <w:rFonts w:ascii="Cambria" w:hAnsi="Cambria" w:eastAsia="宋体"/>
      <w:color w:val="365F91"/>
      <w:kern w:val="0"/>
      <w:sz w:val="28"/>
      <w:szCs w:val="28"/>
    </w:rPr>
  </w:style>
  <w:style w:type="paragraph" w:customStyle="1" w:styleId="209">
    <w:name w:val="真·正文"/>
    <w:basedOn w:val="1"/>
    <w:next w:val="1"/>
    <w:qFormat/>
    <w:uiPriority w:val="0"/>
    <w:pPr>
      <w:ind w:firstLine="200"/>
    </w:pPr>
    <w:rPr>
      <w:rFonts w:ascii="Calibri"/>
      <w:sz w:val="24"/>
    </w:rPr>
  </w:style>
  <w:style w:type="paragraph" w:customStyle="1" w:styleId="210">
    <w:name w:val="正文A"/>
    <w:basedOn w:val="1"/>
    <w:qFormat/>
    <w:uiPriority w:val="0"/>
    <w:pPr>
      <w:spacing w:line="500" w:lineRule="exact"/>
      <w:ind w:firstLine="480" w:firstLineChars="200"/>
    </w:pPr>
    <w:rPr>
      <w:rFonts w:eastAsia="华文仿宋" w:cs="华文仿宋"/>
      <w:kern w:val="0"/>
      <w:sz w:val="24"/>
    </w:rPr>
  </w:style>
  <w:style w:type="paragraph" w:customStyle="1" w:styleId="211">
    <w:name w:val="表格正文(康健城)"/>
    <w:basedOn w:val="1"/>
    <w:qFormat/>
    <w:uiPriority w:val="0"/>
    <w:pPr>
      <w:adjustRightInd w:val="0"/>
      <w:snapToGrid w:val="0"/>
      <w:jc w:val="center"/>
    </w:pPr>
    <w:rPr>
      <w:szCs w:val="21"/>
    </w:rPr>
  </w:style>
  <w:style w:type="paragraph" w:customStyle="1" w:styleId="212">
    <w:name w:val="图件标题"/>
    <w:basedOn w:val="1"/>
    <w:qFormat/>
    <w:uiPriority w:val="0"/>
    <w:pPr>
      <w:ind w:firstLine="0" w:firstLineChars="0"/>
      <w:jc w:val="center"/>
    </w:pPr>
    <w:rPr>
      <w:rFonts w:ascii="Times New Roman" w:hAnsi="Times New Roman" w:eastAsia="宋体"/>
      <w:b/>
    </w:rPr>
  </w:style>
  <w:style w:type="character" w:customStyle="1" w:styleId="213">
    <w:name w:val="Default 字符"/>
    <w:link w:val="54"/>
    <w:qFormat/>
    <w:uiPriority w:val="0"/>
    <w:rPr>
      <w:rFonts w:ascii="宋体" w:hAnsi="Times New Roman" w:eastAsia="宋体" w:cs="宋体"/>
      <w:color w:val="000000"/>
      <w:sz w:val="24"/>
      <w:szCs w:val="24"/>
      <w:lang w:val="en-US" w:eastAsia="zh-CN" w:bidi="ar-SA"/>
    </w:rPr>
  </w:style>
  <w:style w:type="paragraph" w:customStyle="1" w:styleId="214">
    <w:name w:val="图表标题"/>
    <w:basedOn w:val="59"/>
    <w:next w:val="1"/>
    <w:qFormat/>
    <w:uiPriority w:val="0"/>
    <w:pPr>
      <w:jc w:val="center"/>
    </w:pPr>
    <w:rPr>
      <w:b/>
      <w:color w:val="000000"/>
      <w:szCs w:val="21"/>
    </w:rPr>
  </w:style>
  <w:style w:type="paragraph" w:customStyle="1" w:styleId="215">
    <w:name w:val="W正文"/>
    <w:basedOn w:val="1"/>
    <w:qFormat/>
    <w:uiPriority w:val="0"/>
    <w:pPr>
      <w:adjustRightInd w:val="0"/>
      <w:snapToGrid w:val="0"/>
      <w:spacing w:line="360" w:lineRule="auto"/>
      <w:ind w:firstLine="200" w:firstLineChars="200"/>
    </w:pPr>
    <w:rPr>
      <w:kern w:val="0"/>
      <w:sz w:val="24"/>
      <w:szCs w:val="20"/>
    </w:rPr>
  </w:style>
  <w:style w:type="paragraph" w:customStyle="1" w:styleId="216">
    <w:name w:val="标题3"/>
    <w:basedOn w:val="6"/>
    <w:qFormat/>
    <w:uiPriority w:val="0"/>
    <w:pPr>
      <w:keepLines w:val="0"/>
      <w:widowControl/>
      <w:ind w:firstLine="200" w:firstLineChars="200"/>
      <w:jc w:val="center"/>
    </w:pPr>
    <w:rPr>
      <w:bCs w:val="0"/>
      <w:color w:val="000000"/>
      <w:szCs w:val="28"/>
    </w:rPr>
  </w:style>
  <w:style w:type="paragraph" w:customStyle="1" w:styleId="217">
    <w:name w:val="！表格中"/>
    <w:basedOn w:val="1"/>
    <w:next w:val="1"/>
    <w:qFormat/>
    <w:uiPriority w:val="0"/>
    <w:pPr>
      <w:spacing w:line="240" w:lineRule="auto"/>
      <w:ind w:firstLine="0" w:firstLineChars="0"/>
      <w:jc w:val="center"/>
    </w:pPr>
    <w:rPr>
      <w:sz w:val="18"/>
    </w:rPr>
  </w:style>
  <w:style w:type="character" w:customStyle="1" w:styleId="218">
    <w:name w:val="font91"/>
    <w:qFormat/>
    <w:uiPriority w:val="0"/>
    <w:rPr>
      <w:rFonts w:hint="eastAsia" w:ascii="宋体" w:hAnsi="宋体" w:eastAsia="宋体" w:cs="宋体"/>
      <w:b/>
      <w:color w:val="000000"/>
      <w:sz w:val="21"/>
      <w:szCs w:val="21"/>
      <w:u w:val="none"/>
    </w:rPr>
  </w:style>
  <w:style w:type="character" w:customStyle="1" w:styleId="219">
    <w:name w:val="font12"/>
    <w:qFormat/>
    <w:uiPriority w:val="0"/>
    <w:rPr>
      <w:rFonts w:hint="default" w:ascii="Times New Roman" w:hAnsi="Times New Roman" w:cs="Times New Roman"/>
      <w:b/>
      <w:color w:val="000000"/>
      <w:sz w:val="21"/>
      <w:szCs w:val="21"/>
      <w:u w:val="none"/>
    </w:rPr>
  </w:style>
  <w:style w:type="character" w:customStyle="1" w:styleId="220">
    <w:name w:val="font111"/>
    <w:qFormat/>
    <w:uiPriority w:val="0"/>
    <w:rPr>
      <w:rFonts w:hint="default" w:ascii="Times New Roman" w:hAnsi="Times New Roman" w:cs="Times New Roman"/>
      <w:color w:val="000000"/>
      <w:sz w:val="21"/>
      <w:szCs w:val="21"/>
      <w:u w:val="none"/>
    </w:rPr>
  </w:style>
  <w:style w:type="paragraph" w:customStyle="1" w:styleId="221">
    <w:name w:val="样式 正文"/>
    <w:basedOn w:val="1"/>
    <w:next w:val="1"/>
    <w:qFormat/>
    <w:uiPriority w:val="0"/>
    <w:pPr>
      <w:spacing w:line="360" w:lineRule="auto"/>
      <w:ind w:firstLine="200" w:firstLineChars="200"/>
    </w:pPr>
    <w:rPr>
      <w:rFonts w:eastAsia="宋体"/>
      <w:kern w:val="2"/>
      <w:sz w:val="24"/>
      <w:szCs w:val="32"/>
      <w:lang w:val="en-US" w:eastAsia="zh-CN" w:bidi="ar-SA"/>
    </w:rPr>
  </w:style>
  <w:style w:type="paragraph" w:customStyle="1" w:styleId="222">
    <w:name w:val="正文样式-yu"/>
    <w:basedOn w:val="1"/>
    <w:qFormat/>
    <w:uiPriority w:val="0"/>
    <w:pPr>
      <w:spacing w:line="360" w:lineRule="auto"/>
    </w:pPr>
    <w:rPr>
      <w:rFonts w:ascii="宋体" w:hAnsi="宋体"/>
      <w:kern w:val="0"/>
      <w:sz w:val="28"/>
      <w:szCs w:val="20"/>
      <w:lang w:val="zh-CN"/>
    </w:rPr>
  </w:style>
  <w:style w:type="paragraph" w:customStyle="1" w:styleId="223">
    <w:name w:val="缩进"/>
    <w:basedOn w:val="1"/>
    <w:qFormat/>
    <w:uiPriority w:val="99"/>
    <w:pPr>
      <w:widowControl/>
      <w:autoSpaceDE w:val="0"/>
      <w:autoSpaceDN w:val="0"/>
      <w:adjustRightInd w:val="0"/>
      <w:spacing w:line="400" w:lineRule="atLeast"/>
      <w:ind w:firstLine="425"/>
      <w:jc w:val="left"/>
    </w:pPr>
    <w:rPr>
      <w:kern w:val="0"/>
      <w:sz w:val="24"/>
      <w:szCs w:val="20"/>
    </w:rPr>
  </w:style>
  <w:style w:type="paragraph" w:customStyle="1" w:styleId="224">
    <w:name w:val="xz标题4"/>
    <w:basedOn w:val="7"/>
    <w:qFormat/>
    <w:uiPriority w:val="0"/>
    <w:pPr>
      <w:numPr>
        <w:ilvl w:val="0"/>
        <w:numId w:val="0"/>
      </w:numPr>
      <w:tabs>
        <w:tab w:val="left" w:pos="360"/>
      </w:tabs>
      <w:adjustRightInd/>
      <w:spacing w:before="0" w:after="0" w:line="360" w:lineRule="auto"/>
      <w:textAlignment w:val="auto"/>
    </w:pPr>
    <w:rPr>
      <w:rFonts w:eastAsia="宋体"/>
      <w:bCs/>
      <w:kern w:val="2"/>
      <w:sz w:val="28"/>
      <w:szCs w:val="28"/>
    </w:rPr>
  </w:style>
  <w:style w:type="character" w:customStyle="1" w:styleId="225">
    <w:name w:val="p Char"/>
    <w:link w:val="150"/>
    <w:qFormat/>
    <w:uiPriority w:val="0"/>
    <w:rPr>
      <w:kern w:val="0"/>
      <w:sz w:val="20"/>
      <w:szCs w:val="20"/>
    </w:rPr>
  </w:style>
  <w:style w:type="paragraph" w:customStyle="1" w:styleId="226">
    <w:name w:val="大表格正文"/>
    <w:basedOn w:val="1"/>
    <w:qFormat/>
    <w:uiPriority w:val="0"/>
    <w:pPr>
      <w:spacing w:line="240" w:lineRule="auto"/>
      <w:ind w:firstLine="0" w:firstLineChars="0"/>
      <w:jc w:val="center"/>
    </w:pPr>
  </w:style>
  <w:style w:type="paragraph" w:customStyle="1" w:styleId="227">
    <w:name w:val="标准正文"/>
    <w:basedOn w:val="1"/>
    <w:qFormat/>
    <w:uiPriority w:val="0"/>
    <w:pPr>
      <w:spacing w:line="360" w:lineRule="auto"/>
      <w:ind w:firstLine="200" w:firstLineChars="200"/>
      <w:jc w:val="both"/>
    </w:pPr>
    <w:rPr>
      <w:sz w:val="24"/>
      <w:szCs w:val="22"/>
    </w:rPr>
  </w:style>
  <w:style w:type="paragraph" w:customStyle="1" w:styleId="228">
    <w:name w:val="样式 正文缩进 + 宋体 行距: 固定值 22 磅"/>
    <w:basedOn w:val="9"/>
    <w:qFormat/>
    <w:uiPriority w:val="0"/>
    <w:pPr>
      <w:ind w:firstLine="0" w:firstLineChars="0"/>
    </w:pPr>
    <w:rPr>
      <w:rFonts w:ascii="Arial Unicode MS" w:hAnsi="Arial Unicode MS" w:cs="宋体"/>
      <w:szCs w:val="20"/>
    </w:rPr>
  </w:style>
  <w:style w:type="paragraph" w:customStyle="1" w:styleId="229">
    <w:name w:val="样式 样式 样式 样式 小四 左 首行缩进:  2 字符 + 首行缩进:  2 字符 Char + 右  0 字符1 + 首行缩...3"/>
    <w:basedOn w:val="1"/>
    <w:qFormat/>
    <w:uiPriority w:val="0"/>
    <w:pPr>
      <w:adjustRightInd w:val="0"/>
      <w:spacing w:line="360" w:lineRule="auto"/>
      <w:ind w:firstLine="480" w:firstLineChars="200"/>
      <w:jc w:val="left"/>
      <w:textAlignment w:val="baseline"/>
    </w:pPr>
    <w:rPr>
      <w:rFonts w:cs="宋体"/>
      <w:sz w:val="24"/>
      <w:szCs w:val="20"/>
    </w:rPr>
  </w:style>
  <w:style w:type="paragraph" w:customStyle="1" w:styleId="230">
    <w:name w:val="正文-环评"/>
    <w:basedOn w:val="9"/>
    <w:qFormat/>
    <w:uiPriority w:val="0"/>
    <w:pPr>
      <w:spacing w:line="480" w:lineRule="exact"/>
      <w:ind w:firstLineChars="0"/>
    </w:pPr>
    <w:rPr>
      <w:rFonts w:eastAsia="仿宋"/>
      <w:bCs/>
      <w:sz w:val="28"/>
      <w:szCs w:val="28"/>
    </w:rPr>
  </w:style>
  <w:style w:type="paragraph" w:customStyle="1" w:styleId="231">
    <w:name w:val="环评正文"/>
    <w:basedOn w:val="1"/>
    <w:qFormat/>
    <w:uiPriority w:val="0"/>
    <w:pPr>
      <w:spacing w:line="500" w:lineRule="exact"/>
      <w:ind w:firstLine="200" w:firstLineChars="200"/>
      <w:jc w:val="left"/>
    </w:pPr>
    <w:rPr>
      <w:kern w:val="0"/>
      <w:sz w:val="24"/>
      <w:szCs w:val="20"/>
    </w:rPr>
  </w:style>
  <w:style w:type="paragraph" w:customStyle="1" w:styleId="232">
    <w:name w:val="_正文格式"/>
    <w:basedOn w:val="1"/>
    <w:qFormat/>
    <w:uiPriority w:val="0"/>
    <w:pPr>
      <w:spacing w:line="500" w:lineRule="exact"/>
      <w:ind w:firstLine="567"/>
      <w:jc w:val="left"/>
    </w:pPr>
    <w:rPr>
      <w:sz w:val="24"/>
    </w:rPr>
  </w:style>
  <w:style w:type="paragraph" w:customStyle="1" w:styleId="233">
    <w:name w:val="表格内"/>
    <w:basedOn w:val="1"/>
    <w:qFormat/>
    <w:uiPriority w:val="0"/>
    <w:pPr>
      <w:spacing w:line="360" w:lineRule="exact"/>
      <w:jc w:val="center"/>
    </w:pPr>
    <w:rPr>
      <w:rFonts w:ascii="Times New Roman" w:hAnsi="Times New Roman" w:cs="Times New Roman"/>
      <w:snapToGrid w:val="0"/>
      <w:szCs w:val="21"/>
    </w:rPr>
  </w:style>
  <w:style w:type="paragraph" w:customStyle="1" w:styleId="234">
    <w:name w:val="报告书正文"/>
    <w:basedOn w:val="1"/>
    <w:qFormat/>
    <w:uiPriority w:val="0"/>
    <w:pPr>
      <w:spacing w:line="360" w:lineRule="auto"/>
      <w:ind w:firstLine="480" w:firstLineChars="200"/>
    </w:pPr>
    <w:rPr>
      <w:rFonts w:ascii="Calibri" w:hAnsi="Calibri"/>
      <w:sz w:val="24"/>
    </w:rPr>
  </w:style>
  <w:style w:type="paragraph" w:customStyle="1" w:styleId="235">
    <w:name w:val="小标题"/>
    <w:basedOn w:val="97"/>
    <w:qFormat/>
    <w:uiPriority w:val="0"/>
    <w:pPr>
      <w:numPr>
        <w:ilvl w:val="0"/>
        <w:numId w:val="3"/>
      </w:numPr>
      <w:ind w:left="0" w:firstLine="200"/>
    </w:pPr>
    <w:rPr>
      <w:rFonts w:cs="Times New Roman"/>
      <w:b/>
    </w:rPr>
  </w:style>
  <w:style w:type="paragraph" w:customStyle="1" w:styleId="236">
    <w:name w:val="文本"/>
    <w:basedOn w:val="1"/>
    <w:qFormat/>
    <w:uiPriority w:val="0"/>
    <w:pPr>
      <w:adjustRightInd w:val="0"/>
      <w:snapToGrid w:val="0"/>
      <w:spacing w:line="360" w:lineRule="auto"/>
      <w:ind w:firstLine="480" w:firstLineChars="200"/>
      <w:jc w:val="left"/>
    </w:pPr>
    <w:rPr>
      <w:sz w:val="24"/>
      <w:szCs w:val="24"/>
    </w:rPr>
  </w:style>
  <w:style w:type="paragraph" w:customStyle="1" w:styleId="237">
    <w:name w:val="正文(首行缩进)"/>
    <w:basedOn w:val="1"/>
    <w:next w:val="1"/>
    <w:qFormat/>
    <w:uiPriority w:val="0"/>
    <w:pPr>
      <w:adjustRightInd w:val="0"/>
      <w:spacing w:line="360" w:lineRule="auto"/>
      <w:ind w:firstLine="540" w:firstLineChars="225"/>
      <w:textAlignment w:val="baseline"/>
    </w:pPr>
    <w:rPr>
      <w:color w:val="000000"/>
      <w:sz w:val="24"/>
    </w:rPr>
  </w:style>
  <w:style w:type="paragraph" w:customStyle="1" w:styleId="238">
    <w:name w:val="我"/>
    <w:basedOn w:val="1"/>
    <w:qFormat/>
    <w:uiPriority w:val="0"/>
    <w:pPr>
      <w:spacing w:line="360" w:lineRule="auto"/>
      <w:ind w:firstLine="640" w:firstLineChars="200"/>
    </w:pPr>
    <w:rPr>
      <w:kern w:val="0"/>
      <w:sz w:val="24"/>
      <w:szCs w:val="20"/>
    </w:rPr>
  </w:style>
  <w:style w:type="paragraph" w:customStyle="1" w:styleId="239">
    <w:name w:val="！正文"/>
    <w:basedOn w:val="1"/>
    <w:qFormat/>
    <w:uiPriority w:val="0"/>
    <w:pPr>
      <w:spacing w:line="460" w:lineRule="exact"/>
      <w:ind w:firstLine="200" w:firstLineChars="200"/>
    </w:pPr>
    <w:rPr>
      <w:spacing w:val="-2"/>
      <w:kern w:val="0"/>
      <w:sz w:val="24"/>
      <w:szCs w:val="20"/>
    </w:rPr>
  </w:style>
  <w:style w:type="paragraph" w:customStyle="1" w:styleId="240">
    <w:name w:val="rpt_表项"/>
    <w:basedOn w:val="1"/>
    <w:qFormat/>
    <w:uiPriority w:val="0"/>
    <w:pPr>
      <w:spacing w:before="60" w:after="60"/>
      <w:jc w:val="center"/>
    </w:pPr>
    <w:rPr>
      <w:rFonts w:cs="宋体"/>
      <w:sz w:val="22"/>
      <w:szCs w:val="20"/>
    </w:rPr>
  </w:style>
  <w:style w:type="paragraph" w:customStyle="1" w:styleId="241">
    <w:name w:val="表题注"/>
    <w:basedOn w:val="10"/>
    <w:qFormat/>
    <w:uiPriority w:val="0"/>
    <w:pPr>
      <w:jc w:val="center"/>
    </w:pPr>
    <w:rPr>
      <w:rFonts w:ascii="宋体" w:hAnsi="宋体" w:eastAsia="宋体" w:cs="宋体"/>
      <w:bCs/>
      <w:sz w:val="24"/>
    </w:rPr>
  </w:style>
  <w:style w:type="paragraph" w:customStyle="1" w:styleId="242">
    <w:name w:val="样式 样式 表格内文字 + 宋体 + Times New Roman"/>
    <w:basedOn w:val="1"/>
    <w:qFormat/>
    <w:uiPriority w:val="0"/>
    <w:pPr>
      <w:adjustRightInd w:val="0"/>
      <w:snapToGrid w:val="0"/>
      <w:spacing w:line="320" w:lineRule="exact"/>
      <w:jc w:val="center"/>
    </w:pPr>
    <w:rPr>
      <w:b/>
    </w:rPr>
  </w:style>
  <w:style w:type="paragraph" w:customStyle="1" w:styleId="243">
    <w:name w:val="表头标题格式"/>
    <w:basedOn w:val="1"/>
    <w:qFormat/>
    <w:uiPriority w:val="0"/>
    <w:pPr>
      <w:tabs>
        <w:tab w:val="left" w:pos="360"/>
        <w:tab w:val="left" w:pos="1620"/>
      </w:tabs>
      <w:ind w:firstLine="0" w:firstLineChars="0"/>
      <w:jc w:val="center"/>
    </w:pPr>
    <w:rPr>
      <w:rFonts w:ascii="黑体" w:hAnsi="黑体" w:eastAsia="黑体"/>
      <w:b/>
      <w:bCs/>
      <w:sz w:val="21"/>
      <w:szCs w:val="24"/>
    </w:rPr>
  </w:style>
  <w:style w:type="paragraph" w:customStyle="1" w:styleId="244">
    <w:name w:val="无间隔1"/>
    <w:next w:val="1"/>
    <w:qFormat/>
    <w:uiPriority w:val="1"/>
    <w:pPr>
      <w:widowControl w:val="0"/>
      <w:spacing w:line="240" w:lineRule="exact"/>
      <w:jc w:val="center"/>
    </w:pPr>
    <w:rPr>
      <w:rFonts w:ascii="Arial Unicode MS" w:hAnsi="Arial Unicode MS" w:eastAsia="宋体" w:cs="Times New Roman"/>
      <w:kern w:val="2"/>
      <w:sz w:val="21"/>
      <w:szCs w:val="24"/>
      <w:lang w:val="en-US" w:eastAsia="zh-CN" w:bidi="ar-SA"/>
    </w:rPr>
  </w:style>
  <w:style w:type="paragraph" w:customStyle="1" w:styleId="245">
    <w:name w:val="样式 正文 行距: 固定值 25 磅"/>
    <w:qFormat/>
    <w:uiPriority w:val="0"/>
    <w:pPr>
      <w:widowControl w:val="0"/>
      <w:adjustRightInd w:val="0"/>
      <w:spacing w:line="500" w:lineRule="exact"/>
      <w:ind w:firstLine="200" w:firstLineChars="200"/>
      <w:jc w:val="both"/>
    </w:pPr>
    <w:rPr>
      <w:rFonts w:ascii="Times New Roman" w:hAnsi="Times New Roman" w:eastAsia="宋体" w:cs="宋体"/>
      <w:kern w:val="2"/>
      <w:sz w:val="24"/>
      <w:szCs w:val="24"/>
      <w:lang w:val="en-US" w:eastAsia="zh-CN" w:bidi="ar-SA"/>
    </w:rPr>
  </w:style>
  <w:style w:type="paragraph" w:customStyle="1" w:styleId="246">
    <w:name w:val="三级"/>
    <w:basedOn w:val="1"/>
    <w:qFormat/>
    <w:uiPriority w:val="0"/>
    <w:pPr>
      <w:adjustRightInd w:val="0"/>
      <w:snapToGrid w:val="0"/>
      <w:spacing w:line="360" w:lineRule="auto"/>
      <w:jc w:val="left"/>
      <w:outlineLvl w:val="2"/>
    </w:pPr>
    <w:rPr>
      <w:b/>
      <w:kern w:val="0"/>
      <w:szCs w:val="24"/>
    </w:rPr>
  </w:style>
  <w:style w:type="paragraph" w:customStyle="1" w:styleId="247">
    <w:name w:val="王 表格文字"/>
    <w:basedOn w:val="1"/>
    <w:qFormat/>
    <w:uiPriority w:val="0"/>
    <w:pPr>
      <w:jc w:val="center"/>
    </w:pPr>
    <w:rPr>
      <w:rFonts w:eastAsia="仿宋_GB2312"/>
      <w:snapToGrid w:val="0"/>
    </w:rPr>
  </w:style>
  <w:style w:type="paragraph" w:customStyle="1" w:styleId="248">
    <w:name w:val="Char Char Char Char Char Char Char Char Char Char Char Char Char Char Char Char Char Char1 Char Char Char Char Char Char Char"/>
    <w:basedOn w:val="1"/>
    <w:qFormat/>
    <w:uiPriority w:val="0"/>
  </w:style>
  <w:style w:type="paragraph" w:customStyle="1" w:styleId="249">
    <w:name w:val="表格5号字"/>
    <w:qFormat/>
    <w:uiPriority w:val="0"/>
    <w:pPr>
      <w:widowControl w:val="0"/>
      <w:jc w:val="center"/>
    </w:pPr>
    <w:rPr>
      <w:rFonts w:ascii="Times New Roman" w:hAnsi="Times New Roman" w:eastAsia="宋体" w:cs="Times New Roman"/>
      <w:kern w:val="2"/>
      <w:sz w:val="21"/>
      <w:szCs w:val="21"/>
      <w:lang w:val="en-US" w:eastAsia="zh-CN" w:bidi="ar-SA"/>
    </w:rPr>
  </w:style>
  <w:style w:type="paragraph" w:customStyle="1" w:styleId="250">
    <w:name w:val="表"/>
    <w:basedOn w:val="1"/>
    <w:qFormat/>
    <w:uiPriority w:val="0"/>
    <w:pPr>
      <w:widowControl/>
      <w:jc w:val="center"/>
    </w:pPr>
    <w:rPr>
      <w:bCs/>
      <w:kern w:val="0"/>
      <w:sz w:val="21"/>
      <w:szCs w:val="21"/>
    </w:rPr>
  </w:style>
  <w:style w:type="paragraph" w:customStyle="1" w:styleId="251">
    <w:name w:val="x正文"/>
    <w:basedOn w:val="1"/>
    <w:qFormat/>
    <w:uiPriority w:val="0"/>
    <w:pPr>
      <w:adjustRightInd/>
      <w:spacing w:line="360" w:lineRule="auto"/>
      <w:ind w:firstLine="480" w:firstLineChars="200"/>
      <w:jc w:val="both"/>
      <w:textAlignment w:val="auto"/>
    </w:pPr>
    <w:rPr>
      <w:kern w:val="2"/>
      <w:sz w:val="24"/>
      <w:szCs w:val="24"/>
    </w:rPr>
  </w:style>
  <w:style w:type="table" w:customStyle="1" w:styleId="252">
    <w:name w:val="Table Normal"/>
    <w:basedOn w:val="41"/>
    <w:unhideWhenUsed/>
    <w:qFormat/>
    <w:uiPriority w:val="0"/>
    <w:tblPr>
      <w:tblCellMar>
        <w:top w:w="0" w:type="dxa"/>
        <w:left w:w="0" w:type="dxa"/>
        <w:bottom w:w="0" w:type="dxa"/>
        <w:right w:w="0" w:type="dxa"/>
      </w:tblCellMar>
    </w:tblPr>
  </w:style>
  <w:style w:type="character" w:customStyle="1" w:styleId="253">
    <w:name w:val="10"/>
    <w:basedOn w:val="43"/>
    <w:qFormat/>
    <w:uiPriority w:val="0"/>
    <w:rPr>
      <w:rFonts w:hint="default" w:ascii="Calibri" w:hAnsi="Calibri" w:cs="Calibri"/>
    </w:rPr>
  </w:style>
  <w:style w:type="character" w:customStyle="1" w:styleId="254">
    <w:name w:val="15"/>
    <w:basedOn w:val="43"/>
    <w:qFormat/>
    <w:uiPriority w:val="0"/>
    <w:rPr>
      <w:rFonts w:hint="default" w:ascii="Calibri" w:hAnsi="Calibri" w:cs="Calibri"/>
    </w:rPr>
  </w:style>
  <w:style w:type="character" w:customStyle="1" w:styleId="255">
    <w:name w:val=" Char Char26"/>
    <w:link w:val="7"/>
    <w:qFormat/>
    <w:uiPriority w:val="0"/>
    <w:rPr>
      <w:b/>
      <w:szCs w:val="20"/>
    </w:rPr>
  </w:style>
  <w:style w:type="paragraph" w:customStyle="1" w:styleId="256">
    <w:name w:val="表名2"/>
    <w:basedOn w:val="9"/>
    <w:qFormat/>
    <w:uiPriority w:val="0"/>
    <w:pPr>
      <w:tabs>
        <w:tab w:val="left" w:pos="4144"/>
      </w:tabs>
      <w:autoSpaceDE/>
      <w:autoSpaceDN/>
      <w:snapToGrid w:val="0"/>
      <w:ind w:firstLine="0" w:firstLineChars="0"/>
      <w:jc w:val="center"/>
      <w:textAlignment w:val="auto"/>
    </w:pPr>
    <w:rPr>
      <w:rFonts w:eastAsia="黑体"/>
      <w:kern w:val="10"/>
      <w:sz w:val="21"/>
      <w:szCs w:val="24"/>
    </w:rPr>
  </w:style>
  <w:style w:type="paragraph" w:customStyle="1" w:styleId="257">
    <w:name w:val="小表文居中"/>
    <w:basedOn w:val="258"/>
    <w:qFormat/>
    <w:uiPriority w:val="0"/>
    <w:pPr>
      <w:jc w:val="center"/>
    </w:pPr>
  </w:style>
  <w:style w:type="paragraph" w:customStyle="1" w:styleId="258">
    <w:name w:val="小表文"/>
    <w:basedOn w:val="1"/>
    <w:qFormat/>
    <w:uiPriority w:val="0"/>
    <w:pPr>
      <w:spacing w:before="20" w:line="240" w:lineRule="auto"/>
      <w:ind w:firstLine="0"/>
    </w:pPr>
    <w:rPr>
      <w:sz w:val="18"/>
    </w:rPr>
  </w:style>
  <w:style w:type="paragraph" w:customStyle="1" w:styleId="259">
    <w:name w:val="表格文字（内）"/>
    <w:basedOn w:val="1"/>
    <w:qFormat/>
    <w:uiPriority w:val="0"/>
    <w:pPr>
      <w:adjustRightInd w:val="0"/>
      <w:snapToGrid w:val="0"/>
      <w:jc w:val="center"/>
    </w:pPr>
    <w:rPr>
      <w:snapToGrid w:val="0"/>
      <w:szCs w:val="21"/>
    </w:rPr>
  </w:style>
  <w:style w:type="paragraph" w:customStyle="1" w:styleId="260">
    <w:name w:val="文本111"/>
    <w:basedOn w:val="1"/>
    <w:qFormat/>
    <w:uiPriority w:val="0"/>
    <w:pPr>
      <w:wordWrap w:val="0"/>
      <w:adjustRightInd w:val="0"/>
      <w:snapToGrid w:val="0"/>
      <w:spacing w:line="360" w:lineRule="auto"/>
      <w:ind w:firstLine="480" w:firstLineChars="200"/>
      <w:jc w:val="left"/>
    </w:pPr>
    <w:rPr>
      <w:color w:val="000000"/>
      <w:sz w:val="24"/>
    </w:rPr>
  </w:style>
  <w:style w:type="paragraph" w:customStyle="1" w:styleId="261">
    <w:name w:val="图标标题"/>
    <w:basedOn w:val="1"/>
    <w:qFormat/>
    <w:uiPriority w:val="0"/>
    <w:pPr>
      <w:jc w:val="center"/>
    </w:pPr>
    <w:rPr>
      <w:b/>
      <w:szCs w:val="21"/>
    </w:rPr>
  </w:style>
  <w:style w:type="paragraph" w:customStyle="1" w:styleId="262">
    <w:name w:val="表头-s"/>
    <w:basedOn w:val="1"/>
    <w:qFormat/>
    <w:uiPriority w:val="0"/>
    <w:pPr>
      <w:spacing w:beforeLines="50"/>
      <w:jc w:val="center"/>
    </w:pPr>
    <w:rPr>
      <w:rFonts w:ascii="宋体" w:hAnsi="宋体"/>
      <w:b/>
      <w:sz w:val="24"/>
    </w:rPr>
  </w:style>
  <w:style w:type="paragraph" w:customStyle="1" w:styleId="263">
    <w:name w:val="6表格内容"/>
    <w:basedOn w:val="1"/>
    <w:next w:val="1"/>
    <w:qFormat/>
    <w:uiPriority w:val="0"/>
    <w:pPr>
      <w:jc w:val="center"/>
    </w:pPr>
    <w:rPr>
      <w:rFonts w:eastAsia="宋体"/>
      <w:szCs w:val="24"/>
    </w:rPr>
  </w:style>
  <w:style w:type="character" w:customStyle="1" w:styleId="264">
    <w:name w:val="表格内容 字符"/>
    <w:link w:val="76"/>
    <w:qFormat/>
    <w:uiPriority w:val="0"/>
    <w:rPr>
      <w:color w:val="000000"/>
    </w:rPr>
  </w:style>
  <w:style w:type="paragraph" w:customStyle="1" w:styleId="265">
    <w:name w:val="0报告正文"/>
    <w:basedOn w:val="1"/>
    <w:qFormat/>
    <w:uiPriority w:val="0"/>
    <w:pPr>
      <w:spacing w:line="360" w:lineRule="auto"/>
      <w:ind w:firstLine="200" w:firstLineChars="200"/>
    </w:pPr>
    <w:rPr>
      <w:rFonts w:ascii="Times New Roman" w:hAnsi="Times New Roman"/>
      <w:sz w:val="24"/>
      <w:szCs w:val="22"/>
    </w:rPr>
  </w:style>
  <w:style w:type="paragraph" w:customStyle="1" w:styleId="266">
    <w:name w:val="表2.3-1"/>
    <w:basedOn w:val="1"/>
    <w:qFormat/>
    <w:uiPriority w:val="0"/>
    <w:pPr>
      <w:numPr>
        <w:ilvl w:val="0"/>
        <w:numId w:val="4"/>
      </w:numPr>
      <w:adjustRightInd w:val="0"/>
      <w:snapToGrid w:val="0"/>
      <w:spacing w:line="320" w:lineRule="exact"/>
      <w:ind w:firstLine="420" w:firstLineChars="200"/>
      <w:jc w:val="center"/>
      <w:outlineLvl w:val="4"/>
    </w:pPr>
    <w:rPr>
      <w:rFonts w:ascii="Arial" w:hAnsi="Arial"/>
      <w:sz w:val="24"/>
      <w:szCs w:val="21"/>
    </w:rPr>
  </w:style>
  <w:style w:type="paragraph" w:customStyle="1" w:styleId="267">
    <w:name w:val="表名"/>
    <w:basedOn w:val="268"/>
    <w:next w:val="1"/>
    <w:qFormat/>
    <w:uiPriority w:val="0"/>
    <w:pPr>
      <w:numPr>
        <w:ilvl w:val="0"/>
        <w:numId w:val="0"/>
      </w:numPr>
      <w:tabs>
        <w:tab w:val="left" w:pos="0"/>
        <w:tab w:val="left" w:pos="420"/>
      </w:tabs>
      <w:spacing w:before="20" w:beforeLines="20"/>
      <w:ind w:firstLine="567"/>
      <w:jc w:val="left"/>
      <w:outlineLvl w:val="6"/>
    </w:pPr>
    <w:rPr>
      <w:rFonts w:ascii="Times New Roman" w:hAnsi="Times New Roman"/>
    </w:rPr>
  </w:style>
  <w:style w:type="paragraph" w:customStyle="1" w:styleId="268">
    <w:name w:val="图名"/>
    <w:basedOn w:val="1"/>
    <w:next w:val="1"/>
    <w:qFormat/>
    <w:uiPriority w:val="0"/>
    <w:pPr>
      <w:tabs>
        <w:tab w:val="left" w:pos="0"/>
      </w:tabs>
      <w:adjustRightInd w:val="0"/>
      <w:snapToGrid w:val="0"/>
      <w:spacing w:after="20" w:afterLines="20"/>
      <w:jc w:val="center"/>
      <w:outlineLvl w:val="7"/>
    </w:pPr>
    <w:rPr>
      <w:rFonts w:ascii="黑体" w:hAnsi="黑体"/>
      <w:b/>
      <w:sz w:val="24"/>
    </w:rPr>
  </w:style>
  <w:style w:type="character" w:customStyle="1" w:styleId="269">
    <w:name w:val="样式5 Char"/>
    <w:link w:val="25"/>
    <w:qFormat/>
    <w:uiPriority w:val="0"/>
    <w:rPr>
      <w:sz w:val="24"/>
    </w:rPr>
  </w:style>
  <w:style w:type="paragraph" w:customStyle="1" w:styleId="270">
    <w:name w:val="表格内容1"/>
    <w:basedOn w:val="1"/>
    <w:qFormat/>
    <w:uiPriority w:val="0"/>
    <w:pPr>
      <w:jc w:val="center"/>
    </w:pPr>
    <w:rPr>
      <w:rFonts w:ascii="Times New Roman" w:hAnsi="Times New Roman" w:eastAsia="宋体"/>
      <w:color w:val="000000"/>
      <w:kern w:val="0"/>
      <w:szCs w:val="21"/>
    </w:rPr>
  </w:style>
  <w:style w:type="paragraph" w:customStyle="1" w:styleId="271">
    <w:name w:val="表格标题1"/>
    <w:basedOn w:val="1"/>
    <w:qFormat/>
    <w:uiPriority w:val="0"/>
    <w:pPr>
      <w:autoSpaceDE w:val="0"/>
      <w:autoSpaceDN w:val="0"/>
      <w:adjustRightInd w:val="0"/>
      <w:jc w:val="center"/>
    </w:pPr>
    <w:rPr>
      <w:rFonts w:cs="宋体"/>
      <w:b/>
      <w:color w:val="000000"/>
    </w:rPr>
  </w:style>
  <w:style w:type="paragraph" w:customStyle="1" w:styleId="272">
    <w:name w:val="样式6"/>
    <w:next w:val="25"/>
    <w:qFormat/>
    <w:uiPriority w:val="0"/>
    <w:pPr>
      <w:adjustRightInd w:val="0"/>
      <w:snapToGrid w:val="0"/>
      <w:spacing w:line="240" w:lineRule="auto"/>
      <w:ind w:left="0" w:leftChars="0" w:firstLine="0" w:firstLineChars="0"/>
      <w:jc w:val="center"/>
    </w:pPr>
    <w:rPr>
      <w:rFonts w:ascii="宋体" w:hAnsi="宋体" w:eastAsia="宋体" w:cs="Times New Roman"/>
      <w:kern w:val="0"/>
      <w:sz w:val="21"/>
      <w:szCs w:val="20"/>
    </w:rPr>
  </w:style>
  <w:style w:type="paragraph" w:customStyle="1" w:styleId="273">
    <w:name w:val="表格样式"/>
    <w:basedOn w:val="1"/>
    <w:qFormat/>
    <w:uiPriority w:val="0"/>
    <w:pPr>
      <w:adjustRightInd w:val="0"/>
      <w:snapToGrid w:val="0"/>
      <w:jc w:val="center"/>
      <w:textAlignment w:val="center"/>
    </w:pPr>
    <w:rPr>
      <w:sz w:val="28"/>
    </w:rPr>
  </w:style>
  <w:style w:type="paragraph" w:customStyle="1" w:styleId="274">
    <w:name w:val="正文文字1"/>
    <w:basedOn w:val="1"/>
    <w:qFormat/>
    <w:uiPriority w:val="0"/>
    <w:pPr>
      <w:adjustRightInd w:val="0"/>
      <w:snapToGrid w:val="0"/>
      <w:spacing w:line="360" w:lineRule="auto"/>
      <w:ind w:firstLine="472" w:firstLineChars="200"/>
      <w:jc w:val="left"/>
    </w:pPr>
    <w:rPr>
      <w:spacing w:val="-2"/>
      <w:szCs w:val="20"/>
    </w:rPr>
  </w:style>
  <w:style w:type="character" w:customStyle="1" w:styleId="275">
    <w:name w:val="标题 3 Char"/>
    <w:link w:val="6"/>
    <w:qFormat/>
    <w:uiPriority w:val="0"/>
    <w:rPr>
      <w:rFonts w:ascii="黑体" w:hAnsi="宋体" w:eastAsia="Times New Roman"/>
      <w:bCs/>
      <w:snapToGrid w:val="0"/>
      <w:kern w:val="0"/>
      <w:szCs w:val="20"/>
    </w:rPr>
  </w:style>
  <w:style w:type="paragraph" w:customStyle="1" w:styleId="276">
    <w:name w:val="+正文"/>
    <w:basedOn w:val="1"/>
    <w:qFormat/>
    <w:uiPriority w:val="0"/>
    <w:pPr>
      <w:spacing w:line="360" w:lineRule="auto"/>
      <w:ind w:firstLine="200" w:firstLineChars="200"/>
    </w:pPr>
    <w:rPr>
      <w:sz w:val="24"/>
      <w:szCs w:val="28"/>
    </w:rPr>
  </w:style>
  <w:style w:type="paragraph" w:customStyle="1" w:styleId="277">
    <w:name w:val="列出段落1"/>
    <w:basedOn w:val="1"/>
    <w:qFormat/>
    <w:uiPriority w:val="99"/>
    <w:pPr>
      <w:ind w:firstLine="420" w:firstLineChars="200"/>
    </w:pPr>
  </w:style>
  <w:style w:type="paragraph" w:customStyle="1" w:styleId="278">
    <w:name w:val="+++ 表头"/>
    <w:basedOn w:val="1"/>
    <w:qFormat/>
    <w:uiPriority w:val="0"/>
    <w:pPr>
      <w:spacing w:line="360" w:lineRule="auto"/>
      <w:jc w:val="center"/>
    </w:pPr>
    <w:rPr>
      <w:rFonts w:cs="宋体"/>
      <w:b/>
      <w:bCs/>
      <w:color w:val="99CC00"/>
      <w:sz w:val="24"/>
    </w:rPr>
  </w:style>
  <w:style w:type="paragraph" w:customStyle="1" w:styleId="279">
    <w:name w:val="列出段落11"/>
    <w:basedOn w:val="1"/>
    <w:qFormat/>
    <w:uiPriority w:val="0"/>
    <w:pPr>
      <w:ind w:firstLine="420" w:firstLineChars="200"/>
    </w:pPr>
  </w:style>
  <w:style w:type="paragraph" w:customStyle="1" w:styleId="280">
    <w:name w:val="_Style 2"/>
    <w:basedOn w:val="14"/>
    <w:next w:val="19"/>
    <w:qFormat/>
    <w:uiPriority w:val="34"/>
    <w:pPr>
      <w:ind w:firstLine="420" w:firstLineChars="200"/>
    </w:pPr>
  </w:style>
  <w:style w:type="paragraph" w:customStyle="1" w:styleId="281">
    <w:name w:val="其他 (2)"/>
    <w:basedOn w:val="1"/>
    <w:qFormat/>
    <w:uiPriority w:val="0"/>
    <w:pPr>
      <w:shd w:val="clear" w:color="auto" w:fill="FFFFFF"/>
      <w:spacing w:line="228" w:lineRule="exact"/>
    </w:pPr>
    <w:rPr>
      <w:rFonts w:ascii="宋体" w:hAnsi="宋体" w:eastAsia="宋体" w:cs="宋体"/>
      <w:sz w:val="20"/>
      <w:szCs w:val="20"/>
      <w:lang w:val="zh-CN" w:bidi="zh-CN"/>
    </w:rPr>
  </w:style>
  <w:style w:type="paragraph" w:customStyle="1" w:styleId="282">
    <w:name w:val="其他"/>
    <w:basedOn w:val="1"/>
    <w:qFormat/>
    <w:uiPriority w:val="0"/>
    <w:pPr>
      <w:shd w:val="clear" w:color="auto" w:fill="FFFFFF"/>
      <w:spacing w:line="271" w:lineRule="exact"/>
      <w:jc w:val="center"/>
    </w:pPr>
    <w:rPr>
      <w:rFonts w:ascii="宋体" w:hAnsi="宋体" w:eastAsia="宋体" w:cs="宋体"/>
      <w:sz w:val="20"/>
      <w:szCs w:val="20"/>
      <w:lang w:val="zh-CN" w:bidi="zh-CN"/>
    </w:rPr>
  </w:style>
  <w:style w:type="paragraph" w:customStyle="1" w:styleId="283">
    <w:name w:val="表头1111"/>
    <w:basedOn w:val="1"/>
    <w:qFormat/>
    <w:uiPriority w:val="0"/>
    <w:pPr>
      <w:jc w:val="center"/>
      <w:textAlignment w:val="baseline"/>
    </w:pPr>
    <w:rPr>
      <w:rFonts w:hAnsi="宋体"/>
      <w:b/>
      <w:bCs/>
      <w:szCs w:val="21"/>
    </w:rPr>
  </w:style>
  <w:style w:type="paragraph" w:customStyle="1" w:styleId="284">
    <w:name w:val="真·表头"/>
    <w:basedOn w:val="1"/>
    <w:qFormat/>
    <w:uiPriority w:val="0"/>
    <w:pPr>
      <w:spacing w:line="360" w:lineRule="auto"/>
      <w:jc w:val="center"/>
    </w:pPr>
    <w:rPr>
      <w:rFonts w:ascii="Times New Roman" w:hAnsi="Times New Roman" w:eastAsia="黑体" w:cs="Times New Roman"/>
      <w:sz w:val="24"/>
      <w:szCs w:val="30"/>
    </w:rPr>
  </w:style>
  <w:style w:type="paragraph" w:customStyle="1" w:styleId="285">
    <w:name w:val="2"/>
    <w:basedOn w:val="1"/>
    <w:next w:val="19"/>
    <w:qFormat/>
    <w:uiPriority w:val="0"/>
    <w:rPr>
      <w:rFonts w:ascii="宋体" w:hAnsi="Courier New" w:cs="Courier New"/>
      <w:szCs w:val="21"/>
    </w:rPr>
  </w:style>
  <w:style w:type="paragraph" w:customStyle="1" w:styleId="286">
    <w:name w:val="表格标题新"/>
    <w:basedOn w:val="1"/>
    <w:qFormat/>
    <w:uiPriority w:val="0"/>
    <w:pPr>
      <w:tabs>
        <w:tab w:val="left" w:pos="0"/>
      </w:tabs>
      <w:adjustRightInd w:val="0"/>
      <w:snapToGrid w:val="0"/>
      <w:spacing w:before="156" w:beforeLines="50"/>
      <w:jc w:val="center"/>
    </w:pPr>
    <w:rPr>
      <w:rFonts w:ascii="黑体" w:eastAsia="黑体"/>
      <w:snapToGrid w:val="0"/>
      <w:spacing w:val="4"/>
      <w:kern w:val="0"/>
      <w:sz w:val="24"/>
    </w:rPr>
  </w:style>
  <w:style w:type="paragraph" w:customStyle="1" w:styleId="287">
    <w:name w:val="BG"/>
    <w:basedOn w:val="1"/>
    <w:unhideWhenUsed/>
    <w:qFormat/>
    <w:uiPriority w:val="99"/>
    <w:pPr>
      <w:snapToGrid w:val="0"/>
      <w:jc w:val="center"/>
    </w:pPr>
  </w:style>
  <w:style w:type="paragraph" w:customStyle="1" w:styleId="288">
    <w:name w:val="列出段落3"/>
    <w:basedOn w:val="1"/>
    <w:qFormat/>
    <w:uiPriority w:val="0"/>
    <w:pPr>
      <w:widowControl/>
      <w:spacing w:after="200" w:line="252" w:lineRule="auto"/>
      <w:ind w:left="720"/>
      <w:contextualSpacing/>
      <w:jc w:val="left"/>
    </w:pPr>
    <w:rPr>
      <w:rFonts w:ascii="Cambria" w:hAnsi="Cambria" w:eastAsia="宋体"/>
      <w:kern w:val="0"/>
      <w:sz w:val="22"/>
      <w:lang w:eastAsia="en-US" w:bidi="en-US"/>
    </w:rPr>
  </w:style>
  <w:style w:type="paragraph" w:customStyle="1" w:styleId="289">
    <w:name w:val="List Paragraph1"/>
    <w:basedOn w:val="1"/>
    <w:qFormat/>
    <w:uiPriority w:val="99"/>
    <w:pPr>
      <w:widowControl/>
      <w:spacing w:after="200" w:line="252" w:lineRule="auto"/>
      <w:ind w:left="720"/>
      <w:contextualSpacing/>
      <w:jc w:val="left"/>
    </w:pPr>
    <w:rPr>
      <w:rFonts w:ascii="Cambria" w:hAnsi="Cambria" w:eastAsia="宋体"/>
      <w:kern w:val="0"/>
      <w:sz w:val="22"/>
      <w:lang w:eastAsia="en-US"/>
    </w:rPr>
  </w:style>
  <w:style w:type="paragraph" w:customStyle="1" w:styleId="290">
    <w:name w:val="表内文字"/>
    <w:basedOn w:val="1"/>
    <w:qFormat/>
    <w:uiPriority w:val="0"/>
    <w:pPr>
      <w:topLinePunct/>
      <w:jc w:val="center"/>
    </w:pPr>
    <w:rPr>
      <w:rFonts w:ascii="宋体" w:hAnsi="宋体"/>
      <w:bCs/>
      <w:sz w:val="24"/>
      <w:szCs w:val="22"/>
    </w:rPr>
  </w:style>
  <w:style w:type="paragraph" w:customStyle="1" w:styleId="291">
    <w:name w:val="本文正文"/>
    <w:basedOn w:val="1"/>
    <w:qFormat/>
    <w:uiPriority w:val="0"/>
    <w:pPr>
      <w:ind w:firstLine="560"/>
    </w:pPr>
    <w:rPr>
      <w:szCs w:val="28"/>
    </w:rPr>
  </w:style>
  <w:style w:type="paragraph" w:customStyle="1" w:styleId="292">
    <w:name w:val="Heading 1"/>
    <w:basedOn w:val="1"/>
    <w:qFormat/>
    <w:uiPriority w:val="1"/>
    <w:pPr>
      <w:outlineLvl w:val="0"/>
    </w:pPr>
    <w:rPr>
      <w:rFonts w:ascii="黑体" w:eastAsia="黑体" w:cs="黑体"/>
      <w:b/>
      <w:bCs/>
      <w:sz w:val="36"/>
      <w:szCs w:val="36"/>
    </w:rPr>
  </w:style>
  <w:style w:type="paragraph" w:customStyle="1" w:styleId="293">
    <w:name w:val="Char"/>
    <w:basedOn w:val="1"/>
    <w:qFormat/>
    <w:uiPriority w:val="0"/>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header" Target="header3.xml"/><Relationship Id="rId65" Type="http://schemas.microsoft.com/office/2011/relationships/people" Target="people.xml"/><Relationship Id="rId64" Type="http://schemas.openxmlformats.org/officeDocument/2006/relationships/fontTable" Target="fontTable.xml"/><Relationship Id="rId63" Type="http://schemas.openxmlformats.org/officeDocument/2006/relationships/numbering" Target="numbering.xml"/><Relationship Id="rId62" Type="http://schemas.openxmlformats.org/officeDocument/2006/relationships/customXml" Target="../customXml/item1.xml"/><Relationship Id="rId61" Type="http://schemas.openxmlformats.org/officeDocument/2006/relationships/image" Target="media/image41.wmf"/><Relationship Id="rId60" Type="http://schemas.openxmlformats.org/officeDocument/2006/relationships/oleObject" Target="embeddings/oleObject4.bin"/><Relationship Id="rId6" Type="http://schemas.openxmlformats.org/officeDocument/2006/relationships/header" Target="header2.xml"/><Relationship Id="rId59" Type="http://schemas.openxmlformats.org/officeDocument/2006/relationships/image" Target="media/image40.emf"/><Relationship Id="rId58" Type="http://schemas.openxmlformats.org/officeDocument/2006/relationships/oleObject" Target="embeddings/oleObject3.bin"/><Relationship Id="rId57" Type="http://schemas.openxmlformats.org/officeDocument/2006/relationships/image" Target="media/image39.png"/><Relationship Id="rId56" Type="http://schemas.openxmlformats.org/officeDocument/2006/relationships/image" Target="file:///C:\DOCUME~1\ADMINI~1\LOCALS~1\Temp\K0IWMC%25252525252525252525252525252525252525252525252525252525252525252525252525252525252525252525252525252525252525252525252525252525252525252525252525252525252525252525257DO%25252525252525252525252525252525252525252525252525252525252525252525252525252525252525252525252525252525252525252525252525252525252525252525252525252525252525252525255B1%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GO_OXVVOQX.jpg" TargetMode="External"/><Relationship Id="rId55" Type="http://schemas.openxmlformats.org/officeDocument/2006/relationships/image" Target="media/image38.jpeg"/><Relationship Id="rId54" Type="http://schemas.openxmlformats.org/officeDocument/2006/relationships/image" Target="media/image37.wmf"/><Relationship Id="rId53" Type="http://schemas.openxmlformats.org/officeDocument/2006/relationships/oleObject" Target="embeddings/oleObject2.bin"/><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header" Target="header1.xml"/><Relationship Id="rId49" Type="http://schemas.openxmlformats.org/officeDocument/2006/relationships/image" Target="media/image33.emf"/><Relationship Id="rId48" Type="http://schemas.openxmlformats.org/officeDocument/2006/relationships/oleObject" Target="embeddings/oleObject1.bin"/><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wmf"/><Relationship Id="rId43" Type="http://schemas.openxmlformats.org/officeDocument/2006/relationships/image" Target="media/image28.wmf"/><Relationship Id="rId42" Type="http://schemas.openxmlformats.org/officeDocument/2006/relationships/image" Target="media/image27.wmf"/><Relationship Id="rId41" Type="http://schemas.openxmlformats.org/officeDocument/2006/relationships/image" Target="media/image26.wmf"/><Relationship Id="rId40" Type="http://schemas.openxmlformats.org/officeDocument/2006/relationships/image" Target="media/image25.png"/><Relationship Id="rId4" Type="http://schemas.openxmlformats.org/officeDocument/2006/relationships/footer" Target="footer2.xml"/><Relationship Id="rId39" Type="http://schemas.openxmlformats.org/officeDocument/2006/relationships/image" Target="media/image24.jpe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jpeg"/><Relationship Id="rId34" Type="http://schemas.openxmlformats.org/officeDocument/2006/relationships/image" Target="media/image19.jpeg"/><Relationship Id="rId33" Type="http://schemas.openxmlformats.org/officeDocument/2006/relationships/image" Target="media/image18.jpeg"/><Relationship Id="rId32" Type="http://schemas.openxmlformats.org/officeDocument/2006/relationships/image" Target="media/image17.jpeg"/><Relationship Id="rId31" Type="http://schemas.openxmlformats.org/officeDocument/2006/relationships/image" Target="media/image16.jpeg"/><Relationship Id="rId30" Type="http://schemas.openxmlformats.org/officeDocument/2006/relationships/image" Target="media/image15.jpeg"/><Relationship Id="rId3" Type="http://schemas.openxmlformats.org/officeDocument/2006/relationships/footer" Target="footer1.xml"/><Relationship Id="rId29" Type="http://schemas.openxmlformats.org/officeDocument/2006/relationships/image" Target="media/image14.jpeg"/><Relationship Id="rId28" Type="http://schemas.openxmlformats.org/officeDocument/2006/relationships/image" Target="media/image13.jpeg"/><Relationship Id="rId27" Type="http://schemas.openxmlformats.org/officeDocument/2006/relationships/image" Target="media/image12.jpeg"/><Relationship Id="rId26" Type="http://schemas.openxmlformats.org/officeDocument/2006/relationships/image" Target="media/image11.png"/><Relationship Id="rId25" Type="http://schemas.openxmlformats.org/officeDocument/2006/relationships/image" Target="media/image10.jpeg"/><Relationship Id="rId24" Type="http://schemas.openxmlformats.org/officeDocument/2006/relationships/image" Target="media/image9.jpeg"/><Relationship Id="rId23" Type="http://schemas.openxmlformats.org/officeDocument/2006/relationships/image" Target="media/image8.jpeg"/><Relationship Id="rId22" Type="http://schemas.openxmlformats.org/officeDocument/2006/relationships/image" Target="media/image7.png"/><Relationship Id="rId21" Type="http://schemas.openxmlformats.org/officeDocument/2006/relationships/image" Target="media/image6.pn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jpeg"/><Relationship Id="rId15" Type="http://schemas.openxmlformats.org/officeDocument/2006/relationships/theme" Target="theme/theme1.xml"/><Relationship Id="rId14" Type="http://schemas.openxmlformats.org/officeDocument/2006/relationships/footer" Target="footer7.xml"/><Relationship Id="rId13" Type="http://schemas.openxmlformats.org/officeDocument/2006/relationships/header" Target="header5.xml"/><Relationship Id="rId12" Type="http://schemas.openxmlformats.org/officeDocument/2006/relationships/footer" Target="footer6.xml"/><Relationship Id="rId11" Type="http://schemas.openxmlformats.org/officeDocument/2006/relationships/header" Target="header4.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113</Pages>
  <Words>71224</Words>
  <Characters>77773</Characters>
  <Lines>1009</Lines>
  <Paragraphs>284</Paragraphs>
  <TotalTime>0</TotalTime>
  <ScaleCrop>false</ScaleCrop>
  <LinksUpToDate>false</LinksUpToDate>
  <CharactersWithSpaces>78311</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2011-01-01T03:18:00Z</dcterms:created>
  <dc:creator>黑桃A</dc:creator>
  <cp:lastModifiedBy>Administrator</cp:lastModifiedBy>
  <dcterms:modified xsi:type="dcterms:W3CDTF">2023-05-16T09:38:31Z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B576C2D9AB664531991FDE20E0830230</vt:lpwstr>
  </property>
</Properties>
</file>